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B22" w14:textId="60831695" w:rsidR="00FF3503" w:rsidRPr="00A603B3" w:rsidRDefault="00FF3503" w:rsidP="00860548">
      <w:pPr>
        <w:spacing w:before="100" w:beforeAutospacing="1" w:after="100" w:afterAutospacing="1" w:line="276" w:lineRule="auto"/>
        <w:jc w:val="center"/>
        <w:rPr>
          <w:sz w:val="22"/>
          <w:szCs w:val="22"/>
        </w:rPr>
      </w:pPr>
      <w:r w:rsidRPr="00A603B3">
        <w:rPr>
          <w:sz w:val="22"/>
          <w:szCs w:val="22"/>
        </w:rPr>
        <w:t>Supp</w:t>
      </w:r>
      <w:r w:rsidR="00D60834">
        <w:rPr>
          <w:sz w:val="22"/>
          <w:szCs w:val="22"/>
        </w:rPr>
        <w:t>lementary</w:t>
      </w:r>
      <w:r w:rsidRPr="00A603B3">
        <w:rPr>
          <w:sz w:val="22"/>
          <w:szCs w:val="22"/>
        </w:rPr>
        <w:t xml:space="preserve"> Information for</w:t>
      </w:r>
    </w:p>
    <w:p w14:paraId="0ECD271C" w14:textId="77777777" w:rsidR="00FF3503" w:rsidRPr="00A603B3" w:rsidRDefault="00035653" w:rsidP="00860548">
      <w:pPr>
        <w:spacing w:before="100" w:beforeAutospacing="1" w:after="100" w:afterAutospacing="1" w:line="276" w:lineRule="auto"/>
        <w:jc w:val="center"/>
        <w:rPr>
          <w:b/>
          <w:szCs w:val="22"/>
        </w:rPr>
      </w:pPr>
      <w:r w:rsidRPr="00A603B3">
        <w:rPr>
          <w:b/>
          <w:szCs w:val="22"/>
        </w:rPr>
        <w:t>Phytoplanktonic Response to simulated Volcanic and Desert Dust Deposition Events in the South Indian and Southern Oceans</w:t>
      </w:r>
    </w:p>
    <w:p w14:paraId="6F62051B" w14:textId="77777777" w:rsidR="00FF3503" w:rsidRPr="00A603B3" w:rsidRDefault="00035653" w:rsidP="00860548">
      <w:pPr>
        <w:spacing w:before="100" w:beforeAutospacing="1" w:after="100" w:afterAutospacing="1" w:line="276" w:lineRule="auto"/>
        <w:jc w:val="center"/>
        <w:rPr>
          <w:sz w:val="22"/>
          <w:szCs w:val="22"/>
          <w:lang w:val="fr-FR"/>
        </w:rPr>
      </w:pPr>
      <w:r w:rsidRPr="00A603B3">
        <w:rPr>
          <w:sz w:val="22"/>
          <w:szCs w:val="22"/>
          <w:lang w:val="fr-FR"/>
        </w:rPr>
        <w:t>Carla Geisen</w:t>
      </w:r>
      <w:r w:rsidRPr="00A603B3">
        <w:rPr>
          <w:sz w:val="22"/>
          <w:szCs w:val="22"/>
          <w:vertAlign w:val="superscript"/>
          <w:lang w:val="fr-FR"/>
        </w:rPr>
        <w:t>1</w:t>
      </w:r>
      <w:r w:rsidRPr="00A603B3">
        <w:rPr>
          <w:sz w:val="22"/>
          <w:szCs w:val="22"/>
          <w:lang w:val="fr-FR"/>
        </w:rPr>
        <w:t>, Céline Ridame</w:t>
      </w:r>
      <w:r w:rsidRPr="00A603B3">
        <w:rPr>
          <w:sz w:val="22"/>
          <w:szCs w:val="22"/>
          <w:vertAlign w:val="superscript"/>
          <w:lang w:val="fr-FR"/>
        </w:rPr>
        <w:t>1</w:t>
      </w:r>
      <w:r w:rsidRPr="00A603B3">
        <w:rPr>
          <w:sz w:val="22"/>
          <w:szCs w:val="22"/>
          <w:lang w:val="fr-FR"/>
        </w:rPr>
        <w:t xml:space="preserve">, </w:t>
      </w:r>
      <w:proofErr w:type="spellStart"/>
      <w:r w:rsidRPr="00A603B3">
        <w:rPr>
          <w:sz w:val="22"/>
          <w:szCs w:val="22"/>
          <w:lang w:val="fr-FR"/>
        </w:rPr>
        <w:t>Emilie</w:t>
      </w:r>
      <w:proofErr w:type="spellEnd"/>
      <w:r w:rsidRPr="00A603B3">
        <w:rPr>
          <w:sz w:val="22"/>
          <w:szCs w:val="22"/>
          <w:lang w:val="fr-FR"/>
        </w:rPr>
        <w:t xml:space="preserve"> Journet</w:t>
      </w:r>
      <w:r w:rsidRPr="00A603B3">
        <w:rPr>
          <w:sz w:val="22"/>
          <w:szCs w:val="22"/>
          <w:vertAlign w:val="superscript"/>
          <w:lang w:val="fr-FR"/>
        </w:rPr>
        <w:t>2</w:t>
      </w:r>
      <w:r w:rsidRPr="00A603B3">
        <w:rPr>
          <w:sz w:val="22"/>
          <w:szCs w:val="22"/>
          <w:lang w:val="fr-FR"/>
        </w:rPr>
        <w:t>, Pierre Delmelle</w:t>
      </w:r>
      <w:r w:rsidRPr="00A603B3">
        <w:rPr>
          <w:sz w:val="22"/>
          <w:szCs w:val="22"/>
          <w:vertAlign w:val="superscript"/>
          <w:lang w:val="fr-FR"/>
        </w:rPr>
        <w:t>3</w:t>
      </w:r>
      <w:r w:rsidRPr="00A603B3">
        <w:rPr>
          <w:sz w:val="22"/>
          <w:szCs w:val="22"/>
          <w:lang w:val="fr-FR"/>
        </w:rPr>
        <w:t>, Dominique Marie</w:t>
      </w:r>
      <w:r w:rsidRPr="00A603B3">
        <w:rPr>
          <w:sz w:val="22"/>
          <w:szCs w:val="22"/>
          <w:vertAlign w:val="superscript"/>
          <w:lang w:val="fr-FR"/>
        </w:rPr>
        <w:t>4</w:t>
      </w:r>
      <w:r w:rsidRPr="00A603B3">
        <w:rPr>
          <w:sz w:val="22"/>
          <w:szCs w:val="22"/>
          <w:lang w:val="fr-FR"/>
        </w:rPr>
        <w:t>, Claire Lo Monaco</w:t>
      </w:r>
      <w:r w:rsidRPr="00A603B3">
        <w:rPr>
          <w:sz w:val="22"/>
          <w:szCs w:val="22"/>
          <w:vertAlign w:val="superscript"/>
          <w:lang w:val="fr-FR"/>
        </w:rPr>
        <w:t>1</w:t>
      </w:r>
      <w:r w:rsidRPr="00A603B3">
        <w:rPr>
          <w:sz w:val="22"/>
          <w:szCs w:val="22"/>
          <w:lang w:val="fr-FR"/>
        </w:rPr>
        <w:t>, Nicolas Metzl</w:t>
      </w:r>
      <w:r w:rsidRPr="00A603B3">
        <w:rPr>
          <w:sz w:val="22"/>
          <w:szCs w:val="22"/>
          <w:vertAlign w:val="superscript"/>
          <w:lang w:val="fr-FR"/>
        </w:rPr>
        <w:t>1</w:t>
      </w:r>
      <w:r w:rsidRPr="00A603B3">
        <w:rPr>
          <w:sz w:val="22"/>
          <w:szCs w:val="22"/>
          <w:lang w:val="fr-FR"/>
        </w:rPr>
        <w:t>, Rawaa Ammar</w:t>
      </w:r>
      <w:r w:rsidRPr="00A603B3">
        <w:rPr>
          <w:sz w:val="22"/>
          <w:szCs w:val="22"/>
          <w:vertAlign w:val="superscript"/>
          <w:lang w:val="fr-FR"/>
        </w:rPr>
        <w:t>2,3</w:t>
      </w:r>
      <w:r w:rsidRPr="00A603B3">
        <w:rPr>
          <w:sz w:val="22"/>
          <w:szCs w:val="22"/>
          <w:lang w:val="fr-FR"/>
        </w:rPr>
        <w:t>, Joelle Kombo</w:t>
      </w:r>
      <w:r w:rsidRPr="00A603B3">
        <w:rPr>
          <w:sz w:val="22"/>
          <w:szCs w:val="22"/>
          <w:vertAlign w:val="superscript"/>
          <w:lang w:val="fr-FR"/>
        </w:rPr>
        <w:t>1</w:t>
      </w:r>
      <w:r w:rsidRPr="00A603B3">
        <w:rPr>
          <w:sz w:val="22"/>
          <w:szCs w:val="22"/>
          <w:lang w:val="fr-FR"/>
        </w:rPr>
        <w:t>, Damien Cardinal</w:t>
      </w:r>
      <w:r w:rsidRPr="00A603B3">
        <w:rPr>
          <w:sz w:val="22"/>
          <w:szCs w:val="22"/>
          <w:vertAlign w:val="superscript"/>
          <w:lang w:val="fr-FR"/>
        </w:rPr>
        <w:t>1</w:t>
      </w:r>
      <w:r w:rsidRPr="00A603B3">
        <w:rPr>
          <w:sz w:val="22"/>
          <w:szCs w:val="22"/>
          <w:lang w:val="fr-FR"/>
        </w:rPr>
        <w:t xml:space="preserve"> </w:t>
      </w:r>
    </w:p>
    <w:p w14:paraId="1E6AD5E5" w14:textId="706BFA63" w:rsidR="00B77E40" w:rsidRDefault="00035653" w:rsidP="00860548">
      <w:pPr>
        <w:spacing w:before="100" w:beforeAutospacing="1" w:after="100" w:afterAutospacing="1" w:line="276" w:lineRule="auto"/>
        <w:jc w:val="center"/>
        <w:rPr>
          <w:sz w:val="18"/>
          <w:szCs w:val="18"/>
          <w:lang w:val="fr-FR"/>
        </w:rPr>
      </w:pPr>
      <w:r w:rsidRPr="00A603B3">
        <w:rPr>
          <w:sz w:val="18"/>
          <w:szCs w:val="18"/>
          <w:vertAlign w:val="superscript"/>
          <w:lang w:val="fr-FR"/>
        </w:rPr>
        <w:t>1</w:t>
      </w:r>
      <w:r w:rsidRPr="00A603B3">
        <w:rPr>
          <w:sz w:val="18"/>
          <w:szCs w:val="18"/>
          <w:lang w:val="fr-FR"/>
        </w:rPr>
        <w:t xml:space="preserve">Sorbonne Université, LOCEAN – IPSL Laboratoire d’Océanographie et du Climat: Expérimentations et Approches Numériques, UMR 7159, (SU CNRS MNHN IRD), 75252 Paris Cedex 05, France. </w:t>
      </w:r>
      <w:r w:rsidRPr="00A603B3">
        <w:rPr>
          <w:sz w:val="18"/>
          <w:szCs w:val="18"/>
          <w:vertAlign w:val="superscript"/>
          <w:lang w:val="fr-FR"/>
        </w:rPr>
        <w:t>2</w:t>
      </w:r>
      <w:r w:rsidRPr="00A603B3">
        <w:rPr>
          <w:sz w:val="18"/>
          <w:szCs w:val="18"/>
          <w:lang w:val="fr-FR"/>
        </w:rPr>
        <w:t xml:space="preserve">LISA (Laboratoire Interuniversitaire des Systèmes Atmosphériques), UMR 7583, CNRS, Université Paris-Est Créteil et Université de Paris, Institut Pierre Simon Laplace (IPSL), Créteil, France. </w:t>
      </w:r>
      <w:r w:rsidRPr="00A603B3">
        <w:rPr>
          <w:sz w:val="18"/>
          <w:szCs w:val="18"/>
          <w:vertAlign w:val="superscript"/>
          <w:lang w:val="fr-FR"/>
        </w:rPr>
        <w:t>3</w:t>
      </w:r>
      <w:r w:rsidRPr="00A603B3">
        <w:rPr>
          <w:sz w:val="18"/>
          <w:szCs w:val="18"/>
          <w:lang w:val="fr-FR"/>
        </w:rPr>
        <w:t xml:space="preserve">Earth and Life Institute, </w:t>
      </w:r>
      <w:proofErr w:type="spellStart"/>
      <w:r w:rsidRPr="00A603B3">
        <w:rPr>
          <w:sz w:val="18"/>
          <w:szCs w:val="18"/>
          <w:lang w:val="fr-FR"/>
        </w:rPr>
        <w:t>Environmental</w:t>
      </w:r>
      <w:proofErr w:type="spellEnd"/>
      <w:r w:rsidRPr="00A603B3">
        <w:rPr>
          <w:sz w:val="18"/>
          <w:szCs w:val="18"/>
          <w:lang w:val="fr-FR"/>
        </w:rPr>
        <w:t xml:space="preserve"> Sciences, </w:t>
      </w:r>
      <w:proofErr w:type="spellStart"/>
      <w:r w:rsidRPr="00A603B3">
        <w:rPr>
          <w:sz w:val="18"/>
          <w:szCs w:val="18"/>
          <w:lang w:val="fr-FR"/>
        </w:rPr>
        <w:t>UCLouvain</w:t>
      </w:r>
      <w:proofErr w:type="spellEnd"/>
      <w:r w:rsidRPr="00A603B3">
        <w:rPr>
          <w:sz w:val="18"/>
          <w:szCs w:val="18"/>
          <w:lang w:val="fr-FR"/>
        </w:rPr>
        <w:t xml:space="preserve">, B-1348 Louvain-la-Neuve, </w:t>
      </w:r>
      <w:proofErr w:type="spellStart"/>
      <w:r w:rsidRPr="00A603B3">
        <w:rPr>
          <w:sz w:val="18"/>
          <w:szCs w:val="18"/>
          <w:lang w:val="fr-FR"/>
        </w:rPr>
        <w:t>Belgium</w:t>
      </w:r>
      <w:proofErr w:type="spellEnd"/>
      <w:r w:rsidRPr="00A603B3">
        <w:rPr>
          <w:sz w:val="18"/>
          <w:szCs w:val="18"/>
          <w:lang w:val="fr-FR"/>
        </w:rPr>
        <w:t xml:space="preserve">. </w:t>
      </w:r>
      <w:r w:rsidRPr="00A603B3">
        <w:rPr>
          <w:sz w:val="18"/>
          <w:szCs w:val="18"/>
          <w:vertAlign w:val="superscript"/>
          <w:lang w:val="fr-FR"/>
        </w:rPr>
        <w:t>4</w:t>
      </w:r>
      <w:r w:rsidRPr="00A603B3">
        <w:rPr>
          <w:sz w:val="18"/>
          <w:szCs w:val="18"/>
          <w:lang w:val="fr-FR"/>
        </w:rPr>
        <w:t>CNRS, Sorbonne Université, UMR 7144 Adaptation et Diversité en Milieu Marin, Stati</w:t>
      </w:r>
      <w:r w:rsidR="00980FDE" w:rsidRPr="00A603B3">
        <w:rPr>
          <w:sz w:val="18"/>
          <w:szCs w:val="18"/>
          <w:lang w:val="fr-FR"/>
        </w:rPr>
        <w:t>on Biologique de Roscoff, 29680</w:t>
      </w:r>
      <w:r w:rsidRPr="00A603B3">
        <w:rPr>
          <w:sz w:val="18"/>
          <w:szCs w:val="18"/>
          <w:lang w:val="fr-FR"/>
        </w:rPr>
        <w:t xml:space="preserve"> Roscoff, France.</w:t>
      </w:r>
    </w:p>
    <w:p w14:paraId="6026055C" w14:textId="78331D7C" w:rsidR="00860548" w:rsidRPr="00860548" w:rsidRDefault="00622A96" w:rsidP="005E076C">
      <w:pPr>
        <w:pStyle w:val="Affiliation"/>
        <w:spacing w:before="0" w:line="276" w:lineRule="auto"/>
        <w:jc w:val="center"/>
        <w:rPr>
          <w:sz w:val="18"/>
          <w:szCs w:val="18"/>
        </w:rPr>
      </w:pPr>
      <w:r w:rsidRPr="00622A96">
        <w:rPr>
          <w:sz w:val="18"/>
          <w:szCs w:val="18"/>
          <w:u w:val="single"/>
        </w:rPr>
        <w:t>Corresponding author</w:t>
      </w:r>
      <w:r w:rsidRPr="00622A96">
        <w:rPr>
          <w:sz w:val="18"/>
          <w:szCs w:val="18"/>
        </w:rPr>
        <w:t>: Carla Geisen (</w:t>
      </w:r>
      <w:hyperlink r:id="rId8" w:history="1">
        <w:r w:rsidRPr="00622A96">
          <w:rPr>
            <w:rStyle w:val="Lienhypertexte"/>
            <w:sz w:val="18"/>
            <w:szCs w:val="18"/>
          </w:rPr>
          <w:t>carla.geisen@univ-littoral.fr</w:t>
        </w:r>
      </w:hyperlink>
      <w:r w:rsidRPr="00622A96">
        <w:rPr>
          <w:sz w:val="18"/>
          <w:szCs w:val="18"/>
        </w:rPr>
        <w:t>)</w:t>
      </w:r>
    </w:p>
    <w:p w14:paraId="1DAFF0AC" w14:textId="3BD11BD8" w:rsidR="007860F3" w:rsidRPr="00A603B3" w:rsidRDefault="00FF3503" w:rsidP="00860548">
      <w:pPr>
        <w:pStyle w:val="SMHeading"/>
        <w:spacing w:line="276" w:lineRule="auto"/>
        <w:rPr>
          <w:b w:val="0"/>
        </w:rPr>
      </w:pPr>
      <w:r w:rsidRPr="00860548">
        <w:rPr>
          <w:sz w:val="22"/>
          <w:szCs w:val="22"/>
        </w:rPr>
        <w:t>Introduction</w:t>
      </w:r>
      <w:r w:rsidRPr="00A603B3">
        <w:t xml:space="preserve"> </w:t>
      </w:r>
    </w:p>
    <w:p w14:paraId="01E5412F" w14:textId="5BFF0CDD" w:rsidR="00860548" w:rsidRPr="00A603B3" w:rsidRDefault="00C70710" w:rsidP="00860548">
      <w:pPr>
        <w:spacing w:before="100" w:beforeAutospacing="1" w:after="100" w:afterAutospacing="1" w:line="276" w:lineRule="auto"/>
        <w:jc w:val="both"/>
        <w:rPr>
          <w:sz w:val="22"/>
          <w:szCs w:val="22"/>
        </w:rPr>
      </w:pPr>
      <w:r w:rsidRPr="00A603B3">
        <w:rPr>
          <w:sz w:val="22"/>
          <w:szCs w:val="22"/>
        </w:rPr>
        <w:t xml:space="preserve">This </w:t>
      </w:r>
      <w:r w:rsidR="00622A96">
        <w:rPr>
          <w:sz w:val="22"/>
          <w:szCs w:val="22"/>
        </w:rPr>
        <w:t>supplementary</w:t>
      </w:r>
      <w:r w:rsidRPr="00A603B3">
        <w:rPr>
          <w:sz w:val="22"/>
          <w:szCs w:val="22"/>
        </w:rPr>
        <w:t xml:space="preserve"> information contains </w:t>
      </w:r>
      <w:r w:rsidR="00884F81" w:rsidRPr="00A603B3">
        <w:rPr>
          <w:sz w:val="22"/>
          <w:szCs w:val="22"/>
        </w:rPr>
        <w:t xml:space="preserve">a detailed explanation </w:t>
      </w:r>
      <w:r w:rsidRPr="00A603B3">
        <w:rPr>
          <w:sz w:val="22"/>
          <w:szCs w:val="22"/>
        </w:rPr>
        <w:t>abo</w:t>
      </w:r>
      <w:r w:rsidR="00884F81" w:rsidRPr="00A603B3">
        <w:rPr>
          <w:sz w:val="22"/>
          <w:szCs w:val="22"/>
        </w:rPr>
        <w:t xml:space="preserve">ut the negligible impact of possible iron contamination, as well as a calculation of aerosol sinking velocities in our experimental setup. Further, </w:t>
      </w:r>
      <w:r w:rsidR="00A603B3">
        <w:rPr>
          <w:sz w:val="22"/>
          <w:szCs w:val="22"/>
        </w:rPr>
        <w:t>we detail the calculation steps to estimate the c</w:t>
      </w:r>
      <w:r w:rsidR="00A603B3" w:rsidRPr="00A603B3">
        <w:rPr>
          <w:sz w:val="22"/>
          <w:szCs w:val="22"/>
        </w:rPr>
        <w:t xml:space="preserve">ontribution of </w:t>
      </w:r>
      <w:r w:rsidR="00A603B3">
        <w:rPr>
          <w:sz w:val="22"/>
          <w:szCs w:val="22"/>
        </w:rPr>
        <w:t xml:space="preserve">different </w:t>
      </w:r>
      <w:r w:rsidR="00A603B3" w:rsidRPr="00A603B3">
        <w:rPr>
          <w:sz w:val="22"/>
          <w:szCs w:val="22"/>
        </w:rPr>
        <w:t>phytoplankton size classes to the total biomass</w:t>
      </w:r>
      <w:r w:rsidR="00A603B3">
        <w:rPr>
          <w:sz w:val="22"/>
          <w:szCs w:val="22"/>
        </w:rPr>
        <w:t xml:space="preserve"> (using pigment analysis). Finally, </w:t>
      </w:r>
      <w:r w:rsidR="00884F81" w:rsidRPr="00A603B3">
        <w:rPr>
          <w:sz w:val="22"/>
          <w:szCs w:val="22"/>
        </w:rPr>
        <w:t xml:space="preserve">we plot the response of heterotrophic bacteria and haptophytes to experimental nutrient and aerosol addition (assessed through flow cytometric cell count and 19’HF concentration, respectively). </w:t>
      </w:r>
    </w:p>
    <w:p w14:paraId="624C0485" w14:textId="77777777" w:rsidR="00015F74" w:rsidRPr="00A603B3" w:rsidRDefault="00015F74" w:rsidP="00860548">
      <w:pPr>
        <w:pStyle w:val="SMHeading"/>
        <w:spacing w:line="276" w:lineRule="auto"/>
        <w:rPr>
          <w:sz w:val="22"/>
          <w:szCs w:val="22"/>
        </w:rPr>
      </w:pPr>
      <w:r w:rsidRPr="00A603B3">
        <w:rPr>
          <w:sz w:val="22"/>
          <w:szCs w:val="22"/>
        </w:rPr>
        <w:t>Text</w:t>
      </w:r>
      <w:r w:rsidR="00D60BB0" w:rsidRPr="00A603B3">
        <w:rPr>
          <w:sz w:val="22"/>
          <w:szCs w:val="22"/>
        </w:rPr>
        <w:t xml:space="preserve"> S1.</w:t>
      </w:r>
      <w:r w:rsidR="00C70710" w:rsidRPr="00A603B3">
        <w:rPr>
          <w:sz w:val="22"/>
          <w:szCs w:val="22"/>
        </w:rPr>
        <w:t xml:space="preserve"> Possible iron contamination</w:t>
      </w:r>
    </w:p>
    <w:p w14:paraId="19563D0F" w14:textId="2EE72943" w:rsidR="00C70710" w:rsidRPr="00A603B3" w:rsidRDefault="00C70710" w:rsidP="00860548">
      <w:pPr>
        <w:spacing w:line="276" w:lineRule="auto"/>
        <w:jc w:val="both"/>
        <w:rPr>
          <w:b/>
          <w:sz w:val="22"/>
          <w:szCs w:val="24"/>
        </w:rPr>
      </w:pPr>
      <w:r w:rsidRPr="00A603B3">
        <w:rPr>
          <w:sz w:val="22"/>
          <w:szCs w:val="24"/>
        </w:rPr>
        <w:t xml:space="preserve">The nutrient solution from the +Si treatment (assessed by ICP-AES </w:t>
      </w:r>
      <w:r w:rsidR="00277BF2">
        <w:rPr>
          <w:sz w:val="22"/>
          <w:szCs w:val="24"/>
        </w:rPr>
        <w:t xml:space="preserve">and ICP-MS </w:t>
      </w:r>
      <w:r w:rsidRPr="00A603B3">
        <w:rPr>
          <w:sz w:val="22"/>
          <w:szCs w:val="24"/>
        </w:rPr>
        <w:t>analys</w:t>
      </w:r>
      <w:r w:rsidR="00860548">
        <w:rPr>
          <w:sz w:val="22"/>
          <w:szCs w:val="24"/>
        </w:rPr>
        <w:t>e</w:t>
      </w:r>
      <w:r w:rsidRPr="00A603B3">
        <w:rPr>
          <w:sz w:val="22"/>
          <w:szCs w:val="24"/>
        </w:rPr>
        <w:t>s) was contaminated with 0.23 nmol.L</w:t>
      </w:r>
      <w:r w:rsidRPr="00A603B3">
        <w:rPr>
          <w:sz w:val="22"/>
          <w:szCs w:val="24"/>
          <w:vertAlign w:val="superscript"/>
        </w:rPr>
        <w:t>-1</w:t>
      </w:r>
      <w:r w:rsidRPr="00A603B3">
        <w:rPr>
          <w:sz w:val="22"/>
          <w:szCs w:val="24"/>
        </w:rPr>
        <w:t xml:space="preserve"> Fe. As no significant difference in PP response between +Fe and +Si was observed at any station, we discuss the risk that the biological response to the +Si treatment was due to Fe contamination instead of actual Si addition. </w:t>
      </w:r>
    </w:p>
    <w:p w14:paraId="1C711AA7" w14:textId="6100A746" w:rsidR="00C70710" w:rsidRPr="00A603B3" w:rsidRDefault="00C70710" w:rsidP="00860548">
      <w:pPr>
        <w:spacing w:line="276" w:lineRule="auto"/>
        <w:jc w:val="both"/>
        <w:rPr>
          <w:b/>
          <w:sz w:val="22"/>
          <w:szCs w:val="24"/>
        </w:rPr>
      </w:pPr>
      <w:r w:rsidRPr="00A603B3">
        <w:rPr>
          <w:sz w:val="22"/>
          <w:szCs w:val="24"/>
        </w:rPr>
        <w:t>When comparing flow cytometry data, we observe that in opposition to the +Fe and +FeSi treatments, the addition of Si alone did not enhance picoeukaryote cell abundance at LNLC</w:t>
      </w:r>
      <w:r w:rsidR="001A71D2">
        <w:rPr>
          <w:sz w:val="22"/>
          <w:szCs w:val="24"/>
        </w:rPr>
        <w:t>-</w:t>
      </w:r>
      <w:r w:rsidRPr="00A603B3">
        <w:rPr>
          <w:sz w:val="22"/>
          <w:szCs w:val="24"/>
        </w:rPr>
        <w:t xml:space="preserve">2, indicating that the Fe contamination of the Si treatment was negligible for this phytoplankton group at this station. Moreover, at the Kerguelen plateau station A3, Fe addition increased both pico- and nanoeukaryote abundances (+120 % and +50 % respectively, Fig. 3i,j), while the potential Fe contamination of the Si treatment was insufficient to trigger a response. Finally, the unexpected </w:t>
      </w:r>
      <w:r w:rsidRPr="00A603B3">
        <w:rPr>
          <w:i/>
          <w:sz w:val="22"/>
          <w:szCs w:val="24"/>
        </w:rPr>
        <w:t>Synechococcus</w:t>
      </w:r>
      <w:r w:rsidRPr="00A603B3">
        <w:rPr>
          <w:sz w:val="22"/>
          <w:szCs w:val="24"/>
        </w:rPr>
        <w:t xml:space="preserve"> development after Si or FeSi additions (~+70 %) were not observed after Fe addition, demonstrating that the </w:t>
      </w:r>
      <w:r w:rsidRPr="00A603B3">
        <w:rPr>
          <w:i/>
          <w:sz w:val="22"/>
          <w:szCs w:val="24"/>
        </w:rPr>
        <w:t>Synechococcus</w:t>
      </w:r>
      <w:r w:rsidRPr="00A603B3">
        <w:rPr>
          <w:sz w:val="22"/>
          <w:szCs w:val="24"/>
        </w:rPr>
        <w:t xml:space="preserve"> response was not induced by Fe contamination, but in fact by Si addition. </w:t>
      </w:r>
    </w:p>
    <w:p w14:paraId="3A1846F8" w14:textId="7436EA66" w:rsidR="00C70710" w:rsidRPr="00A603B3" w:rsidRDefault="00C70710" w:rsidP="00860548">
      <w:pPr>
        <w:spacing w:line="276" w:lineRule="auto"/>
        <w:jc w:val="both"/>
        <w:rPr>
          <w:sz w:val="22"/>
          <w:szCs w:val="24"/>
        </w:rPr>
      </w:pPr>
      <w:r w:rsidRPr="00A603B3">
        <w:rPr>
          <w:sz w:val="22"/>
          <w:szCs w:val="24"/>
        </w:rPr>
        <w:t>Thus, we cannot definitely exclude the influence of 0.23 n</w:t>
      </w:r>
      <w:r w:rsidR="00D67B46">
        <w:rPr>
          <w:sz w:val="22"/>
          <w:szCs w:val="24"/>
        </w:rPr>
        <w:t>mol.L</w:t>
      </w:r>
      <w:r w:rsidR="00D67B46" w:rsidRPr="00D67B46">
        <w:rPr>
          <w:sz w:val="22"/>
          <w:szCs w:val="24"/>
          <w:vertAlign w:val="superscript"/>
        </w:rPr>
        <w:t>-1</w:t>
      </w:r>
      <w:r w:rsidRPr="00A603B3">
        <w:rPr>
          <w:sz w:val="22"/>
          <w:szCs w:val="24"/>
        </w:rPr>
        <w:t xml:space="preserve"> Fe contamination within the Si treatment on PP at the western LNLC as well as the HN-LSi-LC and plateau stations. However, since the cell abundance response differs between nutrient treatments at several stations for several phytoplankton groups, we support the statement that this potential Fe contamination was negligible and should not impact the general conclusions of this study.</w:t>
      </w:r>
    </w:p>
    <w:p w14:paraId="50676AD0" w14:textId="77777777" w:rsidR="008C4EBF" w:rsidRPr="00A603B3" w:rsidRDefault="008C4EBF" w:rsidP="00860548">
      <w:pPr>
        <w:pStyle w:val="SMHeading"/>
        <w:spacing w:line="276" w:lineRule="auto"/>
        <w:rPr>
          <w:sz w:val="22"/>
          <w:szCs w:val="22"/>
        </w:rPr>
      </w:pPr>
      <w:r w:rsidRPr="00A603B3">
        <w:rPr>
          <w:sz w:val="22"/>
          <w:szCs w:val="22"/>
        </w:rPr>
        <w:lastRenderedPageBreak/>
        <w:t>Text S</w:t>
      </w:r>
      <w:r w:rsidR="00C70710" w:rsidRPr="00A603B3">
        <w:rPr>
          <w:sz w:val="22"/>
          <w:szCs w:val="22"/>
        </w:rPr>
        <w:t>2</w:t>
      </w:r>
      <w:r w:rsidRPr="00A603B3">
        <w:rPr>
          <w:sz w:val="22"/>
          <w:szCs w:val="22"/>
        </w:rPr>
        <w:t>.</w:t>
      </w:r>
      <w:r w:rsidR="00C70710" w:rsidRPr="00A603B3">
        <w:rPr>
          <w:sz w:val="22"/>
          <w:szCs w:val="22"/>
        </w:rPr>
        <w:t xml:space="preserve"> Calculation of sinking velocities after representative aerosol deposition</w:t>
      </w:r>
    </w:p>
    <w:p w14:paraId="2A799BC9" w14:textId="73C70C1C" w:rsidR="00C70710" w:rsidRPr="00A603B3" w:rsidRDefault="00C70710" w:rsidP="00860548">
      <w:pPr>
        <w:pStyle w:val="Lgende"/>
        <w:keepNext/>
        <w:spacing w:line="276" w:lineRule="auto"/>
        <w:jc w:val="both"/>
        <w:rPr>
          <w:b w:val="0"/>
          <w:sz w:val="22"/>
        </w:rPr>
      </w:pPr>
      <w:r w:rsidRPr="00A603B3">
        <w:rPr>
          <w:b w:val="0"/>
          <w:sz w:val="22"/>
        </w:rPr>
        <w:t>In order to calculate the sinking velocity of aerosols in seawater, we applied the Stokes’ law, assuming that the dust and ash particles were spherical. This is a simplification of the reality, but it gives an estimate of the depth reached by aerosols after the experimental 48</w:t>
      </w:r>
      <w:r w:rsidR="00D67B46">
        <w:rPr>
          <w:b w:val="0"/>
          <w:sz w:val="22"/>
        </w:rPr>
        <w:t xml:space="preserve"> </w:t>
      </w:r>
      <w:r w:rsidRPr="00A603B3">
        <w:rPr>
          <w:b w:val="0"/>
          <w:sz w:val="22"/>
        </w:rPr>
        <w:t>h of incubation. The sinking velocity was calculated as follows (Equation S1):</w:t>
      </w:r>
    </w:p>
    <w:p w14:paraId="165A28EB" w14:textId="77777777" w:rsidR="002D7258" w:rsidRPr="00A603B3" w:rsidRDefault="002D7258" w:rsidP="00860548">
      <w:pPr>
        <w:spacing w:line="276" w:lineRule="auto"/>
      </w:pPr>
    </w:p>
    <w:p w14:paraId="1BE06A02" w14:textId="77777777" w:rsidR="00C70710" w:rsidRPr="00A603B3" w:rsidRDefault="00770C20" w:rsidP="00860548">
      <w:pPr>
        <w:spacing w:line="276" w:lineRule="auto"/>
        <w:jc w:val="right"/>
        <w:rPr>
          <w:rFonts w:eastAsiaTheme="minorEastAsia"/>
          <w:sz w:val="22"/>
          <w:szCs w:val="24"/>
        </w:rPr>
      </w:pPr>
      <m:oMath>
        <m:sSub>
          <m:sSubPr>
            <m:ctrlPr>
              <w:rPr>
                <w:rFonts w:ascii="Cambria Math" w:hAnsi="Cambria Math"/>
                <w:i/>
                <w:sz w:val="22"/>
                <w:szCs w:val="24"/>
              </w:rPr>
            </m:ctrlPr>
          </m:sSubPr>
          <m:e>
            <m:r>
              <w:rPr>
                <w:rFonts w:ascii="Cambria Math" w:hAnsi="Cambria Math"/>
                <w:sz w:val="22"/>
                <w:szCs w:val="24"/>
              </w:rPr>
              <m:t>S</m:t>
            </m:r>
          </m:e>
          <m:sub>
            <m:r>
              <w:rPr>
                <w:rFonts w:ascii="Cambria Math" w:hAnsi="Cambria Math"/>
                <w:sz w:val="22"/>
                <w:szCs w:val="24"/>
              </w:rPr>
              <m:t>v</m:t>
            </m:r>
          </m:sub>
        </m:sSub>
        <m:r>
          <w:rPr>
            <w:rFonts w:ascii="Cambria Math" w:hAnsi="Cambria Math"/>
            <w:sz w:val="22"/>
            <w:szCs w:val="24"/>
          </w:rPr>
          <m:t>=</m:t>
        </m:r>
        <m:f>
          <m:fPr>
            <m:ctrlPr>
              <w:rPr>
                <w:rFonts w:ascii="Cambria Math" w:hAnsi="Cambria Math"/>
                <w:i/>
                <w:sz w:val="22"/>
                <w:szCs w:val="24"/>
              </w:rPr>
            </m:ctrlPr>
          </m:fPr>
          <m:num>
            <m:r>
              <w:rPr>
                <w:rFonts w:ascii="Cambria Math" w:hAnsi="Cambria Math"/>
                <w:sz w:val="22"/>
                <w:szCs w:val="24"/>
              </w:rPr>
              <m:t>2</m:t>
            </m:r>
          </m:num>
          <m:den>
            <m:r>
              <w:rPr>
                <w:rFonts w:ascii="Cambria Math" w:hAnsi="Cambria Math"/>
                <w:sz w:val="22"/>
                <w:szCs w:val="24"/>
              </w:rPr>
              <m:t>9</m:t>
            </m:r>
          </m:den>
        </m:f>
        <m:r>
          <w:rPr>
            <w:rFonts w:ascii="Cambria Math" w:hAnsi="Cambria Math"/>
            <w:sz w:val="22"/>
            <w:szCs w:val="24"/>
          </w:rPr>
          <m:t>×</m:t>
        </m:r>
        <m:r>
          <m:rPr>
            <m:sty m:val="p"/>
          </m:rPr>
          <w:rPr>
            <w:rFonts w:ascii="Cambria Math" w:hAnsi="Cambria Math"/>
            <w:sz w:val="22"/>
            <w:szCs w:val="24"/>
          </w:rPr>
          <m:t>g</m:t>
        </m:r>
        <m:r>
          <w:rPr>
            <w:rFonts w:ascii="Cambria Math" w:hAnsi="Cambria Math"/>
            <w:sz w:val="22"/>
            <w:szCs w:val="24"/>
          </w:rPr>
          <m:t>×</m:t>
        </m:r>
        <m:sSup>
          <m:sSupPr>
            <m:ctrlPr>
              <w:rPr>
                <w:rFonts w:ascii="Cambria Math" w:hAnsi="Cambria Math"/>
                <w:i/>
                <w:sz w:val="22"/>
                <w:szCs w:val="24"/>
              </w:rPr>
            </m:ctrlPr>
          </m:sSupPr>
          <m:e>
            <m:r>
              <w:rPr>
                <w:rFonts w:ascii="Cambria Math" w:hAnsi="Cambria Math"/>
                <w:sz w:val="22"/>
                <w:szCs w:val="24"/>
              </w:rPr>
              <m:t>r</m:t>
            </m:r>
          </m:e>
          <m:sup>
            <m:r>
              <w:rPr>
                <w:rFonts w:ascii="Cambria Math" w:hAnsi="Cambria Math"/>
                <w:sz w:val="22"/>
                <w:szCs w:val="24"/>
              </w:rPr>
              <m:t>2</m:t>
            </m:r>
          </m:sup>
        </m:sSup>
        <m:r>
          <w:rPr>
            <w:rFonts w:ascii="Cambria Math" w:hAnsi="Cambria Math"/>
            <w:sz w:val="22"/>
            <w:szCs w:val="24"/>
          </w:rPr>
          <m:t>×</m:t>
        </m:r>
        <m:f>
          <m:fPr>
            <m:ctrlPr>
              <w:rPr>
                <w:rFonts w:ascii="Cambria Math" w:hAnsi="Cambria Math"/>
                <w:i/>
                <w:sz w:val="22"/>
                <w:szCs w:val="24"/>
              </w:rPr>
            </m:ctrlPr>
          </m:fPr>
          <m:num>
            <m:sSub>
              <m:sSubPr>
                <m:ctrlPr>
                  <w:rPr>
                    <w:rFonts w:ascii="Cambria Math" w:hAnsi="Cambria Math"/>
                    <w:i/>
                    <w:sz w:val="22"/>
                    <w:szCs w:val="24"/>
                  </w:rPr>
                </m:ctrlPr>
              </m:sSubPr>
              <m:e>
                <m:r>
                  <w:rPr>
                    <w:rFonts w:ascii="Cambria Math" w:hAnsi="Cambria Math"/>
                    <w:sz w:val="22"/>
                    <w:szCs w:val="24"/>
                  </w:rPr>
                  <m:t>ρ</m:t>
                </m:r>
              </m:e>
              <m:sub>
                <m:r>
                  <w:rPr>
                    <w:rFonts w:ascii="Cambria Math" w:hAnsi="Cambria Math"/>
                    <w:sz w:val="22"/>
                    <w:szCs w:val="24"/>
                  </w:rPr>
                  <m:t>particle</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ρ</m:t>
                </m:r>
              </m:e>
              <m:sub>
                <m:r>
                  <w:rPr>
                    <w:rFonts w:ascii="Cambria Math" w:hAnsi="Cambria Math"/>
                    <w:sz w:val="22"/>
                    <w:szCs w:val="24"/>
                  </w:rPr>
                  <m:t>SW</m:t>
                </m:r>
              </m:sub>
            </m:sSub>
          </m:num>
          <m:den>
            <m:sSub>
              <m:sSubPr>
                <m:ctrlPr>
                  <w:rPr>
                    <w:rFonts w:ascii="Cambria Math" w:hAnsi="Cambria Math"/>
                    <w:i/>
                    <w:sz w:val="22"/>
                    <w:szCs w:val="24"/>
                  </w:rPr>
                </m:ctrlPr>
              </m:sSubPr>
              <m:e>
                <m:r>
                  <w:rPr>
                    <w:rFonts w:ascii="Cambria Math" w:hAnsi="Cambria Math"/>
                    <w:sz w:val="22"/>
                    <w:szCs w:val="24"/>
                  </w:rPr>
                  <m:t>η</m:t>
                </m:r>
              </m:e>
              <m:sub>
                <m:r>
                  <w:rPr>
                    <w:rFonts w:ascii="Cambria Math" w:hAnsi="Cambria Math"/>
                    <w:sz w:val="22"/>
                    <w:szCs w:val="24"/>
                  </w:rPr>
                  <m:t>SW</m:t>
                </m:r>
              </m:sub>
            </m:sSub>
          </m:den>
        </m:f>
      </m:oMath>
      <w:r w:rsidR="00C70710" w:rsidRPr="00A603B3">
        <w:rPr>
          <w:rFonts w:eastAsiaTheme="minorEastAsia"/>
          <w:sz w:val="22"/>
          <w:szCs w:val="24"/>
        </w:rPr>
        <w:tab/>
      </w:r>
      <w:r w:rsidR="00C70710" w:rsidRPr="00A603B3">
        <w:rPr>
          <w:rFonts w:eastAsiaTheme="minorEastAsia"/>
          <w:sz w:val="22"/>
          <w:szCs w:val="24"/>
        </w:rPr>
        <w:tab/>
      </w:r>
      <w:r w:rsidR="00C70710" w:rsidRPr="00A603B3">
        <w:rPr>
          <w:rFonts w:eastAsiaTheme="minorEastAsia"/>
          <w:sz w:val="22"/>
          <w:szCs w:val="24"/>
        </w:rPr>
        <w:tab/>
      </w:r>
      <w:r w:rsidR="00C70710" w:rsidRPr="00A603B3">
        <w:rPr>
          <w:rFonts w:eastAsiaTheme="minorEastAsia"/>
          <w:sz w:val="22"/>
          <w:szCs w:val="24"/>
        </w:rPr>
        <w:tab/>
        <w:t>(S1)</w:t>
      </w:r>
    </w:p>
    <w:p w14:paraId="0B4F8FC5" w14:textId="77777777" w:rsidR="002D7258" w:rsidRPr="00A603B3" w:rsidRDefault="002D7258" w:rsidP="00860548">
      <w:pPr>
        <w:spacing w:line="276" w:lineRule="auto"/>
        <w:jc w:val="both"/>
        <w:rPr>
          <w:sz w:val="22"/>
          <w:szCs w:val="24"/>
        </w:rPr>
      </w:pPr>
    </w:p>
    <w:p w14:paraId="064B1F29" w14:textId="3BC50F43" w:rsidR="00C70710" w:rsidRPr="00A603B3" w:rsidRDefault="00C70710" w:rsidP="00860548">
      <w:pPr>
        <w:spacing w:line="276" w:lineRule="auto"/>
        <w:jc w:val="both"/>
        <w:rPr>
          <w:sz w:val="22"/>
          <w:szCs w:val="24"/>
        </w:rPr>
      </w:pPr>
      <w:r w:rsidRPr="00A603B3">
        <w:rPr>
          <w:sz w:val="22"/>
          <w:szCs w:val="24"/>
        </w:rPr>
        <w:t xml:space="preserve">where </w:t>
      </w:r>
      <w:proofErr w:type="spellStart"/>
      <w:r w:rsidRPr="00A603B3">
        <w:rPr>
          <w:i/>
          <w:sz w:val="22"/>
          <w:szCs w:val="24"/>
        </w:rPr>
        <w:t>S</w:t>
      </w:r>
      <w:r w:rsidRPr="00A603B3">
        <w:rPr>
          <w:i/>
          <w:sz w:val="22"/>
          <w:szCs w:val="24"/>
          <w:vertAlign w:val="subscript"/>
        </w:rPr>
        <w:t>v</w:t>
      </w:r>
      <w:proofErr w:type="spellEnd"/>
      <w:r w:rsidRPr="00A603B3">
        <w:rPr>
          <w:sz w:val="22"/>
          <w:szCs w:val="24"/>
        </w:rPr>
        <w:t xml:space="preserve"> is the sinking velocity, </w:t>
      </w:r>
      <w:r w:rsidRPr="00A603B3">
        <w:rPr>
          <w:i/>
          <w:sz w:val="22"/>
          <w:szCs w:val="24"/>
        </w:rPr>
        <w:t>g</w:t>
      </w:r>
      <w:r w:rsidRPr="00A603B3">
        <w:rPr>
          <w:sz w:val="22"/>
          <w:szCs w:val="24"/>
        </w:rPr>
        <w:t xml:space="preserve"> is the Earth’s gravitational acceleration (9.81 m.s</w:t>
      </w:r>
      <w:r w:rsidRPr="00A603B3">
        <w:rPr>
          <w:sz w:val="22"/>
          <w:szCs w:val="24"/>
          <w:vertAlign w:val="superscript"/>
        </w:rPr>
        <w:t>-2</w:t>
      </w:r>
      <w:r w:rsidRPr="00A603B3">
        <w:rPr>
          <w:sz w:val="22"/>
          <w:szCs w:val="24"/>
        </w:rPr>
        <w:t xml:space="preserve">), </w:t>
      </w:r>
      <w:proofErr w:type="spellStart"/>
      <w:r w:rsidRPr="00A603B3">
        <w:rPr>
          <w:i/>
          <w:sz w:val="22"/>
          <w:szCs w:val="24"/>
        </w:rPr>
        <w:t>r</w:t>
      </w:r>
      <w:proofErr w:type="spellEnd"/>
      <w:r w:rsidRPr="00A603B3">
        <w:rPr>
          <w:sz w:val="22"/>
          <w:szCs w:val="24"/>
        </w:rPr>
        <w:t xml:space="preserve"> is the radius of the particle and </w:t>
      </w:r>
      <w:proofErr w:type="spellStart"/>
      <w:r w:rsidRPr="00A603B3">
        <w:rPr>
          <w:sz w:val="22"/>
          <w:szCs w:val="24"/>
        </w:rPr>
        <w:t>ρ</w:t>
      </w:r>
      <w:r w:rsidRPr="00A603B3">
        <w:rPr>
          <w:sz w:val="22"/>
          <w:szCs w:val="24"/>
          <w:vertAlign w:val="subscript"/>
        </w:rPr>
        <w:t>particle</w:t>
      </w:r>
      <w:proofErr w:type="spellEnd"/>
      <w:r w:rsidRPr="00A603B3">
        <w:rPr>
          <w:sz w:val="22"/>
          <w:szCs w:val="24"/>
          <w:vertAlign w:val="subscript"/>
        </w:rPr>
        <w:t xml:space="preserve"> </w:t>
      </w:r>
      <w:r w:rsidRPr="00A603B3">
        <w:rPr>
          <w:sz w:val="22"/>
          <w:szCs w:val="24"/>
        </w:rPr>
        <w:t xml:space="preserve">is the density of dust or ash particles. Seawater density and viscosity of respectively </w:t>
      </w:r>
      <w:proofErr w:type="spellStart"/>
      <w:r w:rsidRPr="00A603B3">
        <w:rPr>
          <w:sz w:val="22"/>
          <w:szCs w:val="24"/>
        </w:rPr>
        <w:t>ρ</w:t>
      </w:r>
      <w:r w:rsidRPr="00A603B3">
        <w:rPr>
          <w:sz w:val="22"/>
          <w:szCs w:val="24"/>
          <w:vertAlign w:val="subscript"/>
        </w:rPr>
        <w:t>SW</w:t>
      </w:r>
      <w:proofErr w:type="spellEnd"/>
      <w:r w:rsidRPr="00A603B3">
        <w:rPr>
          <w:sz w:val="22"/>
          <w:szCs w:val="24"/>
        </w:rPr>
        <w:t xml:space="preserve"> = 1027 kg.m</w:t>
      </w:r>
      <w:r w:rsidRPr="00A603B3">
        <w:rPr>
          <w:sz w:val="22"/>
          <w:szCs w:val="24"/>
          <w:vertAlign w:val="superscript"/>
        </w:rPr>
        <w:t>-3</w:t>
      </w:r>
      <w:r w:rsidRPr="00A603B3">
        <w:rPr>
          <w:sz w:val="22"/>
          <w:szCs w:val="24"/>
        </w:rPr>
        <w:t xml:space="preserve"> and </w:t>
      </w:r>
      <w:proofErr w:type="spellStart"/>
      <w:r w:rsidRPr="00A603B3">
        <w:rPr>
          <w:sz w:val="22"/>
          <w:szCs w:val="24"/>
        </w:rPr>
        <w:t>η</w:t>
      </w:r>
      <w:r w:rsidRPr="00A603B3">
        <w:rPr>
          <w:sz w:val="22"/>
          <w:szCs w:val="24"/>
          <w:vertAlign w:val="subscript"/>
        </w:rPr>
        <w:t>SW</w:t>
      </w:r>
      <w:proofErr w:type="spellEnd"/>
      <w:r w:rsidRPr="00A603B3">
        <w:rPr>
          <w:sz w:val="22"/>
          <w:szCs w:val="24"/>
        </w:rPr>
        <w:t xml:space="preserve"> = 0.00141 kg.m</w:t>
      </w:r>
      <w:r w:rsidRPr="00A603B3">
        <w:rPr>
          <w:sz w:val="22"/>
          <w:szCs w:val="24"/>
          <w:vertAlign w:val="superscript"/>
        </w:rPr>
        <w:t>-1</w:t>
      </w:r>
      <w:r w:rsidRPr="00A603B3">
        <w:rPr>
          <w:sz w:val="22"/>
          <w:szCs w:val="24"/>
        </w:rPr>
        <w:t>.s</w:t>
      </w:r>
      <w:r w:rsidRPr="00A603B3">
        <w:rPr>
          <w:sz w:val="22"/>
          <w:szCs w:val="24"/>
          <w:vertAlign w:val="superscript"/>
        </w:rPr>
        <w:t>-1</w:t>
      </w:r>
      <w:r w:rsidRPr="00A603B3">
        <w:rPr>
          <w:sz w:val="22"/>
          <w:szCs w:val="24"/>
        </w:rPr>
        <w:t xml:space="preserve"> were calculated at 10</w:t>
      </w:r>
      <w:r w:rsidR="00860548">
        <w:rPr>
          <w:sz w:val="22"/>
          <w:szCs w:val="24"/>
        </w:rPr>
        <w:t xml:space="preserve"> </w:t>
      </w:r>
      <w:r w:rsidRPr="00A603B3">
        <w:rPr>
          <w:sz w:val="22"/>
          <w:szCs w:val="24"/>
        </w:rPr>
        <w:t>°C, according to the Engineering Tool Box (2005). The particle radius was calculated as half of the median diameter (6.4 and 22.1 µm for Pata and Eyja, respectively). Further, we used a mean estimated dust density of 2650 kg.m</w:t>
      </w:r>
      <w:r w:rsidRPr="00A603B3">
        <w:rPr>
          <w:sz w:val="22"/>
          <w:szCs w:val="24"/>
          <w:vertAlign w:val="superscript"/>
        </w:rPr>
        <w:t>-3</w:t>
      </w:r>
      <w:r w:rsidRPr="00A603B3">
        <w:rPr>
          <w:sz w:val="22"/>
          <w:szCs w:val="24"/>
        </w:rPr>
        <w:t xml:space="preserve"> (</w:t>
      </w:r>
      <w:r w:rsidR="00860548" w:rsidRPr="00A603B3">
        <w:rPr>
          <w:i/>
          <w:sz w:val="22"/>
          <w:szCs w:val="24"/>
        </w:rPr>
        <w:t>e.g.,</w:t>
      </w:r>
      <w:r w:rsidRPr="00A603B3">
        <w:rPr>
          <w:sz w:val="22"/>
          <w:szCs w:val="24"/>
        </w:rPr>
        <w:t xml:space="preserve"> </w:t>
      </w:r>
      <w:r w:rsidR="00860548">
        <w:rPr>
          <w:sz w:val="22"/>
          <w:szCs w:val="24"/>
        </w:rPr>
        <w:fldChar w:fldCharType="begin" w:fldLock="1"/>
      </w:r>
      <w:r w:rsidR="005E076C">
        <w:rPr>
          <w:sz w:val="22"/>
          <w:szCs w:val="24"/>
        </w:rPr>
        <w:instrText>ADDIN CSL_CITATION {"citationItems":[{"id":"ITEM-1","itemData":{"DOI":"10.1155/2013/245076","ISSN":"2314-4645","abstract":"This review paper contrasts volcanic ash and mineral dust regarding their chemical and physical properties, sources, atmospheric load, deposition processes, atmospheric processing, and environmental and climate effects. Although there are substantial differences in the history of mineral dust and volcanic ash particles before they are released into the atmosphere, a number of similarities exist in atmospheric processing at ambient temperatures and environmental and climate impacts. By providing an overview on the differences and similarities between volcanic ash and mineral dust processes and effects, this review paper aims to appeal for future joint research strategies to extend our current knowledge through close cooperation between mineral dust and volcanic ash researchers.","author":[{"dropping-particle":"","family":"Langmann","given":"Baerbel","non-dropping-particle":"","parse-names":false,"suffix":""}],"container-title":"ISRN Atmospheric Sciences","id":"ITEM-1","issue":"ii","issued":{"date-parts":[["2013"]]},"page":"1-17","title":"Volcanic Ash versus Mineral Dust: Atmospheric Processing and Environmental and Climate Impacts","type":"article-journal","volume":"2013"},"uris":["http://www.mendeley.com/documents/?uuid=191b177d-08d8-46a7-b744-d928f6df6707"]}],"mendeley":{"formattedCitation":"(Langmann, 2013)","manualFormatting":"Langmann, 2013)","plainTextFormattedCitation":"(Langmann, 2013)","previouslyFormattedCitation":"(Langmann, 2013)"},"properties":{"noteIndex":0},"schema":"https://github.com/citation-style-language/schema/raw/master/csl-citation.json"}</w:instrText>
      </w:r>
      <w:r w:rsidR="00860548">
        <w:rPr>
          <w:sz w:val="22"/>
          <w:szCs w:val="24"/>
        </w:rPr>
        <w:fldChar w:fldCharType="separate"/>
      </w:r>
      <w:r w:rsidR="00860548" w:rsidRPr="00860548">
        <w:rPr>
          <w:noProof/>
          <w:sz w:val="22"/>
          <w:szCs w:val="24"/>
        </w:rPr>
        <w:t>Langmann, 2013)</w:t>
      </w:r>
      <w:r w:rsidR="00860548">
        <w:rPr>
          <w:sz w:val="22"/>
          <w:szCs w:val="24"/>
        </w:rPr>
        <w:fldChar w:fldCharType="end"/>
      </w:r>
      <w:r w:rsidR="00037A5E" w:rsidRPr="00A603B3">
        <w:rPr>
          <w:sz w:val="22"/>
          <w:szCs w:val="24"/>
        </w:rPr>
        <w:t xml:space="preserve"> </w:t>
      </w:r>
      <w:r w:rsidRPr="00A603B3">
        <w:rPr>
          <w:sz w:val="22"/>
          <w:szCs w:val="24"/>
        </w:rPr>
        <w:t>and an Eyja density of 1400</w:t>
      </w:r>
      <w:r w:rsidRPr="00A603B3">
        <w:rPr>
          <w:sz w:val="22"/>
          <w:szCs w:val="24"/>
          <w:vertAlign w:val="superscript"/>
        </w:rPr>
        <w:t xml:space="preserve"> </w:t>
      </w:r>
      <w:r w:rsidRPr="00A603B3">
        <w:rPr>
          <w:sz w:val="22"/>
          <w:szCs w:val="24"/>
        </w:rPr>
        <w:t>kg.m</w:t>
      </w:r>
      <w:r w:rsidRPr="00A603B3">
        <w:rPr>
          <w:sz w:val="22"/>
          <w:szCs w:val="24"/>
          <w:vertAlign w:val="superscript"/>
        </w:rPr>
        <w:t>-3</w:t>
      </w:r>
      <w:r w:rsidRPr="00A603B3">
        <w:rPr>
          <w:sz w:val="22"/>
          <w:szCs w:val="24"/>
        </w:rPr>
        <w:t xml:space="preserve"> </w:t>
      </w:r>
      <w:r w:rsidR="00860548" w:rsidRPr="00A603B3">
        <w:rPr>
          <w:sz w:val="22"/>
          <w:szCs w:val="24"/>
        </w:rPr>
        <w:fldChar w:fldCharType="begin" w:fldLock="1"/>
      </w:r>
      <w:r w:rsidR="00860548" w:rsidRPr="00A603B3">
        <w:rPr>
          <w:sz w:val="22"/>
          <w:szCs w:val="24"/>
        </w:rPr>
        <w:instrText>ADDIN CSL_CITATION {"citationItems":[{"id":"ITEM-1","itemData":{"DOI":"10.1038/srep00572","ISSN":"20452322","PMID":"22893851","abstract":"The 39-day long eruption at the summit of Eyjafjallajokull volcano in April-May 2010 was of modest size but ash was widely dispersed. By combining data from ground surveys and remote sensing we show that the erupted material was 4±861.2.10 11 kg (benmoreite and trachyte, dense rock equivalent volume 0.1860.05 km 3). About 20% was lava and water-transported tephra, 80% was airborne tephra (bulk volume 0.27 km 3) transported by 3-10 km high plumes. The airborne tephra was mostly fine ash (diameter ,1000 mm). At least 7.10 10 kg (70 Tg) was very fine ash (&lt;28 μm), several times more than previously estimated via satellite retrievals. About 50% of the tephra fell in Iceland with the remainder carried towards south and east, detected over,7 millionkm 2 in Europe and the North Atlantic. Of order 10 10 kg (2%) are considered to have been transported longer than 600</w:instrText>
      </w:r>
      <w:r w:rsidR="00860548" w:rsidRPr="00A603B3">
        <w:rPr>
          <w:rFonts w:ascii="Cambria Math" w:hAnsi="Cambria Math" w:cs="Cambria Math"/>
          <w:sz w:val="22"/>
          <w:szCs w:val="24"/>
        </w:rPr>
        <w:instrText>∼</w:instrText>
      </w:r>
      <w:r w:rsidR="00860548" w:rsidRPr="00A603B3">
        <w:rPr>
          <w:sz w:val="22"/>
          <w:szCs w:val="24"/>
        </w:rPr>
        <w:instrText>700 km with ,10 8 kg (,0.02%) reaching mainland Europe.","author":[{"dropping-particle":"","family":"Gudmundsson","given":"Magnus T.","non-dropping-particle":"","parse-names":false,"suffix":""},{"dropping-particle":"","family":"Thordarson","given":"Thorvaldur","non-dropping-particle":"","parse-names":false,"suffix":""},{"dropping-particle":"","family":"Hoskuldsson","given":"Armann","non-dropping-particle":"","parse-names":false,"suffix":""},{"dropping-particle":"","family":"Larsen","given":"Gudrun","non-dropping-particle":"","parse-names":false,"suffix":""},{"dropping-particle":"","family":"Bjornsson","given":"Halldor","non-dropping-particle":"","parse-names":false,"suffix":""},{"dropping-particle":"","family":"Prata","given":"Fred J.","non-dropping-particle":"","parse-names":false,"suffix":""},{"dropping-particle":"","family":"Oddsson","given":"Bjorn","non-dropping-particle":"","parse-names":false,"suffix":""},{"dropping-particle":"","family":"Magnusson","given":"Eyjolfur","non-dropping-particle":"","parse-names":false,"suffix":""},{"dropping-particle":"","family":"Hognadottir","given":"Thords","non-dropping-particle":"","parse-names":false,"suffix":""},{"dropping-particle":"","family":"Petersen","given":"Guorun Nna","non-dropping-particle":"","parse-names":false,"suffix":""},{"dropping-particle":"","family":"Hayward","given":"Chris L.","non-dropping-particle":"","parse-names":false,"suffix":""},{"dropping-particle":"","family":"Stevenson","given":"John A.","non-dropping-particle":"","parse-names":false,"suffix":""},{"dropping-particle":"","family":"Jonsdottir","given":"Ingibjorg","non-dropping-particle":"","parse-names":false,"suffix":""}],"container-title":"Scientific Reports","id":"ITEM-1","issued":{"date-parts":[["2012"]]},"page":"1-12","title":"Ash generation and distribution from the April-May 2010 eruption of Eyjafjallajökull, Iceland","type":"article-journal","volume":"2"},"uris":["http://www.mendeley.com/documents/?uuid=c10fec01-370a-4d0d-9aa5-b1f352df88dc"]}],"mendeley":{"formattedCitation":"(Gudmundsson et al., 2012)","plainTextFormattedCitation":"(Gudmundsson et al., 2012)","previouslyFormattedCitation":"(Gudmundsson et al., 2012)"},"properties":{"noteIndex":0},"schema":"https://github.com/citation-style-language/schema/raw/master/csl-citation.json"}</w:instrText>
      </w:r>
      <w:r w:rsidR="00860548" w:rsidRPr="00A603B3">
        <w:rPr>
          <w:sz w:val="22"/>
          <w:szCs w:val="24"/>
        </w:rPr>
        <w:fldChar w:fldCharType="separate"/>
      </w:r>
      <w:r w:rsidR="00860548" w:rsidRPr="00A603B3">
        <w:rPr>
          <w:noProof/>
          <w:sz w:val="22"/>
          <w:szCs w:val="24"/>
        </w:rPr>
        <w:t>(Gudmundsson et al., 2012)</w:t>
      </w:r>
      <w:r w:rsidR="00860548" w:rsidRPr="00A603B3">
        <w:rPr>
          <w:sz w:val="22"/>
          <w:szCs w:val="24"/>
        </w:rPr>
        <w:fldChar w:fldCharType="end"/>
      </w:r>
      <w:r w:rsidR="00037A5E" w:rsidRPr="00A603B3">
        <w:rPr>
          <w:sz w:val="22"/>
          <w:szCs w:val="24"/>
        </w:rPr>
        <w:t>.</w:t>
      </w:r>
    </w:p>
    <w:p w14:paraId="0AF709EA" w14:textId="77777777" w:rsidR="00C70710" w:rsidRPr="00A603B3" w:rsidRDefault="00C70710" w:rsidP="00860548">
      <w:pPr>
        <w:spacing w:line="276" w:lineRule="auto"/>
        <w:jc w:val="both"/>
        <w:rPr>
          <w:sz w:val="22"/>
          <w:szCs w:val="24"/>
        </w:rPr>
      </w:pPr>
      <w:r w:rsidRPr="00A603B3">
        <w:rPr>
          <w:sz w:val="22"/>
          <w:szCs w:val="24"/>
        </w:rPr>
        <w:t>Applying Stokes’ law, we obtain the following sinking velocities for both aerosols:</w:t>
      </w:r>
    </w:p>
    <w:p w14:paraId="42441B51" w14:textId="77777777" w:rsidR="00C70710" w:rsidRPr="00A603B3" w:rsidRDefault="00C70710" w:rsidP="00860548">
      <w:pPr>
        <w:spacing w:line="276" w:lineRule="auto"/>
        <w:jc w:val="center"/>
        <w:rPr>
          <w:sz w:val="22"/>
          <w:szCs w:val="24"/>
          <w:vertAlign w:val="superscript"/>
        </w:rPr>
      </w:pPr>
      <w:proofErr w:type="spellStart"/>
      <w:r w:rsidRPr="00A603B3">
        <w:rPr>
          <w:sz w:val="22"/>
          <w:szCs w:val="24"/>
        </w:rPr>
        <w:t>S</w:t>
      </w:r>
      <w:r w:rsidRPr="00A603B3">
        <w:rPr>
          <w:sz w:val="22"/>
          <w:szCs w:val="24"/>
          <w:vertAlign w:val="subscript"/>
        </w:rPr>
        <w:t>v</w:t>
      </w:r>
      <w:r w:rsidRPr="00A603B3">
        <w:rPr>
          <w:sz w:val="22"/>
          <w:szCs w:val="24"/>
        </w:rPr>
        <w:t>-Pata</w:t>
      </w:r>
      <w:proofErr w:type="spellEnd"/>
      <w:r w:rsidRPr="00A603B3">
        <w:rPr>
          <w:sz w:val="22"/>
          <w:szCs w:val="24"/>
        </w:rPr>
        <w:t xml:space="preserve"> = 2.2 m.day</w:t>
      </w:r>
      <w:r w:rsidRPr="00A603B3">
        <w:rPr>
          <w:sz w:val="22"/>
          <w:szCs w:val="24"/>
          <w:vertAlign w:val="superscript"/>
        </w:rPr>
        <w:t>-1</w:t>
      </w:r>
    </w:p>
    <w:p w14:paraId="49D8CCF0" w14:textId="77777777" w:rsidR="00C70710" w:rsidRPr="00A603B3" w:rsidRDefault="00C70710" w:rsidP="00860548">
      <w:pPr>
        <w:spacing w:line="276" w:lineRule="auto"/>
        <w:jc w:val="center"/>
        <w:rPr>
          <w:sz w:val="22"/>
          <w:szCs w:val="24"/>
          <w:vertAlign w:val="superscript"/>
        </w:rPr>
      </w:pPr>
      <w:proofErr w:type="spellStart"/>
      <w:r w:rsidRPr="00A603B3">
        <w:rPr>
          <w:sz w:val="22"/>
          <w:szCs w:val="24"/>
        </w:rPr>
        <w:t>S</w:t>
      </w:r>
      <w:r w:rsidRPr="00A603B3">
        <w:rPr>
          <w:sz w:val="22"/>
          <w:szCs w:val="24"/>
          <w:vertAlign w:val="subscript"/>
        </w:rPr>
        <w:t>v</w:t>
      </w:r>
      <w:r w:rsidRPr="00A603B3">
        <w:rPr>
          <w:sz w:val="22"/>
          <w:szCs w:val="24"/>
        </w:rPr>
        <w:t>-Eyja</w:t>
      </w:r>
      <w:proofErr w:type="spellEnd"/>
      <w:r w:rsidRPr="00A603B3">
        <w:rPr>
          <w:sz w:val="22"/>
          <w:szCs w:val="24"/>
        </w:rPr>
        <w:t xml:space="preserve"> = 6.1 m.day</w:t>
      </w:r>
      <w:r w:rsidRPr="00A603B3">
        <w:rPr>
          <w:sz w:val="22"/>
          <w:szCs w:val="24"/>
          <w:vertAlign w:val="superscript"/>
        </w:rPr>
        <w:t>-1</w:t>
      </w:r>
    </w:p>
    <w:p w14:paraId="1D3AFD37" w14:textId="77777777" w:rsidR="000A7E3A" w:rsidRPr="00A603B3" w:rsidRDefault="000A7E3A" w:rsidP="00860548">
      <w:pPr>
        <w:pStyle w:val="SMText"/>
        <w:spacing w:line="276" w:lineRule="auto"/>
        <w:ind w:firstLine="0"/>
        <w:jc w:val="both"/>
        <w:rPr>
          <w:sz w:val="22"/>
          <w:szCs w:val="24"/>
        </w:rPr>
      </w:pPr>
    </w:p>
    <w:p w14:paraId="7B10DB47" w14:textId="73685164" w:rsidR="00A842E2" w:rsidRPr="00A603B3" w:rsidRDefault="00C70710" w:rsidP="00860548">
      <w:pPr>
        <w:pStyle w:val="SMText"/>
        <w:spacing w:line="276" w:lineRule="auto"/>
        <w:ind w:firstLine="0"/>
        <w:jc w:val="both"/>
        <w:rPr>
          <w:sz w:val="22"/>
          <w:szCs w:val="24"/>
        </w:rPr>
      </w:pPr>
      <w:r w:rsidRPr="00A603B3">
        <w:rPr>
          <w:sz w:val="22"/>
          <w:szCs w:val="24"/>
        </w:rPr>
        <w:t>After 48</w:t>
      </w:r>
      <w:r w:rsidR="00D67B46">
        <w:rPr>
          <w:sz w:val="22"/>
          <w:szCs w:val="24"/>
        </w:rPr>
        <w:t xml:space="preserve"> </w:t>
      </w:r>
      <w:r w:rsidRPr="00A603B3">
        <w:rPr>
          <w:sz w:val="22"/>
          <w:szCs w:val="24"/>
        </w:rPr>
        <w:t xml:space="preserve">h of settling in seawater, the dust and ash particles would theoretically reach respectively 4.4 and 12.2 m depth. The mixed layer depth (MLD) ranks from 13 m to 50 m respectively in the LNLC and HNLC zones of the study area during austral summer </w:t>
      </w:r>
      <w:r w:rsidRPr="00A603B3">
        <w:rPr>
          <w:sz w:val="22"/>
          <w:szCs w:val="24"/>
        </w:rPr>
        <w:fldChar w:fldCharType="begin" w:fldLock="1"/>
      </w:r>
      <w:r w:rsidR="00860548">
        <w:rPr>
          <w:sz w:val="22"/>
          <w:szCs w:val="24"/>
        </w:rPr>
        <w:instrText>ADDIN CSL_CITATION {"citationItems":[{"id":"ITEM-1","itemData":{"DOI":"10.5194/bg-18-3733-2021","ISSN":"1726-4189","author":[{"dropping-particle":"","family":"Hörstmann","given":"Cora","non-dropping-particle":"","parse-names":false,"suffix":""},{"dropping-particle":"","family":"Raes","given":"Eric J","non-dropping-particle":"","parse-names":false,"suffix":""},{"dropping-particle":"","family":"Buttigieg","given":"Pier Luigi","non-dropping-particle":"","parse-names":false,"suffix":""},{"dropping-particle":"","family":"Monaco","given":"Claire","non-dropping-particle":"Lo","parse-names":false,"suffix":""},{"dropping-particle":"","family":"John","given":"Uwe","non-dropping-particle":"","parse-names":false,"suffix":""},{"dropping-particle":"","family":"Waite","given":"Anya M.","non-dropping-particle":"","parse-names":false,"suffix":""}],"container-title":"Biogeosciences","id":"ITEM-1","issue":"12","issued":{"date-parts":[["2021","6","22"]]},"page":"3733-3749","title":"Hydrographic fronts shape productivity, nitrogen fixation, and microbial community composition in the southern Indian Ocean and the Southern Ocean","type":"article-journal","volume":"18"},"uris":["http://www.mendeley.com/documents/?uuid=93922a5b-2e03-4442-baf7-7af43ec14947"]}],"mendeley":{"formattedCitation":"(Hörstmann et al., 2021)","plainTextFormattedCitation":"(Hörstmann et al., 2021)","previouslyFormattedCitation":"(Hörstmann et al., 2021)"},"properties":{"noteIndex":0},"schema":"https://github.com/citation-style-language/schema/raw/master/csl-citation.json"}</w:instrText>
      </w:r>
      <w:r w:rsidRPr="00A603B3">
        <w:rPr>
          <w:sz w:val="22"/>
          <w:szCs w:val="24"/>
        </w:rPr>
        <w:fldChar w:fldCharType="separate"/>
      </w:r>
      <w:r w:rsidRPr="00A603B3">
        <w:rPr>
          <w:noProof/>
          <w:sz w:val="22"/>
          <w:szCs w:val="24"/>
        </w:rPr>
        <w:t>(Hörstmann et al., 2021)</w:t>
      </w:r>
      <w:r w:rsidRPr="00A603B3">
        <w:rPr>
          <w:sz w:val="22"/>
          <w:szCs w:val="24"/>
        </w:rPr>
        <w:fldChar w:fldCharType="end"/>
      </w:r>
      <w:r w:rsidRPr="00A603B3">
        <w:rPr>
          <w:sz w:val="22"/>
          <w:szCs w:val="24"/>
        </w:rPr>
        <w:t xml:space="preserve">. Thus, the majority of dust/ash particles should theoretically not reach the MLD during the experimental time lapse. In this study, we used </w:t>
      </w:r>
      <w:r w:rsidR="00D67B46">
        <w:rPr>
          <w:sz w:val="22"/>
          <w:szCs w:val="24"/>
        </w:rPr>
        <w:t>particle charges</w:t>
      </w:r>
      <w:r w:rsidRPr="00A603B3">
        <w:rPr>
          <w:sz w:val="22"/>
          <w:szCs w:val="24"/>
        </w:rPr>
        <w:t xml:space="preserve"> of 2 and 25 mg.L</w:t>
      </w:r>
      <w:r w:rsidRPr="00A603B3">
        <w:rPr>
          <w:sz w:val="22"/>
          <w:szCs w:val="24"/>
          <w:vertAlign w:val="superscript"/>
        </w:rPr>
        <w:t>-1</w:t>
      </w:r>
      <w:r w:rsidRPr="00A603B3">
        <w:rPr>
          <w:sz w:val="22"/>
          <w:szCs w:val="24"/>
        </w:rPr>
        <w:t xml:space="preserve"> respectively in the dust and ash treatments, which correspond to an estimated deposition of 9 and 300 g.m</w:t>
      </w:r>
      <w:r w:rsidRPr="00A603B3">
        <w:rPr>
          <w:sz w:val="22"/>
          <w:szCs w:val="24"/>
          <w:vertAlign w:val="superscript"/>
        </w:rPr>
        <w:t>-2</w:t>
      </w:r>
      <w:r w:rsidRPr="00A603B3">
        <w:rPr>
          <w:sz w:val="22"/>
          <w:szCs w:val="24"/>
        </w:rPr>
        <w:t>, assuming a mixing of aerosols within the 4.4 and 12.2 m upper layer. With a density of 1400</w:t>
      </w:r>
      <w:r w:rsidRPr="00A603B3">
        <w:rPr>
          <w:sz w:val="22"/>
          <w:szCs w:val="24"/>
          <w:vertAlign w:val="superscript"/>
        </w:rPr>
        <w:t xml:space="preserve"> </w:t>
      </w:r>
      <w:r w:rsidRPr="00A603B3">
        <w:rPr>
          <w:sz w:val="22"/>
          <w:szCs w:val="24"/>
        </w:rPr>
        <w:t>kg.m</w:t>
      </w:r>
      <w:r w:rsidRPr="00A603B3">
        <w:rPr>
          <w:sz w:val="22"/>
          <w:szCs w:val="24"/>
          <w:vertAlign w:val="superscript"/>
        </w:rPr>
        <w:t>-3</w:t>
      </w:r>
      <w:r w:rsidRPr="00A603B3">
        <w:rPr>
          <w:sz w:val="22"/>
          <w:szCs w:val="24"/>
        </w:rPr>
        <w:t xml:space="preserve"> </w:t>
      </w:r>
      <w:r w:rsidRPr="00A603B3">
        <w:rPr>
          <w:sz w:val="22"/>
          <w:szCs w:val="24"/>
        </w:rPr>
        <w:fldChar w:fldCharType="begin" w:fldLock="1"/>
      </w:r>
      <w:r w:rsidRPr="00A603B3">
        <w:rPr>
          <w:sz w:val="22"/>
          <w:szCs w:val="24"/>
        </w:rPr>
        <w:instrText>ADDIN CSL_CITATION {"citationItems":[{"id":"ITEM-1","itemData":{"DOI":"10.1038/srep00572","ISSN":"20452322","PMID":"22893851","abstract":"The 39-day long eruption at the summit of Eyjafjallajokull volcano in April-May 2010 was of modest size but ash was widely dispersed. By combining data from ground surveys and remote sensing we show that the erupted material was 4±861.2.10 11 kg (benmoreite and trachyte, dense rock equivalent volume 0.1860.05 km 3). About 20% was lava and water-transported tephra, 80% was airborne tephra (bulk volume 0.27 km 3) transported by 3-10 km high plumes. The airborne tephra was mostly fine ash (diameter ,1000 mm). At least 7.10 10 kg (70 Tg) was very fine ash (&lt;28 μm), several times more than previously estimated via satellite retrievals. About 50% of the tephra fell in Iceland with the remainder carried towards south and east, detected over,7 millionkm 2 in Europe and the North Atlantic. Of order 10 10 kg (2%) are considered to have been transported longer than 600</w:instrText>
      </w:r>
      <w:r w:rsidRPr="00A603B3">
        <w:rPr>
          <w:rFonts w:ascii="Cambria Math" w:hAnsi="Cambria Math" w:cs="Cambria Math"/>
          <w:sz w:val="22"/>
          <w:szCs w:val="24"/>
        </w:rPr>
        <w:instrText>∼</w:instrText>
      </w:r>
      <w:r w:rsidRPr="00A603B3">
        <w:rPr>
          <w:sz w:val="22"/>
          <w:szCs w:val="24"/>
        </w:rPr>
        <w:instrText>700 km with ,10 8 kg (,0.02%) reaching mainland Europe.","author":[{"dropping-particle":"","family":"Gudmundsson","given":"Magnus T.","non-dropping-particle":"","parse-names":false,"suffix":""},{"dropping-particle":"","family":"Thordarson","given":"Thorvaldur","non-dropping-particle":"","parse-names":false,"suffix":""},{"dropping-particle":"","family":"Hoskuldsson","given":"Armann","non-dropping-particle":"","parse-names":false,"suffix":""},{"dropping-particle":"","family":"Larsen","given":"Gudrun","non-dropping-particle":"","parse-names":false,"suffix":""},{"dropping-particle":"","family":"Bjornsson","given":"Halldor","non-dropping-particle":"","parse-names":false,"suffix":""},{"dropping-particle":"","family":"Prata","given":"Fred J.","non-dropping-particle":"","parse-names":false,"suffix":""},{"dropping-particle":"","family":"Oddsson","given":"Bjorn","non-dropping-particle":"","parse-names":false,"suffix":""},{"dropping-particle":"","family":"Magnusson","given":"Eyjolfur","non-dropping-particle":"","parse-names":false,"suffix":""},{"dropping-particle":"","family":"Hognadottir","given":"Thords","non-dropping-particle":"","parse-names":false,"suffix":""},{"dropping-particle":"","family":"Petersen","given":"Guorun Nna","non-dropping-particle":"","parse-names":false,"suffix":""},{"dropping-particle":"","family":"Hayward","given":"Chris L.","non-dropping-particle":"","parse-names":false,"suffix":""},{"dropping-particle":"","family":"Stevenson","given":"John A.","non-dropping-particle":"","parse-names":false,"suffix":""},{"dropping-particle":"","family":"Jonsdottir","given":"Ingibjorg","non-dropping-particle":"","parse-names":false,"suffix":""}],"container-title":"Scientific Reports","id":"ITEM-1","issued":{"date-parts":[["2012"]]},"page":"1-12","title":"Ash generation and distribution from the April-May 2010 eruption of Eyjafjallajökull, Iceland","type":"article-journal","volume":"2"},"uris":["http://www.mendeley.com/documents/?uuid=c10fec01-370a-4d0d-9aa5-b1f352df88dc"]}],"mendeley":{"formattedCitation":"(Gudmundsson et al., 2012)","plainTextFormattedCitation":"(Gudmundsson et al., 2012)","previouslyFormattedCitation":"(Gudmundsson et al., 2012)"},"properties":{"noteIndex":0},"schema":"https://github.com/citation-style-language/schema/raw/master/csl-citation.json"}</w:instrText>
      </w:r>
      <w:r w:rsidRPr="00A603B3">
        <w:rPr>
          <w:sz w:val="22"/>
          <w:szCs w:val="24"/>
        </w:rPr>
        <w:fldChar w:fldCharType="separate"/>
      </w:r>
      <w:r w:rsidRPr="00A603B3">
        <w:rPr>
          <w:noProof/>
          <w:sz w:val="22"/>
          <w:szCs w:val="24"/>
        </w:rPr>
        <w:t>(Gudmundsson et al., 2012)</w:t>
      </w:r>
      <w:r w:rsidRPr="00A603B3">
        <w:rPr>
          <w:sz w:val="22"/>
          <w:szCs w:val="24"/>
        </w:rPr>
        <w:fldChar w:fldCharType="end"/>
      </w:r>
      <w:r w:rsidRPr="00A603B3">
        <w:rPr>
          <w:sz w:val="22"/>
          <w:szCs w:val="24"/>
        </w:rPr>
        <w:t>, the Eyja deposition of 300 g.m</w:t>
      </w:r>
      <w:r w:rsidRPr="00A603B3">
        <w:rPr>
          <w:sz w:val="22"/>
          <w:szCs w:val="24"/>
          <w:vertAlign w:val="superscript"/>
        </w:rPr>
        <w:t>-2</w:t>
      </w:r>
      <w:r w:rsidRPr="00A603B3">
        <w:rPr>
          <w:sz w:val="22"/>
          <w:szCs w:val="24"/>
        </w:rPr>
        <w:t xml:space="preserve"> corresponds to an ash layer of 0.2 mm over the sea surface.</w:t>
      </w:r>
    </w:p>
    <w:p w14:paraId="50B92AC1" w14:textId="77777777" w:rsidR="00DC228B" w:rsidRPr="00A603B3" w:rsidRDefault="00DC228B" w:rsidP="00860548">
      <w:pPr>
        <w:spacing w:line="276" w:lineRule="auto"/>
        <w:rPr>
          <w:sz w:val="22"/>
          <w:szCs w:val="24"/>
        </w:rPr>
      </w:pPr>
    </w:p>
    <w:p w14:paraId="6AAA009B" w14:textId="77777777" w:rsidR="003579A5" w:rsidRPr="00A603B3" w:rsidRDefault="003579A5" w:rsidP="00860548">
      <w:pPr>
        <w:spacing w:line="276" w:lineRule="auto"/>
        <w:rPr>
          <w:b/>
          <w:bCs/>
          <w:kern w:val="32"/>
          <w:sz w:val="22"/>
          <w:szCs w:val="22"/>
        </w:rPr>
      </w:pPr>
      <w:r w:rsidRPr="00A603B3">
        <w:rPr>
          <w:sz w:val="22"/>
          <w:szCs w:val="22"/>
        </w:rPr>
        <w:br w:type="page"/>
      </w:r>
    </w:p>
    <w:p w14:paraId="16E639FD" w14:textId="77777777" w:rsidR="00DC228B" w:rsidRPr="00A603B3" w:rsidRDefault="00DC228B" w:rsidP="00860548">
      <w:pPr>
        <w:pStyle w:val="SMHeading"/>
        <w:spacing w:line="276" w:lineRule="auto"/>
        <w:rPr>
          <w:sz w:val="22"/>
          <w:szCs w:val="22"/>
        </w:rPr>
      </w:pPr>
      <w:r w:rsidRPr="00A603B3">
        <w:rPr>
          <w:sz w:val="22"/>
          <w:szCs w:val="22"/>
        </w:rPr>
        <w:lastRenderedPageBreak/>
        <w:t>Text S3. Contribution of phytoplankton size class</w:t>
      </w:r>
      <w:r w:rsidR="000966C0" w:rsidRPr="00A603B3">
        <w:rPr>
          <w:sz w:val="22"/>
          <w:szCs w:val="22"/>
        </w:rPr>
        <w:t xml:space="preserve">es to </w:t>
      </w:r>
      <w:r w:rsidR="00127F26" w:rsidRPr="00A603B3">
        <w:rPr>
          <w:sz w:val="22"/>
          <w:szCs w:val="22"/>
        </w:rPr>
        <w:t>the total biomass</w:t>
      </w:r>
    </w:p>
    <w:p w14:paraId="194B662B" w14:textId="1CAEE1ED" w:rsidR="00DC228B" w:rsidRPr="00A603B3" w:rsidRDefault="00D071A2" w:rsidP="00860548">
      <w:pPr>
        <w:spacing w:line="276" w:lineRule="auto"/>
        <w:jc w:val="both"/>
        <w:rPr>
          <w:sz w:val="22"/>
          <w:szCs w:val="22"/>
        </w:rPr>
      </w:pPr>
      <w:r w:rsidRPr="00A603B3">
        <w:rPr>
          <w:sz w:val="22"/>
          <w:szCs w:val="22"/>
        </w:rPr>
        <w:t>The biomass fractions of micro-, nano- and picophytoplankton</w:t>
      </w:r>
      <w:r w:rsidR="00127F26" w:rsidRPr="00A603B3">
        <w:rPr>
          <w:sz w:val="22"/>
          <w:szCs w:val="22"/>
        </w:rPr>
        <w:t xml:space="preserve"> (Fig. S1)</w:t>
      </w:r>
      <w:r w:rsidRPr="00A603B3">
        <w:rPr>
          <w:sz w:val="22"/>
          <w:szCs w:val="22"/>
        </w:rPr>
        <w:t xml:space="preserve"> were calculated according to </w:t>
      </w:r>
      <w:r w:rsidRPr="00A603B3">
        <w:rPr>
          <w:sz w:val="22"/>
          <w:szCs w:val="22"/>
        </w:rPr>
        <w:fldChar w:fldCharType="begin" w:fldLock="1"/>
      </w:r>
      <w:r w:rsidR="005E076C">
        <w:rPr>
          <w:sz w:val="22"/>
          <w:szCs w:val="22"/>
        </w:rPr>
        <w:instrText>ADDIN CSL_CITATION {"citationItems":[{"id":"ITEM-1","itemData":{"DOI":"10.1029/2005JC003207","ISSN":"0148-0227","abstract":"The present study examines the potential of using the near-surface chlorophyll a conkentration ([Chla]surf), as it can be derived from ocean color observation, to infer the column-integrated phytoplankton biomass, its vertical distribution, and ultimately the community composition. Within this context, a large High-Performance Liquid Chromatography (HPLC) pigment database was analyzed. It includes 2419 vertical pigment profiles, sampled in case 1 waters with various trophic states (0.03-6 mg Chla m-3). The relationships between [Chla]surf and the chlorophyll a vertical distribution, as previously derived by Morel and Berthon (1989), are fully confirmed. This agreement makes it possible to go further and to examine if similar relationships between [Chla]surf and the phytoplankton assemblage composition along the vertical can be derived. Thanks to the detailed pigment composition, and use of specific pigment biomarkers, the contribution to the local chlorophyll a concentration of three phytoplankton groups can be assessed. With some cautions, these groups coincide with three size classes, i.e., microplankton, nanoplankton and picoplankton. Corroborating previous regional findings (e.g., large species dominate in eutrophic environments, whereas tiny phytoplankton prevail in oligotrophic zones), the present results lead to an empirical parameterization applicable to most oceanic waters. The predictive skill of this parameterization is satisfactorily tested on a separate data set. With such a tool, the vertical chlorophyll a profiles of each group can be inferred solely from the knowledge of [Chla]surf. By combining this tool with satellite ocean color data, it becomes possible to quantify on a global scale the phytoplankton biomass associated with each of the three algal assemblages. Copyright 2006 by the American Geophysical Union.","author":[{"dropping-particle":"","family":"Uitz","given":"Julia","non-dropping-particle":"","parse-names":false,"suffix":""},{"dropping-particle":"","family":"Claustre","given":"Hervé","non-dropping-particle":"","parse-names":false,"suffix":""},{"dropping-particle":"","family":"Morel","given":"André","non-dropping-particle":"","parse-names":false,"suffix":""},{"dropping-particle":"","family":"Hooker","given":"Stanford B.","non-dropping-particle":"","parse-names":false,"suffix":""}],"container-title":"Journal of Geophysical Research","id":"ITEM-1","issue":"C8","issued":{"date-parts":[["2006"]]},"page":"C08005","title":"Vertical distribution of phytoplankton communities in open ocean: An assessment based on surface chlorophyll","type":"article-journal","volume":"111"},"uris":["http://www.mendeley.com/documents/?uuid=799b0805-245e-4644-9233-5a0932c01852"]}],"mendeley":{"formattedCitation":"(Uitz et al., 2006)","manualFormatting":"Uitz et al. (2006)","plainTextFormattedCitation":"(Uitz et al., 2006)","previouslyFormattedCitation":"(Uitz et al., 2006)"},"properties":{"noteIndex":0},"schema":"https://github.com/citation-style-language/schema/raw/master/csl-citation.json"}</w:instrText>
      </w:r>
      <w:r w:rsidRPr="00A603B3">
        <w:rPr>
          <w:sz w:val="22"/>
          <w:szCs w:val="22"/>
        </w:rPr>
        <w:fldChar w:fldCharType="separate"/>
      </w:r>
      <w:r w:rsidRPr="00A603B3">
        <w:rPr>
          <w:noProof/>
          <w:sz w:val="22"/>
          <w:szCs w:val="22"/>
        </w:rPr>
        <w:t>Uitz et al. (2006)</w:t>
      </w:r>
      <w:r w:rsidRPr="00A603B3">
        <w:rPr>
          <w:sz w:val="22"/>
          <w:szCs w:val="22"/>
        </w:rPr>
        <w:fldChar w:fldCharType="end"/>
      </w:r>
      <w:r w:rsidR="00127F26" w:rsidRPr="00A603B3">
        <w:rPr>
          <w:sz w:val="22"/>
          <w:szCs w:val="22"/>
        </w:rPr>
        <w:t xml:space="preserve"> depending on their individual pigment signature</w:t>
      </w:r>
      <w:r w:rsidRPr="00A603B3">
        <w:rPr>
          <w:sz w:val="22"/>
          <w:szCs w:val="22"/>
        </w:rPr>
        <w:t>:</w:t>
      </w:r>
    </w:p>
    <w:p w14:paraId="7C9B4F7E" w14:textId="77777777" w:rsidR="00DC228B" w:rsidRPr="00A603B3" w:rsidRDefault="00DC228B" w:rsidP="00860548">
      <w:pPr>
        <w:spacing w:line="276" w:lineRule="auto"/>
        <w:jc w:val="right"/>
        <w:rPr>
          <w:sz w:val="22"/>
          <w:szCs w:val="22"/>
        </w:rPr>
      </w:pPr>
      <m:oMath>
        <m:r>
          <m:rPr>
            <m:sty m:val="p"/>
          </m:rPr>
          <w:rPr>
            <w:rFonts w:ascii="Tahoma" w:hAnsi="Tahoma" w:cs="Tahoma"/>
            <w:sz w:val="22"/>
            <w:szCs w:val="22"/>
          </w:rPr>
          <m:t>﻿</m:t>
        </m:r>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micro</m:t>
            </m:r>
          </m:sub>
        </m:sSub>
        <m:r>
          <m:rPr>
            <m:sty m:val="p"/>
          </m:rPr>
          <w:rPr>
            <w:rFonts w:ascii="Cambria Math" w:hAnsi="Cambria Math"/>
            <w:sz w:val="22"/>
            <w:szCs w:val="22"/>
          </w:rPr>
          <m:t>=</m:t>
        </m:r>
        <m:f>
          <m:fPr>
            <m:type m:val="lin"/>
            <m:ctrlPr>
              <w:rPr>
                <w:rFonts w:ascii="Cambria Math" w:hAnsi="Cambria Math"/>
                <w:sz w:val="22"/>
                <w:szCs w:val="22"/>
                <w:lang w:eastAsia="fr-FR"/>
              </w:rPr>
            </m:ctrlPr>
          </m:fPr>
          <m:num>
            <m:r>
              <m:rPr>
                <m:sty m:val="p"/>
              </m:rPr>
              <w:rPr>
                <w:rFonts w:ascii="Cambria Math" w:hAnsi="Cambria Math"/>
                <w:sz w:val="22"/>
                <w:szCs w:val="22"/>
              </w:rPr>
              <m:t xml:space="preserve">(1.41 </m:t>
            </m:r>
            <m:r>
              <w:rPr>
                <w:rFonts w:ascii="Cambria Math" w:hAnsi="Cambria Math"/>
                <w:sz w:val="22"/>
                <w:szCs w:val="22"/>
              </w:rPr>
              <m:t>Fuco</m:t>
            </m:r>
            <m:r>
              <m:rPr>
                <m:sty m:val="p"/>
              </m:rPr>
              <w:rPr>
                <w:rFonts w:ascii="Cambria Math" w:hAnsi="Cambria Math"/>
                <w:sz w:val="22"/>
                <w:szCs w:val="22"/>
              </w:rPr>
              <m:t xml:space="preserve">+1.41 </m:t>
            </m:r>
            <m:r>
              <w:rPr>
                <w:rFonts w:ascii="Cambria Math" w:hAnsi="Cambria Math"/>
                <w:sz w:val="22"/>
                <w:szCs w:val="22"/>
              </w:rPr>
              <m:t>Peri</m:t>
            </m:r>
            <m:r>
              <m:rPr>
                <m:sty m:val="p"/>
              </m:rPr>
              <w:rPr>
                <w:rFonts w:ascii="Cambria Math" w:hAnsi="Cambria Math"/>
                <w:sz w:val="22"/>
                <w:szCs w:val="22"/>
              </w:rPr>
              <m:t>)</m:t>
            </m:r>
          </m:num>
          <m:den>
            <m:r>
              <w:rPr>
                <w:rFonts w:ascii="Cambria Math" w:hAnsi="Cambria Math"/>
                <w:sz w:val="22"/>
                <w:szCs w:val="22"/>
              </w:rPr>
              <m:t>wDP</m:t>
            </m:r>
          </m:den>
        </m:f>
      </m:oMath>
      <w:r w:rsidRPr="00A603B3">
        <w:rPr>
          <w:rFonts w:eastAsiaTheme="minorEastAsia"/>
          <w:sz w:val="22"/>
          <w:szCs w:val="22"/>
          <w:lang w:eastAsia="fr-FR"/>
        </w:rPr>
        <w:tab/>
      </w:r>
      <w:r w:rsidRPr="00A603B3">
        <w:rPr>
          <w:rFonts w:eastAsiaTheme="minorEastAsia"/>
          <w:sz w:val="22"/>
          <w:szCs w:val="22"/>
          <w:lang w:eastAsia="fr-FR"/>
        </w:rPr>
        <w:tab/>
      </w:r>
      <w:r w:rsidRPr="00A603B3">
        <w:rPr>
          <w:rFonts w:eastAsiaTheme="minorEastAsia"/>
          <w:sz w:val="22"/>
          <w:szCs w:val="22"/>
          <w:lang w:eastAsia="fr-FR"/>
        </w:rPr>
        <w:tab/>
      </w:r>
      <w:r w:rsidRPr="00A603B3">
        <w:rPr>
          <w:rFonts w:eastAsiaTheme="minorEastAsia"/>
          <w:sz w:val="22"/>
          <w:szCs w:val="22"/>
          <w:lang w:eastAsia="fr-FR"/>
        </w:rPr>
        <w:tab/>
        <w:t>(</w:t>
      </w:r>
      <w:r w:rsidR="00D071A2" w:rsidRPr="00A603B3">
        <w:rPr>
          <w:rFonts w:eastAsiaTheme="minorEastAsia"/>
          <w:sz w:val="22"/>
          <w:szCs w:val="22"/>
          <w:lang w:eastAsia="fr-FR"/>
        </w:rPr>
        <w:t>S</w:t>
      </w:r>
      <w:r w:rsidR="003579A5" w:rsidRPr="00A603B3">
        <w:rPr>
          <w:rFonts w:eastAsiaTheme="minorEastAsia"/>
          <w:sz w:val="22"/>
          <w:szCs w:val="22"/>
          <w:lang w:eastAsia="fr-FR"/>
        </w:rPr>
        <w:t>2</w:t>
      </w:r>
      <w:r w:rsidRPr="00A603B3">
        <w:rPr>
          <w:rFonts w:eastAsiaTheme="minorEastAsia"/>
          <w:sz w:val="22"/>
          <w:szCs w:val="22"/>
          <w:lang w:eastAsia="fr-FR"/>
        </w:rPr>
        <w:t>a)</w:t>
      </w:r>
    </w:p>
    <w:p w14:paraId="6D4586BD" w14:textId="77777777" w:rsidR="00DC228B" w:rsidRPr="00A603B3" w:rsidRDefault="00770C20" w:rsidP="00860548">
      <w:pPr>
        <w:spacing w:line="276" w:lineRule="auto"/>
        <w:jc w:val="right"/>
        <w:rPr>
          <w:sz w:val="22"/>
          <w:szCs w:val="22"/>
        </w:rPr>
      </w:pPr>
      <m:oMath>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nano</m:t>
            </m:r>
          </m:sub>
        </m:sSub>
        <m:r>
          <m:rPr>
            <m:sty m:val="p"/>
          </m:rPr>
          <w:rPr>
            <w:rFonts w:ascii="Cambria Math" w:hAnsi="Cambria Math"/>
            <w:sz w:val="22"/>
            <w:szCs w:val="22"/>
          </w:rPr>
          <m:t>=(1.27 19'</m:t>
        </m:r>
        <m:r>
          <w:rPr>
            <w:rFonts w:ascii="Cambria Math" w:hAnsi="Cambria Math"/>
            <w:sz w:val="22"/>
            <w:szCs w:val="22"/>
          </w:rPr>
          <m:t>HF</m:t>
        </m:r>
        <m:r>
          <m:rPr>
            <m:sty m:val="p"/>
          </m:rPr>
          <w:rPr>
            <w:rFonts w:ascii="Cambria Math" w:hAnsi="Cambria Math"/>
            <w:sz w:val="22"/>
            <w:szCs w:val="22"/>
          </w:rPr>
          <m:t xml:space="preserve">+0.60 </m:t>
        </m:r>
        <m:r>
          <w:rPr>
            <w:rFonts w:ascii="Cambria Math" w:hAnsi="Cambria Math"/>
            <w:sz w:val="22"/>
            <w:szCs w:val="22"/>
          </w:rPr>
          <m:t>Allo</m:t>
        </m:r>
        <m:r>
          <m:rPr>
            <m:sty m:val="p"/>
          </m:rPr>
          <w:rPr>
            <w:rFonts w:ascii="Cambria Math" w:hAnsi="Cambria Math"/>
            <w:sz w:val="22"/>
            <w:szCs w:val="22"/>
          </w:rPr>
          <m:t>+0.35 19'</m:t>
        </m:r>
        <m:r>
          <w:rPr>
            <w:rFonts w:ascii="Cambria Math" w:hAnsi="Cambria Math"/>
            <w:sz w:val="22"/>
            <w:szCs w:val="22"/>
          </w:rPr>
          <m:t>BF</m:t>
        </m:r>
        <m:r>
          <m:rPr>
            <m:sty m:val="p"/>
          </m:rPr>
          <w:rPr>
            <w:rFonts w:ascii="Cambria Math" w:hAnsi="Cambria Math"/>
            <w:sz w:val="22"/>
            <w:szCs w:val="22"/>
          </w:rPr>
          <m:t>)/</m:t>
        </m:r>
        <m:r>
          <w:rPr>
            <w:rFonts w:ascii="Cambria Math" w:hAnsi="Cambria Math"/>
            <w:sz w:val="22"/>
            <w:szCs w:val="22"/>
          </w:rPr>
          <m:t>wDP</m:t>
        </m:r>
      </m:oMath>
      <w:r w:rsidR="00DC228B" w:rsidRPr="00A603B3">
        <w:rPr>
          <w:rFonts w:eastAsiaTheme="minorEastAsia"/>
          <w:sz w:val="22"/>
          <w:szCs w:val="22"/>
        </w:rPr>
        <w:tab/>
      </w:r>
      <w:r w:rsidR="00DC228B" w:rsidRPr="00A603B3">
        <w:rPr>
          <w:rFonts w:eastAsiaTheme="minorEastAsia"/>
          <w:sz w:val="22"/>
          <w:szCs w:val="22"/>
        </w:rPr>
        <w:tab/>
      </w:r>
      <w:r w:rsidR="00DC228B" w:rsidRPr="00A603B3">
        <w:rPr>
          <w:rFonts w:eastAsiaTheme="minorEastAsia"/>
          <w:sz w:val="22"/>
          <w:szCs w:val="22"/>
        </w:rPr>
        <w:tab/>
        <w:t>(</w:t>
      </w:r>
      <w:r w:rsidR="00D071A2" w:rsidRPr="00A603B3">
        <w:rPr>
          <w:rFonts w:eastAsiaTheme="minorEastAsia"/>
          <w:sz w:val="22"/>
          <w:szCs w:val="22"/>
        </w:rPr>
        <w:t>S</w:t>
      </w:r>
      <w:r w:rsidR="003579A5" w:rsidRPr="00A603B3">
        <w:rPr>
          <w:rFonts w:eastAsiaTheme="minorEastAsia"/>
          <w:sz w:val="22"/>
          <w:szCs w:val="22"/>
        </w:rPr>
        <w:t>2</w:t>
      </w:r>
      <w:r w:rsidR="00DC228B" w:rsidRPr="00A603B3">
        <w:rPr>
          <w:rFonts w:eastAsiaTheme="minorEastAsia"/>
          <w:sz w:val="22"/>
          <w:szCs w:val="22"/>
        </w:rPr>
        <w:t>b)</w:t>
      </w:r>
    </w:p>
    <w:p w14:paraId="1F4EE524" w14:textId="77777777" w:rsidR="00DC228B" w:rsidRPr="00A603B3" w:rsidRDefault="00770C20" w:rsidP="00860548">
      <w:pPr>
        <w:spacing w:line="276" w:lineRule="auto"/>
        <w:jc w:val="right"/>
        <w:rPr>
          <w:sz w:val="22"/>
          <w:szCs w:val="22"/>
        </w:rPr>
      </w:pPr>
      <m:oMath>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pico</m:t>
            </m:r>
          </m:sub>
        </m:sSub>
        <m:r>
          <m:rPr>
            <m:sty m:val="p"/>
          </m:rPr>
          <w:rPr>
            <w:rFonts w:ascii="Cambria Math" w:hAnsi="Cambria Math"/>
            <w:sz w:val="22"/>
            <w:szCs w:val="22"/>
          </w:rPr>
          <m:t xml:space="preserve">=(0.86 </m:t>
        </m:r>
        <m:r>
          <w:rPr>
            <w:rFonts w:ascii="Cambria Math" w:hAnsi="Cambria Math"/>
            <w:sz w:val="22"/>
            <w:szCs w:val="22"/>
          </w:rPr>
          <m:t>Zea</m:t>
        </m:r>
        <m:r>
          <m:rPr>
            <m:sty m:val="p"/>
          </m:rPr>
          <w:rPr>
            <w:rFonts w:ascii="Cambria Math" w:hAnsi="Cambria Math"/>
            <w:sz w:val="22"/>
            <w:szCs w:val="22"/>
          </w:rPr>
          <m:t xml:space="preserve">+1.01 </m:t>
        </m:r>
        <m:r>
          <w:rPr>
            <w:rFonts w:ascii="Cambria Math" w:hAnsi="Cambria Math"/>
            <w:sz w:val="22"/>
            <w:szCs w:val="22"/>
          </w:rPr>
          <m:t>Tchlb</m:t>
        </m:r>
        <m:r>
          <m:rPr>
            <m:sty m:val="p"/>
          </m:rPr>
          <w:rPr>
            <w:rFonts w:ascii="Cambria Math" w:hAnsi="Cambria Math"/>
            <w:sz w:val="22"/>
            <w:szCs w:val="22"/>
          </w:rPr>
          <m:t>)/</m:t>
        </m:r>
        <m:r>
          <w:rPr>
            <w:rFonts w:ascii="Cambria Math" w:hAnsi="Cambria Math"/>
            <w:sz w:val="22"/>
            <w:szCs w:val="22"/>
          </w:rPr>
          <m:t>wDP</m:t>
        </m:r>
      </m:oMath>
      <w:r w:rsidR="00DC228B" w:rsidRPr="00A603B3">
        <w:rPr>
          <w:rFonts w:eastAsiaTheme="minorEastAsia"/>
          <w:sz w:val="22"/>
          <w:szCs w:val="22"/>
        </w:rPr>
        <w:tab/>
      </w:r>
      <w:r w:rsidR="00DC228B" w:rsidRPr="00A603B3">
        <w:rPr>
          <w:rFonts w:eastAsiaTheme="minorEastAsia"/>
          <w:sz w:val="22"/>
          <w:szCs w:val="22"/>
        </w:rPr>
        <w:tab/>
      </w:r>
      <w:r w:rsidR="00DC228B" w:rsidRPr="00A603B3">
        <w:rPr>
          <w:rFonts w:eastAsiaTheme="minorEastAsia"/>
          <w:sz w:val="22"/>
          <w:szCs w:val="22"/>
        </w:rPr>
        <w:tab/>
      </w:r>
      <w:r w:rsidR="00DC228B" w:rsidRPr="00A603B3">
        <w:rPr>
          <w:rFonts w:eastAsiaTheme="minorEastAsia"/>
          <w:sz w:val="22"/>
          <w:szCs w:val="22"/>
        </w:rPr>
        <w:tab/>
        <w:t>(</w:t>
      </w:r>
      <w:r w:rsidR="00D071A2" w:rsidRPr="00A603B3">
        <w:rPr>
          <w:rFonts w:eastAsiaTheme="minorEastAsia"/>
          <w:sz w:val="22"/>
          <w:szCs w:val="22"/>
        </w:rPr>
        <w:t>S</w:t>
      </w:r>
      <w:r w:rsidR="003579A5" w:rsidRPr="00A603B3">
        <w:rPr>
          <w:rFonts w:eastAsiaTheme="minorEastAsia"/>
          <w:sz w:val="22"/>
          <w:szCs w:val="22"/>
        </w:rPr>
        <w:t>2</w:t>
      </w:r>
      <w:r w:rsidR="00DC228B" w:rsidRPr="00A603B3">
        <w:rPr>
          <w:rFonts w:eastAsiaTheme="minorEastAsia"/>
          <w:sz w:val="22"/>
          <w:szCs w:val="22"/>
        </w:rPr>
        <w:t>c)</w:t>
      </w:r>
    </w:p>
    <w:p w14:paraId="30B95FE2" w14:textId="77777777" w:rsidR="00DC228B" w:rsidRPr="00A603B3" w:rsidRDefault="00DC228B" w:rsidP="00860548">
      <w:pPr>
        <w:spacing w:line="276" w:lineRule="auto"/>
        <w:jc w:val="both"/>
        <w:rPr>
          <w:sz w:val="22"/>
          <w:szCs w:val="22"/>
        </w:rPr>
      </w:pPr>
      <w:r w:rsidRPr="00A603B3">
        <w:rPr>
          <w:sz w:val="22"/>
          <w:szCs w:val="22"/>
        </w:rPr>
        <w:t xml:space="preserve">where </w:t>
      </w:r>
      <w:proofErr w:type="spellStart"/>
      <w:r w:rsidRPr="00A603B3">
        <w:rPr>
          <w:i/>
          <w:sz w:val="22"/>
          <w:szCs w:val="22"/>
        </w:rPr>
        <w:t>wDP</w:t>
      </w:r>
      <w:proofErr w:type="spellEnd"/>
      <w:r w:rsidRPr="00A603B3">
        <w:rPr>
          <w:sz w:val="22"/>
          <w:szCs w:val="22"/>
        </w:rPr>
        <w:t xml:space="preserve"> is the weighted sum of the concentrations of the seven diagnostic pigments:</w:t>
      </w:r>
    </w:p>
    <w:p w14:paraId="52A037B8" w14:textId="77777777" w:rsidR="00DC228B" w:rsidRPr="00A603B3" w:rsidRDefault="00DC228B" w:rsidP="00860548">
      <w:pPr>
        <w:spacing w:line="276" w:lineRule="auto"/>
        <w:jc w:val="right"/>
        <w:rPr>
          <w:b/>
          <w:sz w:val="22"/>
          <w:szCs w:val="22"/>
        </w:rPr>
      </w:pPr>
      <m:oMath>
        <m:r>
          <w:rPr>
            <w:rFonts w:ascii="Cambria Math" w:hAnsi="Cambria Math"/>
            <w:sz w:val="22"/>
            <w:szCs w:val="22"/>
          </w:rPr>
          <m:t>wDP</m:t>
        </m:r>
        <m:r>
          <m:rPr>
            <m:sty m:val="p"/>
          </m:rPr>
          <w:rPr>
            <w:rFonts w:ascii="Cambria Math" w:hAnsi="Cambria Math"/>
            <w:sz w:val="22"/>
            <w:szCs w:val="22"/>
          </w:rPr>
          <m:t xml:space="preserve">= 1.41 </m:t>
        </m:r>
        <m:r>
          <w:rPr>
            <w:rFonts w:ascii="Cambria Math" w:hAnsi="Cambria Math"/>
            <w:sz w:val="22"/>
            <w:szCs w:val="22"/>
          </w:rPr>
          <m:t>Fuco</m:t>
        </m:r>
        <m:r>
          <m:rPr>
            <m:sty m:val="p"/>
          </m:rPr>
          <w:rPr>
            <w:rFonts w:ascii="Cambria Math" w:hAnsi="Cambria Math"/>
            <w:sz w:val="22"/>
            <w:szCs w:val="22"/>
          </w:rPr>
          <m:t xml:space="preserve">+1.41 </m:t>
        </m:r>
        <m:r>
          <w:rPr>
            <w:rFonts w:ascii="Cambria Math" w:hAnsi="Cambria Math"/>
            <w:sz w:val="22"/>
            <w:szCs w:val="22"/>
          </w:rPr>
          <m:t>Peri</m:t>
        </m:r>
        <m:r>
          <m:rPr>
            <m:sty m:val="p"/>
          </m:rPr>
          <w:rPr>
            <w:rFonts w:ascii="Cambria Math" w:hAnsi="Cambria Math"/>
            <w:sz w:val="22"/>
            <w:szCs w:val="22"/>
          </w:rPr>
          <m:t xml:space="preserve">+1.27 </m:t>
        </m:r>
        <m:sSup>
          <m:sSupPr>
            <m:ctrlPr>
              <w:rPr>
                <w:rFonts w:ascii="Cambria Math" w:hAnsi="Cambria Math"/>
                <w:sz w:val="22"/>
                <w:szCs w:val="22"/>
              </w:rPr>
            </m:ctrlPr>
          </m:sSupPr>
          <m:e>
            <m:r>
              <m:rPr>
                <m:sty m:val="p"/>
              </m:rPr>
              <w:rPr>
                <w:rFonts w:ascii="Cambria Math" w:hAnsi="Cambria Math"/>
                <w:sz w:val="22"/>
                <w:szCs w:val="22"/>
              </w:rPr>
              <m:t>19</m:t>
            </m:r>
          </m:e>
          <m:sup>
            <m:r>
              <m:rPr>
                <m:sty m:val="p"/>
              </m:rPr>
              <w:rPr>
                <w:rFonts w:ascii="Cambria Math" w:hAnsi="Cambria Math"/>
                <w:sz w:val="22"/>
                <w:szCs w:val="22"/>
              </w:rPr>
              <m:t>'</m:t>
            </m:r>
          </m:sup>
        </m:sSup>
        <m:r>
          <w:rPr>
            <w:rFonts w:ascii="Cambria Math" w:hAnsi="Cambria Math"/>
            <w:sz w:val="22"/>
            <w:szCs w:val="22"/>
          </w:rPr>
          <m:t>HF</m:t>
        </m:r>
        <m:r>
          <m:rPr>
            <m:sty m:val="p"/>
          </m:rPr>
          <w:rPr>
            <w:rFonts w:ascii="Cambria Math" w:hAnsi="Cambria Math"/>
            <w:sz w:val="22"/>
            <w:szCs w:val="22"/>
          </w:rPr>
          <m:t xml:space="preserve">+0.60 </m:t>
        </m:r>
        <m:r>
          <w:rPr>
            <w:rFonts w:ascii="Cambria Math" w:hAnsi="Cambria Math"/>
            <w:sz w:val="22"/>
            <w:szCs w:val="22"/>
          </w:rPr>
          <m:t>Allo</m:t>
        </m:r>
        <m:r>
          <m:rPr>
            <m:sty m:val="p"/>
          </m:rPr>
          <w:rPr>
            <w:rFonts w:ascii="Cambria Math" w:hAnsi="Cambria Math"/>
            <w:sz w:val="22"/>
            <w:szCs w:val="22"/>
          </w:rPr>
          <m:t xml:space="preserve">+0.35 </m:t>
        </m:r>
        <m:sSup>
          <m:sSupPr>
            <m:ctrlPr>
              <w:rPr>
                <w:rFonts w:ascii="Cambria Math" w:hAnsi="Cambria Math"/>
                <w:sz w:val="22"/>
                <w:szCs w:val="22"/>
              </w:rPr>
            </m:ctrlPr>
          </m:sSupPr>
          <m:e>
            <m:r>
              <m:rPr>
                <m:sty m:val="p"/>
              </m:rPr>
              <w:rPr>
                <w:rFonts w:ascii="Cambria Math" w:hAnsi="Cambria Math"/>
                <w:sz w:val="22"/>
                <w:szCs w:val="22"/>
              </w:rPr>
              <m:t>19</m:t>
            </m:r>
          </m:e>
          <m:sup>
            <m:r>
              <m:rPr>
                <m:sty m:val="p"/>
              </m:rPr>
              <w:rPr>
                <w:rFonts w:ascii="Cambria Math" w:hAnsi="Cambria Math"/>
                <w:sz w:val="22"/>
                <w:szCs w:val="22"/>
              </w:rPr>
              <m:t>'</m:t>
            </m:r>
          </m:sup>
        </m:sSup>
        <m:r>
          <w:rPr>
            <w:rFonts w:ascii="Cambria Math" w:hAnsi="Cambria Math"/>
            <w:sz w:val="22"/>
            <w:szCs w:val="22"/>
          </w:rPr>
          <m:t>BF</m:t>
        </m:r>
        <m:r>
          <m:rPr>
            <m:sty m:val="p"/>
          </m:rPr>
          <w:rPr>
            <w:rFonts w:ascii="Cambria Math" w:hAnsi="Cambria Math"/>
            <w:sz w:val="22"/>
            <w:szCs w:val="22"/>
          </w:rPr>
          <m:t xml:space="preserve">+0.86 </m:t>
        </m:r>
        <m:r>
          <w:rPr>
            <w:rFonts w:ascii="Cambria Math" w:hAnsi="Cambria Math"/>
            <w:sz w:val="22"/>
            <w:szCs w:val="22"/>
          </w:rPr>
          <m:t>Zea</m:t>
        </m:r>
        <m:r>
          <m:rPr>
            <m:sty m:val="p"/>
          </m:rPr>
          <w:rPr>
            <w:rFonts w:ascii="Cambria Math" w:hAnsi="Cambria Math"/>
            <w:sz w:val="22"/>
            <w:szCs w:val="22"/>
          </w:rPr>
          <m:t xml:space="preserve">+1.01 </m:t>
        </m:r>
        <m:r>
          <w:rPr>
            <w:rFonts w:ascii="Cambria Math" w:hAnsi="Cambria Math"/>
            <w:sz w:val="22"/>
            <w:szCs w:val="22"/>
          </w:rPr>
          <m:t>Tchlb</m:t>
        </m:r>
      </m:oMath>
      <w:r w:rsidRPr="00A603B3">
        <w:rPr>
          <w:rFonts w:eastAsiaTheme="minorEastAsia"/>
          <w:sz w:val="22"/>
          <w:szCs w:val="22"/>
        </w:rPr>
        <w:tab/>
      </w:r>
      <w:r w:rsidRPr="00A603B3">
        <w:rPr>
          <w:rFonts w:eastAsiaTheme="minorEastAsia"/>
          <w:sz w:val="22"/>
          <w:szCs w:val="22"/>
        </w:rPr>
        <w:tab/>
      </w:r>
      <w:r w:rsidRPr="00A603B3">
        <w:rPr>
          <w:rFonts w:eastAsiaTheme="minorEastAsia"/>
          <w:sz w:val="22"/>
          <w:szCs w:val="22"/>
        </w:rPr>
        <w:tab/>
      </w:r>
      <w:r w:rsidRPr="00A603B3">
        <w:rPr>
          <w:rFonts w:eastAsiaTheme="minorEastAsia"/>
          <w:sz w:val="22"/>
          <w:szCs w:val="22"/>
        </w:rPr>
        <w:tab/>
      </w:r>
      <w:r w:rsidRPr="00A603B3">
        <w:rPr>
          <w:rFonts w:eastAsiaTheme="minorEastAsia"/>
          <w:sz w:val="22"/>
          <w:szCs w:val="22"/>
        </w:rPr>
        <w:tab/>
      </w:r>
      <w:r w:rsidRPr="00A603B3">
        <w:rPr>
          <w:rFonts w:eastAsiaTheme="minorEastAsia"/>
          <w:sz w:val="22"/>
          <w:szCs w:val="22"/>
        </w:rPr>
        <w:tab/>
        <w:t>(</w:t>
      </w:r>
      <w:r w:rsidR="00D071A2" w:rsidRPr="00A603B3">
        <w:rPr>
          <w:rFonts w:eastAsiaTheme="minorEastAsia"/>
          <w:sz w:val="22"/>
          <w:szCs w:val="22"/>
        </w:rPr>
        <w:t>S</w:t>
      </w:r>
      <w:r w:rsidR="003579A5" w:rsidRPr="00A603B3">
        <w:rPr>
          <w:rFonts w:eastAsiaTheme="minorEastAsia"/>
          <w:sz w:val="22"/>
          <w:szCs w:val="22"/>
        </w:rPr>
        <w:t>3</w:t>
      </w:r>
      <w:r w:rsidRPr="00A603B3">
        <w:rPr>
          <w:rFonts w:eastAsiaTheme="minorEastAsia"/>
          <w:sz w:val="22"/>
          <w:szCs w:val="22"/>
        </w:rPr>
        <w:t>)</w:t>
      </w:r>
    </w:p>
    <w:p w14:paraId="678666C8" w14:textId="77777777" w:rsidR="00D071A2" w:rsidRPr="00A603B3" w:rsidRDefault="00D071A2" w:rsidP="00860548">
      <w:pPr>
        <w:spacing w:line="276" w:lineRule="auto"/>
        <w:rPr>
          <w:sz w:val="22"/>
          <w:szCs w:val="22"/>
        </w:rPr>
      </w:pPr>
    </w:p>
    <w:p w14:paraId="2A21F7CD" w14:textId="77777777" w:rsidR="00DC228B" w:rsidRPr="00A603B3" w:rsidRDefault="00DC228B" w:rsidP="00860548">
      <w:pPr>
        <w:spacing w:line="276" w:lineRule="auto"/>
        <w:jc w:val="both"/>
        <w:rPr>
          <w:sz w:val="22"/>
          <w:szCs w:val="22"/>
        </w:rPr>
      </w:pPr>
      <w:r w:rsidRPr="00A603B3">
        <w:rPr>
          <w:sz w:val="22"/>
          <w:szCs w:val="22"/>
        </w:rPr>
        <w:t>The concentration of total chlorophyll-a (Tchla) associated with each size class was calculated as follows, with</w:t>
      </w:r>
      <w:r w:rsidRPr="00A603B3">
        <w:rPr>
          <w:i/>
          <w:iCs/>
          <w:sz w:val="22"/>
          <w:szCs w:val="22"/>
        </w:rPr>
        <w:t xml:space="preserve"> x </w:t>
      </w:r>
      <w:r w:rsidRPr="00A603B3">
        <w:rPr>
          <w:sz w:val="22"/>
          <w:szCs w:val="22"/>
        </w:rPr>
        <w:t xml:space="preserve">standing either for </w:t>
      </w:r>
      <w:r w:rsidRPr="00A603B3">
        <w:rPr>
          <w:i/>
          <w:iCs/>
          <w:sz w:val="22"/>
          <w:szCs w:val="22"/>
        </w:rPr>
        <w:t>micro</w:t>
      </w:r>
      <w:r w:rsidRPr="00A603B3">
        <w:rPr>
          <w:sz w:val="22"/>
          <w:szCs w:val="22"/>
        </w:rPr>
        <w:t xml:space="preserve">, </w:t>
      </w:r>
      <w:r w:rsidRPr="00A603B3">
        <w:rPr>
          <w:i/>
          <w:iCs/>
          <w:sz w:val="22"/>
          <w:szCs w:val="22"/>
        </w:rPr>
        <w:t>nano</w:t>
      </w:r>
      <w:r w:rsidRPr="00A603B3">
        <w:rPr>
          <w:sz w:val="22"/>
          <w:szCs w:val="22"/>
        </w:rPr>
        <w:t xml:space="preserve"> or </w:t>
      </w:r>
      <w:r w:rsidRPr="00A603B3">
        <w:rPr>
          <w:i/>
          <w:iCs/>
          <w:sz w:val="22"/>
          <w:szCs w:val="22"/>
        </w:rPr>
        <w:t>pico</w:t>
      </w:r>
      <w:r w:rsidRPr="00A603B3">
        <w:rPr>
          <w:sz w:val="22"/>
          <w:szCs w:val="22"/>
        </w:rPr>
        <w:t>:</w:t>
      </w:r>
    </w:p>
    <w:p w14:paraId="742C3196" w14:textId="77777777" w:rsidR="00DC228B" w:rsidRPr="00A603B3" w:rsidRDefault="00DC228B" w:rsidP="00860548">
      <w:pPr>
        <w:spacing w:line="276" w:lineRule="auto"/>
        <w:jc w:val="right"/>
        <w:rPr>
          <w:rFonts w:eastAsiaTheme="minorEastAsia"/>
          <w:sz w:val="22"/>
          <w:szCs w:val="22"/>
        </w:rPr>
      </w:pPr>
      <m:oMath>
        <m:r>
          <m:rPr>
            <m:sty m:val="p"/>
          </m:rPr>
          <w:rPr>
            <w:rFonts w:ascii="Tahoma" w:hAnsi="Tahoma" w:cs="Tahoma"/>
            <w:sz w:val="22"/>
            <w:szCs w:val="22"/>
          </w:rPr>
          <m:t>﻿</m:t>
        </m:r>
        <m:sSub>
          <m:sSubPr>
            <m:ctrlPr>
              <w:rPr>
                <w:rFonts w:ascii="Cambria Math" w:hAnsi="Cambria Math"/>
                <w:sz w:val="22"/>
                <w:szCs w:val="22"/>
              </w:rPr>
            </m:ctrlPr>
          </m:sSubPr>
          <m:e>
            <m:r>
              <w:rPr>
                <w:rFonts w:ascii="Cambria Math" w:hAnsi="Cambria Math"/>
                <w:sz w:val="22"/>
                <w:szCs w:val="22"/>
              </w:rPr>
              <m:t>Tchla</m:t>
            </m:r>
          </m:e>
          <m:sub>
            <m:r>
              <w:rPr>
                <w:rFonts w:ascii="Cambria Math" w:hAnsi="Cambria Math"/>
                <w:sz w:val="22"/>
                <w:szCs w:val="22"/>
              </w:rPr>
              <m:t>x</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x</m:t>
            </m:r>
          </m:sub>
        </m:sSub>
        <m:r>
          <m:rPr>
            <m:sty m:val="p"/>
          </m:rPr>
          <w:rPr>
            <w:rFonts w:ascii="Cambria Math" w:hAnsi="Cambria Math"/>
            <w:sz w:val="22"/>
            <w:szCs w:val="22"/>
          </w:rPr>
          <m:t>×</m:t>
        </m:r>
        <m:r>
          <w:rPr>
            <w:rFonts w:ascii="Cambria Math" w:hAnsi="Cambria Math"/>
            <w:sz w:val="22"/>
            <w:szCs w:val="22"/>
          </w:rPr>
          <m:t>Tchla</m:t>
        </m:r>
      </m:oMath>
      <w:r w:rsidRPr="00A603B3">
        <w:rPr>
          <w:rFonts w:eastAsiaTheme="minorEastAsia"/>
          <w:sz w:val="22"/>
          <w:szCs w:val="22"/>
        </w:rPr>
        <w:tab/>
      </w:r>
      <w:r w:rsidRPr="00A603B3">
        <w:rPr>
          <w:rFonts w:eastAsiaTheme="minorEastAsia"/>
          <w:sz w:val="22"/>
          <w:szCs w:val="22"/>
        </w:rPr>
        <w:tab/>
      </w:r>
      <w:r w:rsidRPr="00A603B3">
        <w:rPr>
          <w:rFonts w:eastAsiaTheme="minorEastAsia"/>
          <w:sz w:val="22"/>
          <w:szCs w:val="22"/>
        </w:rPr>
        <w:tab/>
      </w:r>
      <w:r w:rsidRPr="00A603B3">
        <w:rPr>
          <w:rFonts w:eastAsiaTheme="minorEastAsia"/>
          <w:sz w:val="22"/>
          <w:szCs w:val="22"/>
        </w:rPr>
        <w:tab/>
      </w:r>
      <w:r w:rsidRPr="00A603B3">
        <w:rPr>
          <w:rFonts w:eastAsiaTheme="minorEastAsia"/>
          <w:sz w:val="22"/>
          <w:szCs w:val="22"/>
        </w:rPr>
        <w:tab/>
        <w:t>(</w:t>
      </w:r>
      <w:r w:rsidR="00D071A2" w:rsidRPr="00A603B3">
        <w:rPr>
          <w:rFonts w:eastAsiaTheme="minorEastAsia"/>
          <w:sz w:val="22"/>
          <w:szCs w:val="22"/>
        </w:rPr>
        <w:t>S</w:t>
      </w:r>
      <w:r w:rsidR="003579A5" w:rsidRPr="00A603B3">
        <w:rPr>
          <w:rFonts w:eastAsiaTheme="minorEastAsia"/>
          <w:sz w:val="22"/>
          <w:szCs w:val="22"/>
        </w:rPr>
        <w:t>4</w:t>
      </w:r>
      <w:r w:rsidRPr="00A603B3">
        <w:rPr>
          <w:rFonts w:eastAsiaTheme="minorEastAsia"/>
          <w:sz w:val="22"/>
          <w:szCs w:val="22"/>
        </w:rPr>
        <w:t>)</w:t>
      </w:r>
    </w:p>
    <w:p w14:paraId="5E773795" w14:textId="77777777" w:rsidR="0090067E" w:rsidRPr="00A603B3" w:rsidRDefault="0090067E" w:rsidP="00860548">
      <w:pPr>
        <w:spacing w:line="276" w:lineRule="auto"/>
        <w:rPr>
          <w:sz w:val="22"/>
          <w:szCs w:val="22"/>
        </w:rPr>
      </w:pPr>
    </w:p>
    <w:p w14:paraId="1E9C4525" w14:textId="77777777" w:rsidR="00DC228B" w:rsidRPr="00A603B3" w:rsidRDefault="00DC228B" w:rsidP="00860548">
      <w:pPr>
        <w:spacing w:line="276" w:lineRule="auto"/>
        <w:jc w:val="both"/>
        <w:rPr>
          <w:sz w:val="22"/>
          <w:szCs w:val="22"/>
        </w:rPr>
      </w:pPr>
      <w:r w:rsidRPr="00A603B3">
        <w:rPr>
          <w:sz w:val="22"/>
          <w:szCs w:val="22"/>
        </w:rPr>
        <w:t>The diatom and dinoflagellate biomass were estimated using:</w:t>
      </w:r>
    </w:p>
    <w:p w14:paraId="6C155323" w14:textId="77777777" w:rsidR="00DC228B" w:rsidRPr="00A603B3" w:rsidRDefault="00770C20" w:rsidP="00860548">
      <w:pPr>
        <w:spacing w:line="276" w:lineRule="auto"/>
        <w:jc w:val="right"/>
        <w:rPr>
          <w:sz w:val="22"/>
          <w:szCs w:val="22"/>
        </w:rPr>
      </w:pPr>
      <m:oMath>
        <m:sSub>
          <m:sSubPr>
            <m:ctrlPr>
              <w:rPr>
                <w:rFonts w:ascii="Cambria Math" w:hAnsi="Cambria Math"/>
                <w:sz w:val="22"/>
                <w:szCs w:val="22"/>
              </w:rPr>
            </m:ctrlPr>
          </m:sSubPr>
          <m:e>
            <m:r>
              <w:rPr>
                <w:rFonts w:ascii="Cambria Math" w:hAnsi="Cambria Math"/>
                <w:sz w:val="22"/>
                <w:szCs w:val="22"/>
              </w:rPr>
              <m:t>Chla</m:t>
            </m:r>
          </m:e>
          <m:sub>
            <m:r>
              <w:rPr>
                <w:rFonts w:ascii="Cambria Math" w:hAnsi="Cambria Math"/>
                <w:sz w:val="22"/>
                <w:szCs w:val="22"/>
              </w:rPr>
              <m:t>diatom</m:t>
            </m:r>
          </m:sub>
        </m:sSub>
        <m:r>
          <m:rPr>
            <m:sty m:val="p"/>
          </m:rPr>
          <w:rPr>
            <w:rFonts w:ascii="Cambria Math" w:hAnsi="Cambria Math"/>
            <w:sz w:val="22"/>
            <w:szCs w:val="22"/>
          </w:rPr>
          <m:t>=</m:t>
        </m:r>
        <m:f>
          <m:fPr>
            <m:type m:val="lin"/>
            <m:ctrlPr>
              <w:rPr>
                <w:rFonts w:ascii="Cambria Math" w:hAnsi="Cambria Math"/>
                <w:sz w:val="22"/>
                <w:szCs w:val="22"/>
                <w:lang w:eastAsia="fr-FR"/>
              </w:rPr>
            </m:ctrlPr>
          </m:fPr>
          <m:num>
            <m:r>
              <m:rPr>
                <m:sty m:val="p"/>
              </m:rPr>
              <w:rPr>
                <w:rFonts w:ascii="Cambria Math" w:hAnsi="Cambria Math"/>
                <w:sz w:val="22"/>
                <w:szCs w:val="22"/>
              </w:rPr>
              <m:t xml:space="preserve">(1.41 </m:t>
            </m:r>
            <m:r>
              <w:rPr>
                <w:rFonts w:ascii="Cambria Math" w:hAnsi="Cambria Math"/>
                <w:sz w:val="22"/>
                <w:szCs w:val="22"/>
              </w:rPr>
              <m:t>Fuco</m:t>
            </m:r>
            <m:r>
              <m:rPr>
                <m:sty m:val="p"/>
              </m:rPr>
              <w:rPr>
                <w:rFonts w:ascii="Cambria Math" w:hAnsi="Cambria Math"/>
                <w:sz w:val="22"/>
                <w:szCs w:val="22"/>
              </w:rPr>
              <m:t>*</m:t>
            </m:r>
            <m:r>
              <w:rPr>
                <w:rFonts w:ascii="Cambria Math" w:hAnsi="Cambria Math"/>
                <w:sz w:val="22"/>
                <w:szCs w:val="22"/>
              </w:rPr>
              <m:t>Tchla</m:t>
            </m:r>
            <m:r>
              <m:rPr>
                <m:sty m:val="p"/>
              </m:rPr>
              <w:rPr>
                <w:rFonts w:ascii="Cambria Math" w:hAnsi="Cambria Math"/>
                <w:sz w:val="22"/>
                <w:szCs w:val="22"/>
              </w:rPr>
              <m:t>)</m:t>
            </m:r>
          </m:num>
          <m:den>
            <m:r>
              <w:rPr>
                <w:rFonts w:ascii="Cambria Math" w:hAnsi="Cambria Math"/>
                <w:sz w:val="22"/>
                <w:szCs w:val="22"/>
              </w:rPr>
              <m:t>wDP</m:t>
            </m:r>
          </m:den>
        </m:f>
      </m:oMath>
      <w:r w:rsidR="00DC228B" w:rsidRPr="00A603B3">
        <w:rPr>
          <w:sz w:val="22"/>
          <w:szCs w:val="22"/>
          <w:lang w:eastAsia="fr-FR"/>
        </w:rPr>
        <w:tab/>
      </w:r>
      <w:r w:rsidR="00DC228B" w:rsidRPr="00A603B3">
        <w:rPr>
          <w:sz w:val="22"/>
          <w:szCs w:val="22"/>
          <w:lang w:eastAsia="fr-FR"/>
        </w:rPr>
        <w:tab/>
      </w:r>
      <w:r w:rsidR="00DC228B" w:rsidRPr="00A603B3">
        <w:rPr>
          <w:sz w:val="22"/>
          <w:szCs w:val="22"/>
          <w:lang w:eastAsia="fr-FR"/>
        </w:rPr>
        <w:tab/>
      </w:r>
      <w:r w:rsidR="00DC228B" w:rsidRPr="00A603B3">
        <w:rPr>
          <w:sz w:val="22"/>
          <w:szCs w:val="22"/>
        </w:rPr>
        <w:t>(</w:t>
      </w:r>
      <w:r w:rsidR="00D071A2" w:rsidRPr="00A603B3">
        <w:rPr>
          <w:sz w:val="22"/>
          <w:szCs w:val="22"/>
        </w:rPr>
        <w:t>S</w:t>
      </w:r>
      <w:r w:rsidR="003579A5" w:rsidRPr="00A603B3">
        <w:rPr>
          <w:sz w:val="22"/>
          <w:szCs w:val="22"/>
        </w:rPr>
        <w:t>5</w:t>
      </w:r>
      <w:r w:rsidR="00DC228B" w:rsidRPr="00A603B3">
        <w:rPr>
          <w:sz w:val="22"/>
          <w:szCs w:val="22"/>
        </w:rPr>
        <w:t>a)</w:t>
      </w:r>
    </w:p>
    <w:p w14:paraId="0923567C" w14:textId="77777777" w:rsidR="00DC228B" w:rsidRPr="00A603B3" w:rsidRDefault="00770C20" w:rsidP="00860548">
      <w:pPr>
        <w:spacing w:line="276" w:lineRule="auto"/>
        <w:jc w:val="right"/>
        <w:rPr>
          <w:sz w:val="22"/>
          <w:szCs w:val="22"/>
        </w:rPr>
      </w:pPr>
      <m:oMath>
        <m:sSub>
          <m:sSubPr>
            <m:ctrlPr>
              <w:rPr>
                <w:rFonts w:ascii="Cambria Math" w:hAnsi="Cambria Math"/>
                <w:sz w:val="22"/>
                <w:szCs w:val="22"/>
              </w:rPr>
            </m:ctrlPr>
          </m:sSubPr>
          <m:e>
            <m:r>
              <w:rPr>
                <w:rFonts w:ascii="Cambria Math" w:hAnsi="Cambria Math"/>
                <w:sz w:val="22"/>
                <w:szCs w:val="22"/>
              </w:rPr>
              <m:t>Chla</m:t>
            </m:r>
          </m:e>
          <m:sub>
            <m:r>
              <w:rPr>
                <w:rFonts w:ascii="Cambria Math" w:hAnsi="Cambria Math"/>
                <w:sz w:val="22"/>
                <w:szCs w:val="22"/>
              </w:rPr>
              <m:t>dinoflagellate</m:t>
            </m:r>
          </m:sub>
        </m:sSub>
        <m:r>
          <m:rPr>
            <m:sty m:val="p"/>
          </m:rPr>
          <w:rPr>
            <w:rFonts w:ascii="Cambria Math" w:hAnsi="Cambria Math"/>
            <w:sz w:val="22"/>
            <w:szCs w:val="22"/>
          </w:rPr>
          <m:t>=</m:t>
        </m:r>
        <m:f>
          <m:fPr>
            <m:type m:val="lin"/>
            <m:ctrlPr>
              <w:rPr>
                <w:rFonts w:ascii="Cambria Math" w:hAnsi="Cambria Math"/>
                <w:sz w:val="22"/>
                <w:szCs w:val="22"/>
                <w:lang w:eastAsia="fr-FR"/>
              </w:rPr>
            </m:ctrlPr>
          </m:fPr>
          <m:num>
            <m:r>
              <m:rPr>
                <m:sty m:val="p"/>
              </m:rPr>
              <w:rPr>
                <w:rFonts w:ascii="Cambria Math" w:hAnsi="Cambria Math"/>
                <w:sz w:val="22"/>
                <w:szCs w:val="22"/>
              </w:rPr>
              <m:t xml:space="preserve">(1.41 </m:t>
            </m:r>
            <m:r>
              <w:rPr>
                <w:rFonts w:ascii="Cambria Math" w:hAnsi="Cambria Math"/>
                <w:sz w:val="22"/>
                <w:szCs w:val="22"/>
              </w:rPr>
              <m:t>Peri</m:t>
            </m:r>
            <m:r>
              <m:rPr>
                <m:sty m:val="p"/>
              </m:rPr>
              <w:rPr>
                <w:rFonts w:ascii="Cambria Math" w:hAnsi="Cambria Math"/>
                <w:sz w:val="22"/>
                <w:szCs w:val="22"/>
              </w:rPr>
              <m:t>*</m:t>
            </m:r>
            <m:r>
              <w:rPr>
                <w:rFonts w:ascii="Cambria Math" w:hAnsi="Cambria Math"/>
                <w:sz w:val="22"/>
                <w:szCs w:val="22"/>
              </w:rPr>
              <m:t>Tchla</m:t>
            </m:r>
            <m:r>
              <m:rPr>
                <m:sty m:val="p"/>
              </m:rPr>
              <w:rPr>
                <w:rFonts w:ascii="Cambria Math" w:hAnsi="Cambria Math"/>
                <w:sz w:val="22"/>
                <w:szCs w:val="22"/>
              </w:rPr>
              <m:t>)</m:t>
            </m:r>
          </m:num>
          <m:den>
            <m:r>
              <w:rPr>
                <w:rFonts w:ascii="Cambria Math" w:hAnsi="Cambria Math"/>
                <w:sz w:val="22"/>
                <w:szCs w:val="22"/>
              </w:rPr>
              <m:t>wDP</m:t>
            </m:r>
          </m:den>
        </m:f>
      </m:oMath>
      <w:r w:rsidR="00DC228B" w:rsidRPr="00A603B3">
        <w:rPr>
          <w:sz w:val="22"/>
          <w:szCs w:val="22"/>
          <w:lang w:eastAsia="fr-FR"/>
        </w:rPr>
        <w:tab/>
      </w:r>
      <w:r w:rsidR="00DC228B" w:rsidRPr="00A603B3">
        <w:rPr>
          <w:sz w:val="22"/>
          <w:szCs w:val="22"/>
          <w:lang w:eastAsia="fr-FR"/>
        </w:rPr>
        <w:tab/>
      </w:r>
      <w:r w:rsidR="00DC228B" w:rsidRPr="00A603B3">
        <w:rPr>
          <w:sz w:val="22"/>
          <w:szCs w:val="22"/>
          <w:lang w:eastAsia="fr-FR"/>
        </w:rPr>
        <w:tab/>
      </w:r>
      <w:r w:rsidR="00DC228B" w:rsidRPr="00A603B3">
        <w:rPr>
          <w:sz w:val="22"/>
          <w:szCs w:val="22"/>
        </w:rPr>
        <w:t>(</w:t>
      </w:r>
      <w:r w:rsidR="00D071A2" w:rsidRPr="00A603B3">
        <w:rPr>
          <w:sz w:val="22"/>
          <w:szCs w:val="22"/>
        </w:rPr>
        <w:t>S</w:t>
      </w:r>
      <w:r w:rsidR="003579A5" w:rsidRPr="00A603B3">
        <w:rPr>
          <w:sz w:val="22"/>
          <w:szCs w:val="22"/>
        </w:rPr>
        <w:t>5</w:t>
      </w:r>
      <w:r w:rsidR="00DC228B" w:rsidRPr="00A603B3">
        <w:rPr>
          <w:sz w:val="22"/>
          <w:szCs w:val="22"/>
        </w:rPr>
        <w:t>b)</w:t>
      </w:r>
    </w:p>
    <w:p w14:paraId="2BB994C3" w14:textId="2BD20DD7" w:rsidR="00DC228B" w:rsidRDefault="00DC228B" w:rsidP="00860548">
      <w:pPr>
        <w:widowControl w:val="0"/>
        <w:autoSpaceDE w:val="0"/>
        <w:autoSpaceDN w:val="0"/>
        <w:adjustRightInd w:val="0"/>
        <w:spacing w:line="276" w:lineRule="auto"/>
        <w:ind w:left="480" w:hanging="480"/>
        <w:rPr>
          <w:sz w:val="22"/>
          <w:szCs w:val="22"/>
        </w:rPr>
      </w:pPr>
    </w:p>
    <w:p w14:paraId="3469C4BA" w14:textId="77777777" w:rsidR="000400D3" w:rsidRPr="00A603B3" w:rsidRDefault="000400D3" w:rsidP="00860548">
      <w:pPr>
        <w:widowControl w:val="0"/>
        <w:autoSpaceDE w:val="0"/>
        <w:autoSpaceDN w:val="0"/>
        <w:adjustRightInd w:val="0"/>
        <w:spacing w:line="276" w:lineRule="auto"/>
        <w:ind w:left="480" w:hanging="480"/>
        <w:rPr>
          <w:sz w:val="22"/>
          <w:szCs w:val="22"/>
        </w:rPr>
      </w:pPr>
    </w:p>
    <w:p w14:paraId="098CBBC9" w14:textId="77777777" w:rsidR="008F5EB2" w:rsidRPr="00A603B3" w:rsidRDefault="008F5EB2" w:rsidP="00860548">
      <w:pPr>
        <w:widowControl w:val="0"/>
        <w:autoSpaceDE w:val="0"/>
        <w:autoSpaceDN w:val="0"/>
        <w:adjustRightInd w:val="0"/>
        <w:spacing w:line="276" w:lineRule="auto"/>
        <w:ind w:left="480" w:hanging="480"/>
        <w:rPr>
          <w:sz w:val="22"/>
          <w:szCs w:val="22"/>
        </w:rPr>
      </w:pPr>
    </w:p>
    <w:p w14:paraId="770CB14F" w14:textId="10E13C46" w:rsidR="00127F26" w:rsidRPr="00A603B3" w:rsidRDefault="00356B3C" w:rsidP="00860548">
      <w:pPr>
        <w:pStyle w:val="Lgende"/>
        <w:spacing w:line="276" w:lineRule="auto"/>
        <w:jc w:val="both"/>
        <w:rPr>
          <w:b w:val="0"/>
        </w:rPr>
      </w:pPr>
      <w:r>
        <w:rPr>
          <w:noProof/>
        </w:rPr>
        <w:drawing>
          <wp:inline distT="0" distB="0" distL="0" distR="0" wp14:anchorId="7E074CF6" wp14:editId="56FA0ACC">
            <wp:extent cx="5490210" cy="1911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210" cy="1911985"/>
                    </a:xfrm>
                    <a:prstGeom prst="rect">
                      <a:avLst/>
                    </a:prstGeom>
                    <a:noFill/>
                    <a:ln>
                      <a:noFill/>
                    </a:ln>
                  </pic:spPr>
                </pic:pic>
              </a:graphicData>
            </a:graphic>
          </wp:inline>
        </w:drawing>
      </w:r>
      <w:r w:rsidR="00127F26" w:rsidRPr="000400D3">
        <w:rPr>
          <w:sz w:val="22"/>
          <w:szCs w:val="22"/>
        </w:rPr>
        <w:t>Figure S</w:t>
      </w:r>
      <w:r w:rsidR="000400D3">
        <w:rPr>
          <w:sz w:val="22"/>
          <w:szCs w:val="22"/>
        </w:rPr>
        <w:t>1</w:t>
      </w:r>
      <w:r w:rsidR="00127F26" w:rsidRPr="000400D3">
        <w:rPr>
          <w:sz w:val="22"/>
          <w:szCs w:val="22"/>
        </w:rPr>
        <w:t xml:space="preserve">. </w:t>
      </w:r>
      <w:r w:rsidR="00127F26" w:rsidRPr="000400D3">
        <w:rPr>
          <w:b w:val="0"/>
          <w:sz w:val="22"/>
          <w:szCs w:val="22"/>
        </w:rPr>
        <w:t xml:space="preserve">Phytoplankton community composition (%) with relative abundances of micro- (dark), nano- (light) and pico-phytoplankton (median grey) calculated from pigment analysis, according to </w:t>
      </w:r>
      <w:r w:rsidR="00C27897" w:rsidRPr="000400D3">
        <w:rPr>
          <w:b w:val="0"/>
          <w:sz w:val="22"/>
          <w:szCs w:val="22"/>
        </w:rPr>
        <w:t>E</w:t>
      </w:r>
      <w:r w:rsidR="00127F26" w:rsidRPr="000400D3">
        <w:rPr>
          <w:b w:val="0"/>
          <w:sz w:val="22"/>
          <w:szCs w:val="22"/>
        </w:rPr>
        <w:t>quations S</w:t>
      </w:r>
      <w:r w:rsidR="003579A5" w:rsidRPr="000400D3">
        <w:rPr>
          <w:b w:val="0"/>
          <w:sz w:val="22"/>
          <w:szCs w:val="22"/>
        </w:rPr>
        <w:t>4</w:t>
      </w:r>
      <w:r w:rsidR="00127F26" w:rsidRPr="000400D3">
        <w:rPr>
          <w:b w:val="0"/>
          <w:sz w:val="22"/>
          <w:szCs w:val="22"/>
        </w:rPr>
        <w:t xml:space="preserve"> and S</w:t>
      </w:r>
      <w:r w:rsidR="003579A5" w:rsidRPr="000400D3">
        <w:rPr>
          <w:b w:val="0"/>
          <w:sz w:val="22"/>
          <w:szCs w:val="22"/>
        </w:rPr>
        <w:t>5</w:t>
      </w:r>
      <w:r w:rsidR="00127F26" w:rsidRPr="000400D3">
        <w:rPr>
          <w:b w:val="0"/>
          <w:sz w:val="22"/>
          <w:szCs w:val="22"/>
        </w:rPr>
        <w:t>. Diatom contribution within the micro-plankton size fraction is dashed.</w:t>
      </w:r>
    </w:p>
    <w:p w14:paraId="3CFB12BE" w14:textId="77777777" w:rsidR="00A842E2" w:rsidRPr="00A603B3" w:rsidRDefault="00A842E2" w:rsidP="00860548">
      <w:pPr>
        <w:pStyle w:val="Lgende"/>
        <w:spacing w:line="276" w:lineRule="auto"/>
        <w:jc w:val="both"/>
        <w:rPr>
          <w:b w:val="0"/>
          <w:sz w:val="22"/>
          <w:szCs w:val="24"/>
        </w:rPr>
      </w:pPr>
    </w:p>
    <w:p w14:paraId="070AE45C" w14:textId="77777777" w:rsidR="003579A5" w:rsidRPr="00A603B3" w:rsidRDefault="003579A5" w:rsidP="00860548">
      <w:pPr>
        <w:spacing w:line="276" w:lineRule="auto"/>
        <w:rPr>
          <w:b/>
          <w:bCs/>
          <w:kern w:val="32"/>
          <w:sz w:val="22"/>
          <w:szCs w:val="22"/>
        </w:rPr>
      </w:pPr>
      <w:r w:rsidRPr="00A603B3">
        <w:rPr>
          <w:sz w:val="22"/>
          <w:szCs w:val="22"/>
        </w:rPr>
        <w:br w:type="page"/>
      </w:r>
    </w:p>
    <w:p w14:paraId="47E74F06" w14:textId="77777777" w:rsidR="00A842E2" w:rsidRPr="00A603B3" w:rsidRDefault="00A842E2" w:rsidP="00860548">
      <w:pPr>
        <w:pStyle w:val="SMHeading"/>
        <w:spacing w:line="276" w:lineRule="auto"/>
        <w:rPr>
          <w:sz w:val="22"/>
          <w:szCs w:val="22"/>
        </w:rPr>
      </w:pPr>
      <w:r w:rsidRPr="00A603B3">
        <w:rPr>
          <w:sz w:val="22"/>
          <w:szCs w:val="22"/>
        </w:rPr>
        <w:lastRenderedPageBreak/>
        <w:t>S</w:t>
      </w:r>
      <w:r w:rsidR="003579A5" w:rsidRPr="00A603B3">
        <w:rPr>
          <w:sz w:val="22"/>
          <w:szCs w:val="22"/>
        </w:rPr>
        <w:t>4</w:t>
      </w:r>
      <w:r w:rsidRPr="00A603B3">
        <w:rPr>
          <w:sz w:val="22"/>
          <w:szCs w:val="22"/>
        </w:rPr>
        <w:t>. Response of heterotrophic bacteria and haptophytes</w:t>
      </w:r>
    </w:p>
    <w:p w14:paraId="0FCF7C77" w14:textId="77777777" w:rsidR="008C4EBF" w:rsidRPr="00A603B3" w:rsidRDefault="008C4EBF" w:rsidP="00860548">
      <w:pPr>
        <w:pStyle w:val="SMText"/>
        <w:spacing w:line="276" w:lineRule="auto"/>
        <w:ind w:firstLine="0"/>
        <w:jc w:val="both"/>
        <w:rPr>
          <w:sz w:val="22"/>
          <w:szCs w:val="24"/>
        </w:rPr>
      </w:pPr>
    </w:p>
    <w:p w14:paraId="25E68832" w14:textId="77777777" w:rsidR="003E1980" w:rsidRPr="00A603B3" w:rsidRDefault="007C1947" w:rsidP="00860548">
      <w:pPr>
        <w:pStyle w:val="SMcaption"/>
        <w:spacing w:line="276" w:lineRule="auto"/>
        <w:rPr>
          <w:sz w:val="22"/>
          <w:szCs w:val="22"/>
        </w:rPr>
      </w:pPr>
      <w:r w:rsidRPr="00A603B3">
        <w:rPr>
          <w:noProof/>
          <w:sz w:val="22"/>
          <w:szCs w:val="22"/>
        </w:rPr>
        <w:drawing>
          <wp:inline distT="0" distB="0" distL="0" distR="0" wp14:anchorId="7920840E" wp14:editId="6F7715AD">
            <wp:extent cx="5469255" cy="3157855"/>
            <wp:effectExtent l="0" t="0" r="4445" b="4445"/>
            <wp:docPr id="3" name="Image 1" descr="Fig 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 S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9255" cy="3157855"/>
                    </a:xfrm>
                    <a:prstGeom prst="rect">
                      <a:avLst/>
                    </a:prstGeom>
                    <a:noFill/>
                    <a:ln>
                      <a:noFill/>
                    </a:ln>
                  </pic:spPr>
                </pic:pic>
              </a:graphicData>
            </a:graphic>
          </wp:inline>
        </w:drawing>
      </w:r>
    </w:p>
    <w:p w14:paraId="1803AB07" w14:textId="01CDA4BE" w:rsidR="00951E98" w:rsidRDefault="00227D86" w:rsidP="00860548">
      <w:pPr>
        <w:pStyle w:val="SMHeading"/>
        <w:spacing w:before="0" w:line="276" w:lineRule="auto"/>
        <w:jc w:val="both"/>
        <w:rPr>
          <w:sz w:val="22"/>
          <w:szCs w:val="22"/>
        </w:rPr>
      </w:pPr>
      <w:r w:rsidRPr="00A603B3">
        <w:rPr>
          <w:sz w:val="22"/>
          <w:szCs w:val="22"/>
        </w:rPr>
        <w:t>Figure S</w:t>
      </w:r>
      <w:r w:rsidR="003579A5" w:rsidRPr="00A603B3">
        <w:rPr>
          <w:sz w:val="22"/>
          <w:szCs w:val="22"/>
        </w:rPr>
        <w:t>2</w:t>
      </w:r>
      <w:r w:rsidR="003E1980" w:rsidRPr="00A603B3">
        <w:rPr>
          <w:sz w:val="22"/>
          <w:szCs w:val="22"/>
        </w:rPr>
        <w:t xml:space="preserve">. </w:t>
      </w:r>
      <w:r w:rsidR="00C70710" w:rsidRPr="00A603B3">
        <w:rPr>
          <w:b w:val="0"/>
          <w:sz w:val="22"/>
          <w:szCs w:val="22"/>
        </w:rPr>
        <w:t>Cell abundance (cells.mL</w:t>
      </w:r>
      <w:r w:rsidR="00C70710" w:rsidRPr="00A603B3">
        <w:rPr>
          <w:b w:val="0"/>
          <w:sz w:val="22"/>
          <w:szCs w:val="22"/>
          <w:vertAlign w:val="superscript"/>
        </w:rPr>
        <w:t>-1</w:t>
      </w:r>
      <w:r w:rsidR="00C70710" w:rsidRPr="00A603B3">
        <w:rPr>
          <w:b w:val="0"/>
          <w:sz w:val="22"/>
          <w:szCs w:val="22"/>
        </w:rPr>
        <w:t>) of heterotrophic bacteria at the beginning of the experiment (t-ini, white bar) and after 48 h of incubation for each treatment at the stations at LNLC St</w:t>
      </w:r>
      <w:r w:rsidR="00356B3C">
        <w:rPr>
          <w:b w:val="0"/>
          <w:sz w:val="22"/>
          <w:szCs w:val="22"/>
        </w:rPr>
        <w:t>ation</w:t>
      </w:r>
      <w:r w:rsidR="00356B3C" w:rsidRPr="00A603B3">
        <w:rPr>
          <w:b w:val="0"/>
          <w:sz w:val="22"/>
          <w:szCs w:val="22"/>
        </w:rPr>
        <w:t xml:space="preserve"> </w:t>
      </w:r>
      <w:r w:rsidR="00C70710" w:rsidRPr="00A603B3">
        <w:rPr>
          <w:b w:val="0"/>
          <w:sz w:val="22"/>
          <w:szCs w:val="22"/>
        </w:rPr>
        <w:t>2 (a) and 16 (b), HN-LSi-LC St</w:t>
      </w:r>
      <w:r w:rsidR="00D67B46">
        <w:rPr>
          <w:b w:val="0"/>
          <w:sz w:val="22"/>
          <w:szCs w:val="22"/>
        </w:rPr>
        <w:t>ation</w:t>
      </w:r>
      <w:r w:rsidR="00C70710" w:rsidRPr="00A603B3">
        <w:rPr>
          <w:b w:val="0"/>
          <w:sz w:val="22"/>
          <w:szCs w:val="22"/>
        </w:rPr>
        <w:t xml:space="preserve"> 14 (c), plateau St</w:t>
      </w:r>
      <w:r w:rsidR="00356B3C">
        <w:rPr>
          <w:b w:val="0"/>
          <w:sz w:val="22"/>
          <w:szCs w:val="22"/>
        </w:rPr>
        <w:t>ation</w:t>
      </w:r>
      <w:r w:rsidR="00C70710" w:rsidRPr="00A603B3">
        <w:rPr>
          <w:b w:val="0"/>
          <w:sz w:val="22"/>
          <w:szCs w:val="22"/>
        </w:rPr>
        <w:t xml:space="preserve"> A3 (d) and HNLC St</w:t>
      </w:r>
      <w:r w:rsidR="00356B3C">
        <w:rPr>
          <w:b w:val="0"/>
          <w:sz w:val="22"/>
          <w:szCs w:val="22"/>
        </w:rPr>
        <w:t>ation</w:t>
      </w:r>
      <w:r w:rsidR="00356B3C" w:rsidRPr="00A603B3">
        <w:rPr>
          <w:b w:val="0"/>
          <w:sz w:val="22"/>
          <w:szCs w:val="22"/>
        </w:rPr>
        <w:t xml:space="preserve"> </w:t>
      </w:r>
      <w:r w:rsidR="00C70710" w:rsidRPr="00A603B3">
        <w:rPr>
          <w:b w:val="0"/>
          <w:sz w:val="22"/>
          <w:szCs w:val="22"/>
        </w:rPr>
        <w:t>11 (e). Error bars indicate standard deviation of triplicates. Means that are not significantly different are labelled with the same letter (p &gt; 0.05) within a station</w:t>
      </w:r>
      <w:r w:rsidR="00112C5B" w:rsidRPr="00A603B3">
        <w:rPr>
          <w:b w:val="0"/>
          <w:sz w:val="22"/>
          <w:szCs w:val="22"/>
        </w:rPr>
        <w:t xml:space="preserve">. </w:t>
      </w:r>
      <w:r w:rsidR="00112C5B" w:rsidRPr="00A603B3">
        <w:rPr>
          <w:sz w:val="22"/>
          <w:szCs w:val="22"/>
        </w:rPr>
        <w:t xml:space="preserve"> </w:t>
      </w:r>
    </w:p>
    <w:p w14:paraId="4935B290" w14:textId="77777777" w:rsidR="007C746A" w:rsidRPr="00A603B3" w:rsidRDefault="007C746A" w:rsidP="00860548">
      <w:pPr>
        <w:pStyle w:val="SMHeading"/>
        <w:spacing w:before="0" w:line="276" w:lineRule="auto"/>
        <w:jc w:val="both"/>
        <w:rPr>
          <w:sz w:val="22"/>
          <w:szCs w:val="22"/>
        </w:rPr>
      </w:pPr>
    </w:p>
    <w:p w14:paraId="5FC4DC3F" w14:textId="77777777" w:rsidR="00951E98" w:rsidRPr="00A603B3" w:rsidRDefault="00951E98" w:rsidP="00860548">
      <w:pPr>
        <w:pStyle w:val="SMcaption"/>
        <w:spacing w:line="276" w:lineRule="auto"/>
        <w:rPr>
          <w:sz w:val="22"/>
          <w:szCs w:val="22"/>
        </w:rPr>
      </w:pPr>
    </w:p>
    <w:p w14:paraId="1E423947" w14:textId="77777777" w:rsidR="008C4EBF" w:rsidRPr="00A603B3" w:rsidRDefault="007C1947" w:rsidP="00860548">
      <w:pPr>
        <w:pStyle w:val="SMcaption"/>
        <w:spacing w:line="276" w:lineRule="auto"/>
        <w:rPr>
          <w:sz w:val="22"/>
          <w:szCs w:val="22"/>
        </w:rPr>
      </w:pPr>
      <w:r w:rsidRPr="00A603B3">
        <w:rPr>
          <w:noProof/>
          <w:sz w:val="22"/>
          <w:szCs w:val="22"/>
        </w:rPr>
        <w:drawing>
          <wp:inline distT="0" distB="0" distL="0" distR="0" wp14:anchorId="46879325" wp14:editId="5A24D1AD">
            <wp:extent cx="5469255" cy="1710055"/>
            <wp:effectExtent l="0" t="0" r="4445" b="4445"/>
            <wp:docPr id="2" name="Image 2" descr="Fig 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g S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9255" cy="1710055"/>
                    </a:xfrm>
                    <a:prstGeom prst="rect">
                      <a:avLst/>
                    </a:prstGeom>
                    <a:noFill/>
                    <a:ln>
                      <a:noFill/>
                    </a:ln>
                  </pic:spPr>
                </pic:pic>
              </a:graphicData>
            </a:graphic>
          </wp:inline>
        </w:drawing>
      </w:r>
    </w:p>
    <w:p w14:paraId="6D9C0AD8" w14:textId="39573535" w:rsidR="008C4EBF" w:rsidRPr="007C1947" w:rsidRDefault="008C4EBF" w:rsidP="00860548">
      <w:pPr>
        <w:pStyle w:val="SMHeading"/>
        <w:spacing w:before="0" w:line="276" w:lineRule="auto"/>
        <w:jc w:val="both"/>
        <w:rPr>
          <w:sz w:val="22"/>
          <w:szCs w:val="22"/>
        </w:rPr>
      </w:pPr>
      <w:r w:rsidRPr="00A603B3">
        <w:rPr>
          <w:sz w:val="22"/>
          <w:szCs w:val="22"/>
        </w:rPr>
        <w:t>Figure S</w:t>
      </w:r>
      <w:r w:rsidR="003579A5" w:rsidRPr="00A603B3">
        <w:rPr>
          <w:sz w:val="22"/>
          <w:szCs w:val="22"/>
        </w:rPr>
        <w:t>3</w:t>
      </w:r>
      <w:r w:rsidRPr="00A603B3">
        <w:rPr>
          <w:sz w:val="22"/>
          <w:szCs w:val="22"/>
        </w:rPr>
        <w:t xml:space="preserve">. </w:t>
      </w:r>
      <w:r w:rsidR="00C70710" w:rsidRPr="00A603B3">
        <w:rPr>
          <w:b w:val="0"/>
          <w:sz w:val="22"/>
          <w:szCs w:val="22"/>
        </w:rPr>
        <w:t>19</w:t>
      </w:r>
      <w:r w:rsidR="00884F81" w:rsidRPr="00A603B3">
        <w:rPr>
          <w:b w:val="0"/>
          <w:sz w:val="22"/>
          <w:szCs w:val="22"/>
        </w:rPr>
        <w:t>’</w:t>
      </w:r>
      <w:r w:rsidR="00C70710" w:rsidRPr="00A603B3">
        <w:rPr>
          <w:b w:val="0"/>
          <w:sz w:val="22"/>
          <w:szCs w:val="22"/>
        </w:rPr>
        <w:t>Hexanoyloxyfucoxanthin concentration (19’HF, µg.L</w:t>
      </w:r>
      <w:r w:rsidR="00C70710" w:rsidRPr="00A603B3">
        <w:rPr>
          <w:b w:val="0"/>
          <w:sz w:val="22"/>
          <w:szCs w:val="22"/>
          <w:vertAlign w:val="superscript"/>
        </w:rPr>
        <w:t>-1</w:t>
      </w:r>
      <w:r w:rsidR="00C70710" w:rsidRPr="00A603B3">
        <w:rPr>
          <w:b w:val="0"/>
          <w:sz w:val="22"/>
          <w:szCs w:val="22"/>
        </w:rPr>
        <w:t>) at the beginning of the experiment (t-ini, white bar) and after 48 h of incubation for each treatment at HN-LSi-LC St</w:t>
      </w:r>
      <w:r w:rsidR="00356B3C">
        <w:rPr>
          <w:b w:val="0"/>
          <w:sz w:val="22"/>
          <w:szCs w:val="22"/>
        </w:rPr>
        <w:t>ation</w:t>
      </w:r>
      <w:r w:rsidR="00C70710" w:rsidRPr="00A603B3">
        <w:rPr>
          <w:b w:val="0"/>
          <w:sz w:val="22"/>
          <w:szCs w:val="22"/>
        </w:rPr>
        <w:t xml:space="preserve"> 14 (a), plateau S</w:t>
      </w:r>
      <w:r w:rsidR="00356B3C">
        <w:rPr>
          <w:b w:val="0"/>
          <w:sz w:val="22"/>
          <w:szCs w:val="22"/>
        </w:rPr>
        <w:t>tation</w:t>
      </w:r>
      <w:r w:rsidR="00C70710" w:rsidRPr="00A603B3">
        <w:rPr>
          <w:b w:val="0"/>
          <w:sz w:val="22"/>
          <w:szCs w:val="22"/>
        </w:rPr>
        <w:t xml:space="preserve"> A3 (b) and HNLC St</w:t>
      </w:r>
      <w:r w:rsidR="00356B3C">
        <w:rPr>
          <w:b w:val="0"/>
          <w:sz w:val="22"/>
          <w:szCs w:val="22"/>
        </w:rPr>
        <w:t>ation</w:t>
      </w:r>
      <w:r w:rsidR="00C70710" w:rsidRPr="00A603B3">
        <w:rPr>
          <w:b w:val="0"/>
          <w:sz w:val="22"/>
          <w:szCs w:val="22"/>
        </w:rPr>
        <w:t xml:space="preserve"> 11 (c). Error bars indicate standard deviation of triplicates. FeSi treatment at St</w:t>
      </w:r>
      <w:r w:rsidR="00356B3C">
        <w:rPr>
          <w:b w:val="0"/>
          <w:sz w:val="22"/>
          <w:szCs w:val="22"/>
        </w:rPr>
        <w:t>ation</w:t>
      </w:r>
      <w:r w:rsidR="00C70710" w:rsidRPr="00A603B3">
        <w:rPr>
          <w:b w:val="0"/>
          <w:sz w:val="22"/>
          <w:szCs w:val="22"/>
        </w:rPr>
        <w:t xml:space="preserve"> 14 is not included in statistics, due to n = 1. Means that are not significantly different are labeled with the same letter (p &gt; 0.05) within a station</w:t>
      </w:r>
      <w:r w:rsidRPr="00A603B3">
        <w:rPr>
          <w:b w:val="0"/>
          <w:sz w:val="22"/>
          <w:szCs w:val="22"/>
        </w:rPr>
        <w:t>.</w:t>
      </w:r>
      <w:r w:rsidRPr="007C1947">
        <w:rPr>
          <w:b w:val="0"/>
          <w:sz w:val="22"/>
          <w:szCs w:val="22"/>
        </w:rPr>
        <w:t xml:space="preserve"> </w:t>
      </w:r>
      <w:r w:rsidRPr="007C1947">
        <w:rPr>
          <w:sz w:val="22"/>
          <w:szCs w:val="22"/>
        </w:rPr>
        <w:t xml:space="preserve"> </w:t>
      </w:r>
    </w:p>
    <w:p w14:paraId="1658E733" w14:textId="77777777" w:rsidR="007C1947" w:rsidRPr="007C1947" w:rsidRDefault="007C1947" w:rsidP="00860548">
      <w:pPr>
        <w:spacing w:line="276" w:lineRule="auto"/>
        <w:rPr>
          <w:b/>
          <w:bCs/>
          <w:kern w:val="32"/>
          <w:sz w:val="22"/>
          <w:szCs w:val="22"/>
        </w:rPr>
      </w:pPr>
    </w:p>
    <w:p w14:paraId="4B0AD020" w14:textId="77777777" w:rsidR="005E076C" w:rsidRDefault="005E076C" w:rsidP="00860548">
      <w:pPr>
        <w:spacing w:line="276" w:lineRule="auto"/>
        <w:rPr>
          <w:rFonts w:ascii="Arial" w:hAnsi="Arial" w:cs="Arial"/>
          <w:color w:val="000000"/>
          <w:sz w:val="22"/>
          <w:szCs w:val="22"/>
        </w:rPr>
      </w:pPr>
    </w:p>
    <w:p w14:paraId="33446EB8" w14:textId="77777777" w:rsidR="005E076C" w:rsidRDefault="005E076C">
      <w:pPr>
        <w:rPr>
          <w:rFonts w:ascii="Arial" w:hAnsi="Arial" w:cs="Arial"/>
          <w:color w:val="000000"/>
          <w:sz w:val="22"/>
          <w:szCs w:val="22"/>
        </w:rPr>
      </w:pPr>
      <w:r>
        <w:rPr>
          <w:rFonts w:ascii="Arial" w:hAnsi="Arial" w:cs="Arial"/>
          <w:color w:val="000000"/>
          <w:sz w:val="22"/>
          <w:szCs w:val="22"/>
        </w:rPr>
        <w:br w:type="page"/>
      </w:r>
    </w:p>
    <w:p w14:paraId="776E0BA3" w14:textId="77777777" w:rsidR="005E076C" w:rsidRDefault="005E076C" w:rsidP="005E076C">
      <w:pPr>
        <w:pStyle w:val="SMHeading"/>
        <w:spacing w:line="276" w:lineRule="auto"/>
        <w:rPr>
          <w:rFonts w:ascii="Arial" w:hAnsi="Arial" w:cs="Arial"/>
          <w:color w:val="000000"/>
          <w:sz w:val="22"/>
          <w:szCs w:val="22"/>
        </w:rPr>
      </w:pPr>
      <w:r w:rsidRPr="005E076C">
        <w:rPr>
          <w:sz w:val="22"/>
          <w:szCs w:val="22"/>
        </w:rPr>
        <w:lastRenderedPageBreak/>
        <w:t>References</w:t>
      </w:r>
    </w:p>
    <w:p w14:paraId="3C957416" w14:textId="6A1D0C4E" w:rsidR="005E076C" w:rsidRPr="005E076C" w:rsidRDefault="005E076C" w:rsidP="005E076C">
      <w:pPr>
        <w:spacing w:line="276" w:lineRule="auto"/>
        <w:ind w:left="360" w:hanging="360"/>
        <w:jc w:val="both"/>
        <w:rPr>
          <w:b/>
          <w:bCs/>
          <w:kern w:val="32"/>
          <w:sz w:val="22"/>
          <w:szCs w:val="22"/>
        </w:rPr>
      </w:pPr>
      <w:r w:rsidRPr="005E076C">
        <w:rPr>
          <w:color w:val="000000"/>
          <w:sz w:val="22"/>
          <w:szCs w:val="22"/>
        </w:rPr>
        <w:t xml:space="preserve">Engineering </w:t>
      </w:r>
      <w:proofErr w:type="spellStart"/>
      <w:r w:rsidRPr="005E076C">
        <w:rPr>
          <w:color w:val="000000"/>
          <w:sz w:val="22"/>
          <w:szCs w:val="22"/>
        </w:rPr>
        <w:t>ToolBox</w:t>
      </w:r>
      <w:proofErr w:type="spellEnd"/>
      <w:r w:rsidRPr="005E076C">
        <w:rPr>
          <w:color w:val="000000"/>
          <w:sz w:val="22"/>
          <w:szCs w:val="22"/>
        </w:rPr>
        <w:t>, (2005). </w:t>
      </w:r>
      <w:r w:rsidRPr="005E076C">
        <w:rPr>
          <w:i/>
          <w:iCs/>
          <w:color w:val="000000"/>
          <w:sz w:val="22"/>
          <w:szCs w:val="22"/>
        </w:rPr>
        <w:t>Seawater - Properties</w:t>
      </w:r>
      <w:r w:rsidRPr="005E076C">
        <w:rPr>
          <w:color w:val="000000"/>
          <w:sz w:val="22"/>
          <w:szCs w:val="22"/>
        </w:rPr>
        <w:t>. [online] Available at: https://www.engineeringtoolbox.com/sea-water-properties-d_840.html [Accessed 15-06-2021]</w:t>
      </w:r>
    </w:p>
    <w:p w14:paraId="7B3E7A7C" w14:textId="3E99F478" w:rsidR="005E076C" w:rsidRPr="005E076C" w:rsidRDefault="005E076C" w:rsidP="005E076C">
      <w:pPr>
        <w:widowControl w:val="0"/>
        <w:autoSpaceDE w:val="0"/>
        <w:autoSpaceDN w:val="0"/>
        <w:adjustRightInd w:val="0"/>
        <w:ind w:left="360" w:hanging="360"/>
        <w:jc w:val="both"/>
        <w:rPr>
          <w:noProof/>
          <w:sz w:val="22"/>
          <w:szCs w:val="24"/>
        </w:rPr>
      </w:pPr>
      <w:r w:rsidRPr="005E076C">
        <w:rPr>
          <w:color w:val="000000"/>
          <w:sz w:val="22"/>
          <w:szCs w:val="22"/>
        </w:rPr>
        <w:fldChar w:fldCharType="begin" w:fldLock="1"/>
      </w:r>
      <w:r w:rsidRPr="005E076C">
        <w:rPr>
          <w:color w:val="000000"/>
          <w:sz w:val="22"/>
          <w:szCs w:val="22"/>
        </w:rPr>
        <w:instrText xml:space="preserve">ADDIN Mendeley Bibliography CSL_BIBLIOGRAPHY </w:instrText>
      </w:r>
      <w:r w:rsidRPr="005E076C">
        <w:rPr>
          <w:color w:val="000000"/>
          <w:sz w:val="22"/>
          <w:szCs w:val="22"/>
        </w:rPr>
        <w:fldChar w:fldCharType="separate"/>
      </w:r>
      <w:r w:rsidRPr="005E076C">
        <w:rPr>
          <w:noProof/>
          <w:sz w:val="22"/>
          <w:szCs w:val="24"/>
        </w:rPr>
        <w:t>Gudmundsson, M. T., Thordarson, T., Hoskuldsson, A., Larsen, G., Bjornsson, H., Prata, F. J., Oddsson, B., Magnusson, E., Hognadottir, T., Petersen, G. N., Hayward, C. L., Stevenson, J. A. and Jonsdottir, I.: Ash generation and distribution from the April-May 2010 eruption of Eyjafjallajökull, Iceland, Sci. Rep., 2, 1–12, doi:10.1038/srep00572, 2012.</w:t>
      </w:r>
    </w:p>
    <w:p w14:paraId="26EDE348" w14:textId="77777777" w:rsidR="005E076C" w:rsidRPr="005E076C" w:rsidRDefault="005E076C" w:rsidP="005E076C">
      <w:pPr>
        <w:widowControl w:val="0"/>
        <w:autoSpaceDE w:val="0"/>
        <w:autoSpaceDN w:val="0"/>
        <w:adjustRightInd w:val="0"/>
        <w:ind w:left="360" w:hanging="360"/>
        <w:jc w:val="both"/>
        <w:rPr>
          <w:noProof/>
          <w:sz w:val="22"/>
          <w:szCs w:val="24"/>
        </w:rPr>
      </w:pPr>
      <w:r w:rsidRPr="005E076C">
        <w:rPr>
          <w:noProof/>
          <w:sz w:val="22"/>
          <w:szCs w:val="24"/>
        </w:rPr>
        <w:t>Hörstmann, C., Raes, E. J., Buttigieg, P. L., Lo Monaco, C., John, U. and Waite, A. M.: Hydrographic fronts shape productivity, nitrogen fixation, and microbial community composition in the southern Indian Ocean and the Southern Ocean, Biogeosciences, 18(12), 3733–3749, doi:10.5194/bg-18-3733-2021, 2021.</w:t>
      </w:r>
    </w:p>
    <w:p w14:paraId="0F34FAEE" w14:textId="77777777" w:rsidR="005E076C" w:rsidRPr="005E076C" w:rsidRDefault="005E076C" w:rsidP="005E076C">
      <w:pPr>
        <w:widowControl w:val="0"/>
        <w:autoSpaceDE w:val="0"/>
        <w:autoSpaceDN w:val="0"/>
        <w:adjustRightInd w:val="0"/>
        <w:ind w:left="360" w:hanging="360"/>
        <w:jc w:val="both"/>
        <w:rPr>
          <w:noProof/>
          <w:sz w:val="22"/>
          <w:szCs w:val="24"/>
        </w:rPr>
      </w:pPr>
      <w:r w:rsidRPr="005E076C">
        <w:rPr>
          <w:noProof/>
          <w:sz w:val="22"/>
          <w:szCs w:val="24"/>
        </w:rPr>
        <w:t>Langmann, B.: Volcanic Ash versus Mineral Dust: Atmospheric Processing and Environmental and Climate Impacts, ISRN Atmos. Sci., 2013(ii), 1–17, doi:10.1155/2013/245076, 2013.</w:t>
      </w:r>
    </w:p>
    <w:p w14:paraId="7E8B31A8" w14:textId="77777777" w:rsidR="005E076C" w:rsidRPr="005E076C" w:rsidRDefault="005E076C" w:rsidP="005E076C">
      <w:pPr>
        <w:widowControl w:val="0"/>
        <w:autoSpaceDE w:val="0"/>
        <w:autoSpaceDN w:val="0"/>
        <w:adjustRightInd w:val="0"/>
        <w:ind w:left="360" w:hanging="360"/>
        <w:jc w:val="both"/>
        <w:rPr>
          <w:noProof/>
          <w:sz w:val="22"/>
        </w:rPr>
      </w:pPr>
      <w:r w:rsidRPr="005E076C">
        <w:rPr>
          <w:noProof/>
          <w:sz w:val="22"/>
          <w:szCs w:val="24"/>
        </w:rPr>
        <w:t>Uitz, J., Claustre, H., Morel, A. and Hooker, S. B.: Vertical distribution of phytoplankton communities in open ocean: An assessment based on surface chlorophyll, J. Geophys. Res., 111(C8), C08005, doi:10.1029/2005JC003207, 2006.</w:t>
      </w:r>
    </w:p>
    <w:p w14:paraId="6BAA4433" w14:textId="59268939" w:rsidR="000A136D" w:rsidRPr="005E076C" w:rsidRDefault="005E076C" w:rsidP="005E076C">
      <w:pPr>
        <w:spacing w:line="276" w:lineRule="auto"/>
        <w:ind w:left="360" w:hanging="360"/>
        <w:jc w:val="both"/>
        <w:rPr>
          <w:b/>
          <w:bCs/>
          <w:kern w:val="32"/>
          <w:sz w:val="22"/>
          <w:szCs w:val="22"/>
        </w:rPr>
      </w:pPr>
      <w:r w:rsidRPr="005E076C">
        <w:rPr>
          <w:color w:val="000000"/>
          <w:sz w:val="22"/>
          <w:szCs w:val="22"/>
        </w:rPr>
        <w:fldChar w:fldCharType="end"/>
      </w:r>
    </w:p>
    <w:sectPr w:rsidR="000A136D" w:rsidRPr="005E076C" w:rsidSect="00F125EE">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7F9B" w14:textId="77777777" w:rsidR="00770C20" w:rsidRDefault="00770C20">
      <w:r>
        <w:separator/>
      </w:r>
    </w:p>
  </w:endnote>
  <w:endnote w:type="continuationSeparator" w:id="0">
    <w:p w14:paraId="1F962EA3" w14:textId="77777777" w:rsidR="00770C20" w:rsidRDefault="0077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1EFC" w14:textId="77777777" w:rsidR="00037A5E" w:rsidRDefault="00037A5E">
    <w:pPr>
      <w:pStyle w:val="Pieddepage"/>
      <w:jc w:val="right"/>
    </w:pPr>
    <w:r>
      <w:fldChar w:fldCharType="begin"/>
    </w:r>
    <w:r>
      <w:instrText xml:space="preserve"> PAGE   \* MERGEFORMAT </w:instrText>
    </w:r>
    <w:r>
      <w:fldChar w:fldCharType="separate"/>
    </w:r>
    <w:r w:rsidR="008F5EB2">
      <w:rPr>
        <w:noProof/>
      </w:rPr>
      <w:t>3</w:t>
    </w:r>
    <w:r>
      <w:fldChar w:fldCharType="end"/>
    </w:r>
  </w:p>
  <w:p w14:paraId="684A5A79" w14:textId="77777777" w:rsidR="00037A5E" w:rsidRDefault="00037A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053A" w14:textId="77777777" w:rsidR="00770C20" w:rsidRDefault="00770C20">
      <w:r>
        <w:separator/>
      </w:r>
    </w:p>
  </w:footnote>
  <w:footnote w:type="continuationSeparator" w:id="0">
    <w:p w14:paraId="01761E64" w14:textId="77777777" w:rsidR="00770C20" w:rsidRDefault="0077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109A" w14:textId="77777777" w:rsidR="00037A5E" w:rsidRPr="005001AC" w:rsidRDefault="00037A5E" w:rsidP="005001AC">
    <w:pPr>
      <w:jc w:val="right"/>
      <w:rPr>
        <w:sz w:val="20"/>
      </w:rPr>
    </w:pPr>
  </w:p>
  <w:p w14:paraId="7793B0E5" w14:textId="77777777" w:rsidR="00037A5E" w:rsidRDefault="00037A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039153">
    <w:abstractNumId w:val="9"/>
  </w:num>
  <w:num w:numId="2" w16cid:durableId="618606824">
    <w:abstractNumId w:val="7"/>
  </w:num>
  <w:num w:numId="3" w16cid:durableId="2055540564">
    <w:abstractNumId w:val="6"/>
  </w:num>
  <w:num w:numId="4" w16cid:durableId="11147884">
    <w:abstractNumId w:val="5"/>
  </w:num>
  <w:num w:numId="5" w16cid:durableId="1594896792">
    <w:abstractNumId w:val="4"/>
  </w:num>
  <w:num w:numId="6" w16cid:durableId="1721444201">
    <w:abstractNumId w:val="8"/>
  </w:num>
  <w:num w:numId="7" w16cid:durableId="1951280212">
    <w:abstractNumId w:val="3"/>
  </w:num>
  <w:num w:numId="8" w16cid:durableId="168912069">
    <w:abstractNumId w:val="2"/>
  </w:num>
  <w:num w:numId="9" w16cid:durableId="159471378">
    <w:abstractNumId w:val="1"/>
  </w:num>
  <w:num w:numId="10" w16cid:durableId="483936784">
    <w:abstractNumId w:val="0"/>
  </w:num>
  <w:num w:numId="11" w16cid:durableId="1455171977">
    <w:abstractNumId w:val="11"/>
  </w:num>
  <w:num w:numId="12" w16cid:durableId="469058066">
    <w:abstractNumId w:val="12"/>
  </w:num>
  <w:num w:numId="13" w16cid:durableId="215510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0F"/>
    <w:rsid w:val="00013A67"/>
    <w:rsid w:val="00015F74"/>
    <w:rsid w:val="00035653"/>
    <w:rsid w:val="00037A5E"/>
    <w:rsid w:val="000400D3"/>
    <w:rsid w:val="00043571"/>
    <w:rsid w:val="00065EBD"/>
    <w:rsid w:val="00083B44"/>
    <w:rsid w:val="000850DC"/>
    <w:rsid w:val="00094365"/>
    <w:rsid w:val="000966C0"/>
    <w:rsid w:val="000A136D"/>
    <w:rsid w:val="000A1E42"/>
    <w:rsid w:val="000A7E3A"/>
    <w:rsid w:val="000B2E64"/>
    <w:rsid w:val="000C2771"/>
    <w:rsid w:val="000D68BD"/>
    <w:rsid w:val="000F0DCE"/>
    <w:rsid w:val="00107910"/>
    <w:rsid w:val="00111843"/>
    <w:rsid w:val="00112C5B"/>
    <w:rsid w:val="00113908"/>
    <w:rsid w:val="00114193"/>
    <w:rsid w:val="001154E6"/>
    <w:rsid w:val="00115A38"/>
    <w:rsid w:val="0011687B"/>
    <w:rsid w:val="00124F82"/>
    <w:rsid w:val="001278E3"/>
    <w:rsid w:val="00127F26"/>
    <w:rsid w:val="00130743"/>
    <w:rsid w:val="00130B50"/>
    <w:rsid w:val="0016337A"/>
    <w:rsid w:val="00164269"/>
    <w:rsid w:val="001966FD"/>
    <w:rsid w:val="00197826"/>
    <w:rsid w:val="001A1BDE"/>
    <w:rsid w:val="001A71D2"/>
    <w:rsid w:val="001C7B4E"/>
    <w:rsid w:val="001F0876"/>
    <w:rsid w:val="001F167C"/>
    <w:rsid w:val="001F5E91"/>
    <w:rsid w:val="0020183F"/>
    <w:rsid w:val="002077B9"/>
    <w:rsid w:val="00221C70"/>
    <w:rsid w:val="002251AF"/>
    <w:rsid w:val="00227D86"/>
    <w:rsid w:val="00237D99"/>
    <w:rsid w:val="00243B68"/>
    <w:rsid w:val="002534FA"/>
    <w:rsid w:val="00262D72"/>
    <w:rsid w:val="00277BF2"/>
    <w:rsid w:val="002800B6"/>
    <w:rsid w:val="002B35D4"/>
    <w:rsid w:val="002C030F"/>
    <w:rsid w:val="002D7258"/>
    <w:rsid w:val="002F3966"/>
    <w:rsid w:val="0031353F"/>
    <w:rsid w:val="00320E2C"/>
    <w:rsid w:val="00331D75"/>
    <w:rsid w:val="00355362"/>
    <w:rsid w:val="00356B3C"/>
    <w:rsid w:val="003579A5"/>
    <w:rsid w:val="00363E44"/>
    <w:rsid w:val="00395E86"/>
    <w:rsid w:val="003A2FD8"/>
    <w:rsid w:val="003B40E6"/>
    <w:rsid w:val="003C007A"/>
    <w:rsid w:val="003E1980"/>
    <w:rsid w:val="003F6E14"/>
    <w:rsid w:val="00405336"/>
    <w:rsid w:val="00435166"/>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4432F"/>
    <w:rsid w:val="00552C23"/>
    <w:rsid w:val="005607DD"/>
    <w:rsid w:val="00572DFF"/>
    <w:rsid w:val="005A558C"/>
    <w:rsid w:val="005B186E"/>
    <w:rsid w:val="005B2A97"/>
    <w:rsid w:val="005C6651"/>
    <w:rsid w:val="005D6D71"/>
    <w:rsid w:val="005E076C"/>
    <w:rsid w:val="005E28F8"/>
    <w:rsid w:val="005E6513"/>
    <w:rsid w:val="0060260F"/>
    <w:rsid w:val="00605AF3"/>
    <w:rsid w:val="00607542"/>
    <w:rsid w:val="00611F9E"/>
    <w:rsid w:val="00622A96"/>
    <w:rsid w:val="006237D4"/>
    <w:rsid w:val="00636B7B"/>
    <w:rsid w:val="00651114"/>
    <w:rsid w:val="006622CF"/>
    <w:rsid w:val="00664A12"/>
    <w:rsid w:val="0066722B"/>
    <w:rsid w:val="00670299"/>
    <w:rsid w:val="0068469F"/>
    <w:rsid w:val="00691985"/>
    <w:rsid w:val="006962C1"/>
    <w:rsid w:val="006A1B64"/>
    <w:rsid w:val="006B03AD"/>
    <w:rsid w:val="006F602A"/>
    <w:rsid w:val="007108F5"/>
    <w:rsid w:val="00713AF2"/>
    <w:rsid w:val="00713E5B"/>
    <w:rsid w:val="007402FC"/>
    <w:rsid w:val="007411A1"/>
    <w:rsid w:val="007563F2"/>
    <w:rsid w:val="00764008"/>
    <w:rsid w:val="00770C20"/>
    <w:rsid w:val="007860F3"/>
    <w:rsid w:val="007C1947"/>
    <w:rsid w:val="007C2FEE"/>
    <w:rsid w:val="007C746A"/>
    <w:rsid w:val="00807D35"/>
    <w:rsid w:val="008115D9"/>
    <w:rsid w:val="00825950"/>
    <w:rsid w:val="00860548"/>
    <w:rsid w:val="00884F81"/>
    <w:rsid w:val="00885C9B"/>
    <w:rsid w:val="008927D0"/>
    <w:rsid w:val="008C4EBF"/>
    <w:rsid w:val="008D5D2A"/>
    <w:rsid w:val="008E2CF1"/>
    <w:rsid w:val="008F08DC"/>
    <w:rsid w:val="008F5A8A"/>
    <w:rsid w:val="008F5EB2"/>
    <w:rsid w:val="0090067E"/>
    <w:rsid w:val="009055D1"/>
    <w:rsid w:val="00914B63"/>
    <w:rsid w:val="00922705"/>
    <w:rsid w:val="00924546"/>
    <w:rsid w:val="00932FE5"/>
    <w:rsid w:val="009354F3"/>
    <w:rsid w:val="009447DC"/>
    <w:rsid w:val="00951E98"/>
    <w:rsid w:val="00961BA5"/>
    <w:rsid w:val="009743A9"/>
    <w:rsid w:val="00975720"/>
    <w:rsid w:val="00980FDE"/>
    <w:rsid w:val="009859A7"/>
    <w:rsid w:val="009A5287"/>
    <w:rsid w:val="009B2AC5"/>
    <w:rsid w:val="009B7984"/>
    <w:rsid w:val="009F4BED"/>
    <w:rsid w:val="009F7D93"/>
    <w:rsid w:val="00A276DF"/>
    <w:rsid w:val="00A3084A"/>
    <w:rsid w:val="00A3403B"/>
    <w:rsid w:val="00A47CCF"/>
    <w:rsid w:val="00A50033"/>
    <w:rsid w:val="00A51A12"/>
    <w:rsid w:val="00A603B3"/>
    <w:rsid w:val="00A627D4"/>
    <w:rsid w:val="00A74DA2"/>
    <w:rsid w:val="00A842E2"/>
    <w:rsid w:val="00A87E93"/>
    <w:rsid w:val="00A92733"/>
    <w:rsid w:val="00AA76F3"/>
    <w:rsid w:val="00AC7DA6"/>
    <w:rsid w:val="00AD499C"/>
    <w:rsid w:val="00B30334"/>
    <w:rsid w:val="00B3147F"/>
    <w:rsid w:val="00B36869"/>
    <w:rsid w:val="00B43B31"/>
    <w:rsid w:val="00B47CFA"/>
    <w:rsid w:val="00B57F00"/>
    <w:rsid w:val="00B626CB"/>
    <w:rsid w:val="00B62BB0"/>
    <w:rsid w:val="00B7560C"/>
    <w:rsid w:val="00B77E40"/>
    <w:rsid w:val="00B82C22"/>
    <w:rsid w:val="00B93DBA"/>
    <w:rsid w:val="00B9440A"/>
    <w:rsid w:val="00B952C1"/>
    <w:rsid w:val="00B968D7"/>
    <w:rsid w:val="00BA3953"/>
    <w:rsid w:val="00BB2D2A"/>
    <w:rsid w:val="00BD58CF"/>
    <w:rsid w:val="00BD5F44"/>
    <w:rsid w:val="00BF1BEB"/>
    <w:rsid w:val="00BF1BF9"/>
    <w:rsid w:val="00C04CC1"/>
    <w:rsid w:val="00C071FC"/>
    <w:rsid w:val="00C22C02"/>
    <w:rsid w:val="00C27897"/>
    <w:rsid w:val="00C27F6F"/>
    <w:rsid w:val="00C30E83"/>
    <w:rsid w:val="00C50C6D"/>
    <w:rsid w:val="00C600D9"/>
    <w:rsid w:val="00C634D7"/>
    <w:rsid w:val="00C70710"/>
    <w:rsid w:val="00C73E09"/>
    <w:rsid w:val="00C7618A"/>
    <w:rsid w:val="00CC1384"/>
    <w:rsid w:val="00CD1897"/>
    <w:rsid w:val="00CD3720"/>
    <w:rsid w:val="00CE6EAA"/>
    <w:rsid w:val="00CF1848"/>
    <w:rsid w:val="00CF5C2F"/>
    <w:rsid w:val="00D04BCF"/>
    <w:rsid w:val="00D071A2"/>
    <w:rsid w:val="00D10134"/>
    <w:rsid w:val="00D143D9"/>
    <w:rsid w:val="00D4372A"/>
    <w:rsid w:val="00D60834"/>
    <w:rsid w:val="00D60BB0"/>
    <w:rsid w:val="00D65708"/>
    <w:rsid w:val="00D67B46"/>
    <w:rsid w:val="00D8159F"/>
    <w:rsid w:val="00DC228B"/>
    <w:rsid w:val="00DD1D04"/>
    <w:rsid w:val="00DD79D7"/>
    <w:rsid w:val="00E20431"/>
    <w:rsid w:val="00E257C8"/>
    <w:rsid w:val="00E40896"/>
    <w:rsid w:val="00E43D2D"/>
    <w:rsid w:val="00E449CB"/>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D177B"/>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C4750"/>
  <w15:docId w15:val="{7CEB3A22-A481-4472-8FD0-440BD76D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Titre1">
    <w:name w:val="heading 1"/>
    <w:basedOn w:val="Normal"/>
    <w:next w:val="Normal"/>
    <w:link w:val="Titre1Car"/>
    <w:semiHidden/>
    <w:qFormat/>
    <w:rsid w:val="00B43B31"/>
    <w:pPr>
      <w:keepNext/>
      <w:spacing w:before="240" w:after="60"/>
      <w:outlineLvl w:val="0"/>
    </w:pPr>
    <w:rPr>
      <w:b/>
      <w:bCs/>
      <w:kern w:val="32"/>
      <w:szCs w:val="24"/>
    </w:rPr>
  </w:style>
  <w:style w:type="paragraph" w:styleId="Titre2">
    <w:name w:val="heading 2"/>
    <w:basedOn w:val="Normal"/>
    <w:next w:val="Normal"/>
    <w:link w:val="Titre2Car"/>
    <w:semiHidden/>
    <w:qFormat/>
    <w:rsid w:val="007411A1"/>
    <w:pPr>
      <w:keepNext/>
      <w:spacing w:before="240" w:after="60"/>
      <w:outlineLvl w:val="1"/>
    </w:pPr>
    <w:rPr>
      <w:rFonts w:ascii="Cambria" w:hAnsi="Cambria"/>
      <w:b/>
      <w:bCs/>
      <w:i/>
      <w:iCs/>
      <w:sz w:val="28"/>
      <w:szCs w:val="28"/>
    </w:rPr>
  </w:style>
  <w:style w:type="paragraph" w:styleId="Titre3">
    <w:name w:val="heading 3"/>
    <w:basedOn w:val="Normal"/>
    <w:next w:val="Normal"/>
    <w:semiHidden/>
    <w:qFormat/>
    <w:rsid w:val="00C600D9"/>
    <w:pPr>
      <w:keepNext/>
      <w:spacing w:line="480" w:lineRule="auto"/>
      <w:outlineLvl w:val="2"/>
    </w:pPr>
    <w:rPr>
      <w:rFonts w:ascii="Times" w:eastAsia="Times" w:hAnsi="Times"/>
      <w:b/>
    </w:rPr>
  </w:style>
  <w:style w:type="paragraph" w:styleId="Titre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Titre5">
    <w:name w:val="heading 5"/>
    <w:basedOn w:val="Normal"/>
    <w:next w:val="Normal"/>
    <w:link w:val="Titre5Car"/>
    <w:semiHidden/>
    <w:qFormat/>
    <w:rsid w:val="007411A1"/>
    <w:pPr>
      <w:spacing w:before="240" w:after="60"/>
      <w:outlineLvl w:val="4"/>
    </w:pPr>
    <w:rPr>
      <w:rFonts w:ascii="Calibri" w:hAnsi="Calibri"/>
      <w:b/>
      <w:bCs/>
      <w:i/>
      <w:iCs/>
      <w:sz w:val="26"/>
      <w:szCs w:val="26"/>
    </w:rPr>
  </w:style>
  <w:style w:type="paragraph" w:styleId="Titre6">
    <w:name w:val="heading 6"/>
    <w:basedOn w:val="Normal"/>
    <w:next w:val="Normal"/>
    <w:link w:val="Titre6Car"/>
    <w:semiHidden/>
    <w:qFormat/>
    <w:rsid w:val="007411A1"/>
    <w:pPr>
      <w:spacing w:before="240" w:after="60"/>
      <w:outlineLvl w:val="5"/>
    </w:pPr>
    <w:rPr>
      <w:rFonts w:ascii="Calibri" w:hAnsi="Calibri"/>
      <w:b/>
      <w:bCs/>
      <w:sz w:val="22"/>
      <w:szCs w:val="22"/>
    </w:rPr>
  </w:style>
  <w:style w:type="paragraph" w:styleId="Titre7">
    <w:name w:val="heading 7"/>
    <w:basedOn w:val="Normal"/>
    <w:next w:val="Normal"/>
    <w:link w:val="Titre7Car"/>
    <w:semiHidden/>
    <w:qFormat/>
    <w:rsid w:val="007411A1"/>
    <w:pPr>
      <w:spacing w:before="240" w:after="60"/>
      <w:outlineLvl w:val="6"/>
    </w:pPr>
    <w:rPr>
      <w:rFonts w:ascii="Calibri" w:hAnsi="Calibri"/>
      <w:szCs w:val="24"/>
    </w:rPr>
  </w:style>
  <w:style w:type="paragraph" w:styleId="Titre8">
    <w:name w:val="heading 8"/>
    <w:basedOn w:val="Normal"/>
    <w:next w:val="Normal"/>
    <w:link w:val="Titre8Car"/>
    <w:semiHidden/>
    <w:qFormat/>
    <w:rsid w:val="007411A1"/>
    <w:pPr>
      <w:spacing w:before="240" w:after="60"/>
      <w:outlineLvl w:val="7"/>
    </w:pPr>
    <w:rPr>
      <w:rFonts w:ascii="Calibri" w:hAnsi="Calibri"/>
      <w:i/>
      <w:iCs/>
      <w:szCs w:val="24"/>
    </w:rPr>
  </w:style>
  <w:style w:type="paragraph" w:styleId="Titre9">
    <w:name w:val="heading 9"/>
    <w:basedOn w:val="Normal"/>
    <w:next w:val="Normal"/>
    <w:link w:val="Titre9Car"/>
    <w:semiHidden/>
    <w:qFormat/>
    <w:rsid w:val="007411A1"/>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477182"/>
  </w:style>
  <w:style w:type="character" w:customStyle="1" w:styleId="Titre1Car">
    <w:name w:val="Titre 1 Car"/>
    <w:link w:val="Titre1"/>
    <w:semiHidden/>
    <w:rsid w:val="00FF04E3"/>
    <w:rPr>
      <w:b/>
      <w:bCs/>
      <w:kern w:val="32"/>
      <w:sz w:val="24"/>
      <w:szCs w:val="24"/>
    </w:rPr>
  </w:style>
  <w:style w:type="character" w:customStyle="1" w:styleId="Titre2Car">
    <w:name w:val="Titre 2 Car"/>
    <w:link w:val="Titre2"/>
    <w:semiHidden/>
    <w:rsid w:val="00FF04E3"/>
    <w:rPr>
      <w:rFonts w:ascii="Cambria" w:hAnsi="Cambria"/>
      <w:b/>
      <w:bCs/>
      <w:i/>
      <w:iCs/>
      <w:sz w:val="28"/>
      <w:szCs w:val="28"/>
    </w:rPr>
  </w:style>
  <w:style w:type="character" w:customStyle="1" w:styleId="Titre5Car">
    <w:name w:val="Titre 5 Car"/>
    <w:link w:val="Titre5"/>
    <w:semiHidden/>
    <w:rsid w:val="00FF04E3"/>
    <w:rPr>
      <w:rFonts w:ascii="Calibri" w:hAnsi="Calibri"/>
      <w:b/>
      <w:bCs/>
      <w:i/>
      <w:iCs/>
      <w:sz w:val="26"/>
      <w:szCs w:val="26"/>
    </w:rPr>
  </w:style>
  <w:style w:type="character" w:customStyle="1" w:styleId="Titre6Car">
    <w:name w:val="Titre 6 Car"/>
    <w:link w:val="Titre6"/>
    <w:semiHidden/>
    <w:rsid w:val="00FF04E3"/>
    <w:rPr>
      <w:rFonts w:ascii="Calibri" w:hAnsi="Calibri"/>
      <w:b/>
      <w:bCs/>
      <w:sz w:val="22"/>
      <w:szCs w:val="22"/>
    </w:rPr>
  </w:style>
  <w:style w:type="character" w:customStyle="1" w:styleId="Titre7Car">
    <w:name w:val="Titre 7 Car"/>
    <w:link w:val="Titre7"/>
    <w:semiHidden/>
    <w:rsid w:val="00FF04E3"/>
    <w:rPr>
      <w:rFonts w:ascii="Calibri" w:hAnsi="Calibri"/>
      <w:sz w:val="24"/>
      <w:szCs w:val="24"/>
    </w:rPr>
  </w:style>
  <w:style w:type="character" w:customStyle="1" w:styleId="Titre8Car">
    <w:name w:val="Titre 8 Car"/>
    <w:link w:val="Titre8"/>
    <w:semiHidden/>
    <w:rsid w:val="00FF04E3"/>
    <w:rPr>
      <w:rFonts w:ascii="Calibri" w:hAnsi="Calibri"/>
      <w:i/>
      <w:iCs/>
      <w:sz w:val="24"/>
      <w:szCs w:val="24"/>
    </w:rPr>
  </w:style>
  <w:style w:type="character" w:customStyle="1" w:styleId="Titre9Car">
    <w:name w:val="Titre 9 Car"/>
    <w:link w:val="Titre9"/>
    <w:semiHidden/>
    <w:rsid w:val="00FF04E3"/>
    <w:rPr>
      <w:rFonts w:ascii="Cambria" w:hAnsi="Cambria"/>
      <w:sz w:val="22"/>
      <w:szCs w:val="22"/>
    </w:rPr>
  </w:style>
  <w:style w:type="paragraph" w:customStyle="1" w:styleId="SMHeading">
    <w:name w:val="SM Heading"/>
    <w:basedOn w:val="Titre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edebulles">
    <w:name w:val="Balloon Text"/>
    <w:basedOn w:val="Normal"/>
    <w:link w:val="TextedebullesCar"/>
    <w:semiHidden/>
    <w:rsid w:val="00405336"/>
    <w:rPr>
      <w:rFonts w:ascii="Tahoma" w:hAnsi="Tahoma" w:cs="Tahoma"/>
      <w:sz w:val="16"/>
      <w:szCs w:val="16"/>
    </w:rPr>
  </w:style>
  <w:style w:type="character" w:customStyle="1" w:styleId="TextedebullesCar">
    <w:name w:val="Texte de bulles Car"/>
    <w:link w:val="Textedebulles"/>
    <w:semiHidden/>
    <w:rsid w:val="00FF04E3"/>
    <w:rPr>
      <w:rFonts w:ascii="Tahoma" w:hAnsi="Tahoma" w:cs="Tahoma"/>
      <w:sz w:val="16"/>
      <w:szCs w:val="16"/>
    </w:rPr>
  </w:style>
  <w:style w:type="paragraph" w:styleId="Bibliographie">
    <w:name w:val="Bibliography"/>
    <w:basedOn w:val="Normal"/>
    <w:next w:val="Normal"/>
    <w:uiPriority w:val="37"/>
    <w:semiHidden/>
    <w:rsid w:val="00405336"/>
  </w:style>
  <w:style w:type="paragraph" w:styleId="Normalcentr">
    <w:name w:val="Block Text"/>
    <w:basedOn w:val="Normal"/>
    <w:semiHidden/>
    <w:rsid w:val="00405336"/>
    <w:pPr>
      <w:spacing w:after="120"/>
      <w:ind w:left="1440" w:right="1440"/>
    </w:pPr>
  </w:style>
  <w:style w:type="paragraph" w:styleId="Corpsdetexte">
    <w:name w:val="Body Text"/>
    <w:basedOn w:val="Normal"/>
    <w:link w:val="CorpsdetexteCar"/>
    <w:semiHidden/>
    <w:rsid w:val="00405336"/>
    <w:pPr>
      <w:spacing w:after="120"/>
    </w:pPr>
  </w:style>
  <w:style w:type="character" w:customStyle="1" w:styleId="CorpsdetexteCar">
    <w:name w:val="Corps de texte Car"/>
    <w:link w:val="Corpsdetexte"/>
    <w:semiHidden/>
    <w:rsid w:val="00FF04E3"/>
    <w:rPr>
      <w:sz w:val="24"/>
    </w:rPr>
  </w:style>
  <w:style w:type="paragraph" w:styleId="Corpsdetexte2">
    <w:name w:val="Body Text 2"/>
    <w:basedOn w:val="Normal"/>
    <w:link w:val="Corpsdetexte2Car"/>
    <w:semiHidden/>
    <w:rsid w:val="00405336"/>
    <w:pPr>
      <w:spacing w:after="120" w:line="480" w:lineRule="auto"/>
    </w:pPr>
  </w:style>
  <w:style w:type="character" w:customStyle="1" w:styleId="Corpsdetexte2Car">
    <w:name w:val="Corps de texte 2 Car"/>
    <w:link w:val="Corpsdetexte2"/>
    <w:semiHidden/>
    <w:rsid w:val="00FF04E3"/>
    <w:rPr>
      <w:sz w:val="24"/>
    </w:rPr>
  </w:style>
  <w:style w:type="paragraph" w:styleId="Corpsdetexte3">
    <w:name w:val="Body Text 3"/>
    <w:basedOn w:val="Normal"/>
    <w:link w:val="Corpsdetexte3Car"/>
    <w:semiHidden/>
    <w:rsid w:val="00405336"/>
    <w:pPr>
      <w:spacing w:after="120"/>
    </w:pPr>
    <w:rPr>
      <w:sz w:val="16"/>
      <w:szCs w:val="16"/>
    </w:rPr>
  </w:style>
  <w:style w:type="character" w:customStyle="1" w:styleId="Corpsdetexte3Car">
    <w:name w:val="Corps de texte 3 Car"/>
    <w:link w:val="Corpsdetexte3"/>
    <w:semiHidden/>
    <w:rsid w:val="00FF04E3"/>
    <w:rPr>
      <w:sz w:val="16"/>
      <w:szCs w:val="16"/>
    </w:rPr>
  </w:style>
  <w:style w:type="paragraph" w:styleId="Retrait1religne">
    <w:name w:val="Body Text First Indent"/>
    <w:basedOn w:val="Corpsdetexte"/>
    <w:link w:val="Retrait1religneCar"/>
    <w:semiHidden/>
    <w:rsid w:val="00405336"/>
    <w:pPr>
      <w:ind w:firstLine="210"/>
    </w:pPr>
  </w:style>
  <w:style w:type="character" w:customStyle="1" w:styleId="Retrait1religneCar">
    <w:name w:val="Retrait 1re ligne Car"/>
    <w:basedOn w:val="CorpsdetexteCar"/>
    <w:link w:val="Retrait1religne"/>
    <w:semiHidden/>
    <w:rsid w:val="00FF04E3"/>
    <w:rPr>
      <w:sz w:val="24"/>
    </w:rPr>
  </w:style>
  <w:style w:type="paragraph" w:styleId="Retraitcorpsdetexte">
    <w:name w:val="Body Text Indent"/>
    <w:basedOn w:val="Normal"/>
    <w:link w:val="RetraitcorpsdetexteCar"/>
    <w:semiHidden/>
    <w:rsid w:val="00405336"/>
    <w:pPr>
      <w:spacing w:after="120"/>
      <w:ind w:left="360"/>
    </w:pPr>
  </w:style>
  <w:style w:type="character" w:customStyle="1" w:styleId="RetraitcorpsdetexteCar">
    <w:name w:val="Retrait corps de texte Car"/>
    <w:link w:val="Retraitcorpsdetexte"/>
    <w:semiHidden/>
    <w:rsid w:val="00FF04E3"/>
    <w:rPr>
      <w:sz w:val="24"/>
    </w:rPr>
  </w:style>
  <w:style w:type="paragraph" w:styleId="Retraitcorpset1relig">
    <w:name w:val="Body Text First Indent 2"/>
    <w:basedOn w:val="Retraitcorpsdetexte"/>
    <w:link w:val="Retraitcorpset1religCar"/>
    <w:semiHidden/>
    <w:rsid w:val="00405336"/>
    <w:pPr>
      <w:ind w:firstLine="210"/>
    </w:pPr>
  </w:style>
  <w:style w:type="character" w:customStyle="1" w:styleId="Retraitcorpset1religCar">
    <w:name w:val="Retrait corps et 1re lig. Car"/>
    <w:basedOn w:val="RetraitcorpsdetexteCar"/>
    <w:link w:val="Retraitcorpset1relig"/>
    <w:semiHidden/>
    <w:rsid w:val="00FF04E3"/>
    <w:rPr>
      <w:sz w:val="24"/>
    </w:rPr>
  </w:style>
  <w:style w:type="paragraph" w:styleId="Retraitcorpsdetexte2">
    <w:name w:val="Body Text Indent 2"/>
    <w:basedOn w:val="Normal"/>
    <w:link w:val="Retraitcorpsdetexte2Car"/>
    <w:semiHidden/>
    <w:rsid w:val="00405336"/>
    <w:pPr>
      <w:spacing w:after="120" w:line="480" w:lineRule="auto"/>
      <w:ind w:left="360"/>
    </w:pPr>
  </w:style>
  <w:style w:type="character" w:customStyle="1" w:styleId="Retraitcorpsdetexte2Car">
    <w:name w:val="Retrait corps de texte 2 Car"/>
    <w:link w:val="Retraitcorpsdetexte2"/>
    <w:semiHidden/>
    <w:rsid w:val="00FF04E3"/>
    <w:rPr>
      <w:sz w:val="24"/>
    </w:rPr>
  </w:style>
  <w:style w:type="paragraph" w:styleId="Retraitcorpsdetexte3">
    <w:name w:val="Body Text Indent 3"/>
    <w:basedOn w:val="Normal"/>
    <w:link w:val="Retraitcorpsdetexte3Car"/>
    <w:semiHidden/>
    <w:rsid w:val="00405336"/>
    <w:pPr>
      <w:spacing w:after="120"/>
      <w:ind w:left="360"/>
    </w:pPr>
    <w:rPr>
      <w:sz w:val="16"/>
      <w:szCs w:val="16"/>
    </w:rPr>
  </w:style>
  <w:style w:type="character" w:customStyle="1" w:styleId="Retraitcorpsdetexte3Car">
    <w:name w:val="Retrait corps de texte 3 Car"/>
    <w:link w:val="Retraitcorpsdetexte3"/>
    <w:semiHidden/>
    <w:rsid w:val="00FF04E3"/>
    <w:rPr>
      <w:sz w:val="16"/>
      <w:szCs w:val="16"/>
    </w:rPr>
  </w:style>
  <w:style w:type="paragraph" w:styleId="Lgende">
    <w:name w:val="caption"/>
    <w:basedOn w:val="Normal"/>
    <w:next w:val="Normal"/>
    <w:uiPriority w:val="35"/>
    <w:qFormat/>
    <w:rsid w:val="00405336"/>
    <w:rPr>
      <w:b/>
      <w:bCs/>
      <w:sz w:val="20"/>
    </w:rPr>
  </w:style>
  <w:style w:type="paragraph" w:styleId="Formuledepolitesse">
    <w:name w:val="Closing"/>
    <w:basedOn w:val="Normal"/>
    <w:link w:val="FormuledepolitesseCar"/>
    <w:semiHidden/>
    <w:rsid w:val="00405336"/>
    <w:pPr>
      <w:ind w:left="4320"/>
    </w:pPr>
  </w:style>
  <w:style w:type="character" w:customStyle="1" w:styleId="FormuledepolitesseCar">
    <w:name w:val="Formule de politesse Car"/>
    <w:link w:val="Formuledepolitesse"/>
    <w:semiHidden/>
    <w:rsid w:val="00FF04E3"/>
    <w:rPr>
      <w:sz w:val="24"/>
    </w:rPr>
  </w:style>
  <w:style w:type="paragraph" w:styleId="Commentaire">
    <w:name w:val="annotation text"/>
    <w:basedOn w:val="Normal"/>
    <w:link w:val="CommentaireCar"/>
    <w:semiHidden/>
    <w:rsid w:val="00405336"/>
    <w:rPr>
      <w:sz w:val="20"/>
    </w:rPr>
  </w:style>
  <w:style w:type="character" w:customStyle="1" w:styleId="CommentaireCar">
    <w:name w:val="Commentaire Car"/>
    <w:basedOn w:val="Policepardfaut"/>
    <w:link w:val="Commentaire"/>
    <w:semiHidden/>
    <w:rsid w:val="00FF04E3"/>
  </w:style>
  <w:style w:type="paragraph" w:styleId="Objetducommentaire">
    <w:name w:val="annotation subject"/>
    <w:basedOn w:val="Commentaire"/>
    <w:next w:val="Commentaire"/>
    <w:link w:val="ObjetducommentaireCar"/>
    <w:semiHidden/>
    <w:rsid w:val="00405336"/>
    <w:rPr>
      <w:b/>
      <w:bCs/>
    </w:rPr>
  </w:style>
  <w:style w:type="character" w:customStyle="1" w:styleId="ObjetducommentaireCar">
    <w:name w:val="Objet du commentaire Car"/>
    <w:link w:val="Objetducommentaire"/>
    <w:semiHidden/>
    <w:rsid w:val="00FF04E3"/>
    <w:rPr>
      <w:b/>
      <w:bCs/>
    </w:rPr>
  </w:style>
  <w:style w:type="paragraph" w:styleId="Date">
    <w:name w:val="Date"/>
    <w:basedOn w:val="Normal"/>
    <w:next w:val="Normal"/>
    <w:link w:val="DateCar"/>
    <w:semiHidden/>
    <w:rsid w:val="00405336"/>
  </w:style>
  <w:style w:type="character" w:customStyle="1" w:styleId="DateCar">
    <w:name w:val="Date Car"/>
    <w:link w:val="Date"/>
    <w:semiHidden/>
    <w:rsid w:val="00FF04E3"/>
    <w:rPr>
      <w:sz w:val="24"/>
    </w:rPr>
  </w:style>
  <w:style w:type="paragraph" w:styleId="Explorateurdedocuments">
    <w:name w:val="Document Map"/>
    <w:basedOn w:val="Normal"/>
    <w:link w:val="ExplorateurdedocumentsCar"/>
    <w:semiHidden/>
    <w:rsid w:val="00405336"/>
    <w:rPr>
      <w:rFonts w:ascii="Tahoma" w:hAnsi="Tahoma" w:cs="Tahoma"/>
      <w:sz w:val="16"/>
      <w:szCs w:val="16"/>
    </w:rPr>
  </w:style>
  <w:style w:type="character" w:customStyle="1" w:styleId="ExplorateurdedocumentsCar">
    <w:name w:val="Explorateur de documents Car"/>
    <w:link w:val="Explorateurdedocuments"/>
    <w:semiHidden/>
    <w:rsid w:val="00FF04E3"/>
    <w:rPr>
      <w:rFonts w:ascii="Tahoma" w:hAnsi="Tahoma" w:cs="Tahoma"/>
      <w:sz w:val="16"/>
      <w:szCs w:val="16"/>
    </w:rPr>
  </w:style>
  <w:style w:type="paragraph" w:styleId="Signaturelectronique">
    <w:name w:val="E-mail Signature"/>
    <w:basedOn w:val="Normal"/>
    <w:link w:val="SignaturelectroniqueCar"/>
    <w:semiHidden/>
    <w:rsid w:val="00405336"/>
  </w:style>
  <w:style w:type="character" w:customStyle="1" w:styleId="SignaturelectroniqueCar">
    <w:name w:val="Signature électronique Car"/>
    <w:link w:val="Signaturelectronique"/>
    <w:semiHidden/>
    <w:rsid w:val="00FF04E3"/>
    <w:rPr>
      <w:sz w:val="24"/>
    </w:rPr>
  </w:style>
  <w:style w:type="paragraph" w:styleId="Notedefin">
    <w:name w:val="endnote text"/>
    <w:basedOn w:val="Normal"/>
    <w:link w:val="NotedefinCar"/>
    <w:semiHidden/>
    <w:rsid w:val="00405336"/>
    <w:rPr>
      <w:sz w:val="20"/>
    </w:rPr>
  </w:style>
  <w:style w:type="character" w:customStyle="1" w:styleId="NotedefinCar">
    <w:name w:val="Note de fin Car"/>
    <w:basedOn w:val="Policepardfaut"/>
    <w:link w:val="Notedefin"/>
    <w:semiHidden/>
    <w:rsid w:val="00FF04E3"/>
  </w:style>
  <w:style w:type="paragraph" w:styleId="Adressedestinataire">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Adresseexpditeur">
    <w:name w:val="envelope return"/>
    <w:basedOn w:val="Normal"/>
    <w:semiHidden/>
    <w:rsid w:val="00405336"/>
    <w:rPr>
      <w:rFonts w:ascii="Cambria" w:hAnsi="Cambria"/>
      <w:sz w:val="20"/>
    </w:rPr>
  </w:style>
  <w:style w:type="paragraph" w:styleId="Pieddepage">
    <w:name w:val="footer"/>
    <w:basedOn w:val="Normal"/>
    <w:link w:val="PieddepageCar"/>
    <w:semiHidden/>
    <w:rsid w:val="00405336"/>
    <w:pPr>
      <w:tabs>
        <w:tab w:val="center" w:pos="4680"/>
        <w:tab w:val="right" w:pos="9360"/>
      </w:tabs>
    </w:pPr>
  </w:style>
  <w:style w:type="character" w:customStyle="1" w:styleId="PieddepageCar">
    <w:name w:val="Pied de page Car"/>
    <w:link w:val="Pieddepage"/>
    <w:semiHidden/>
    <w:rsid w:val="00FF04E3"/>
    <w:rPr>
      <w:sz w:val="24"/>
    </w:rPr>
  </w:style>
  <w:style w:type="paragraph" w:styleId="Notedebasdepage">
    <w:name w:val="footnote text"/>
    <w:basedOn w:val="Normal"/>
    <w:link w:val="NotedebasdepageCar"/>
    <w:semiHidden/>
    <w:rsid w:val="00405336"/>
    <w:rPr>
      <w:sz w:val="20"/>
    </w:rPr>
  </w:style>
  <w:style w:type="character" w:customStyle="1" w:styleId="NotedebasdepageCar">
    <w:name w:val="Note de bas de page Car"/>
    <w:basedOn w:val="Policepardfaut"/>
    <w:link w:val="Notedebasdepage"/>
    <w:semiHidden/>
    <w:rsid w:val="00FF04E3"/>
  </w:style>
  <w:style w:type="paragraph" w:styleId="En-tte">
    <w:name w:val="header"/>
    <w:basedOn w:val="Normal"/>
    <w:link w:val="En-tteCar"/>
    <w:uiPriority w:val="99"/>
    <w:rsid w:val="00405336"/>
    <w:pPr>
      <w:tabs>
        <w:tab w:val="center" w:pos="4680"/>
        <w:tab w:val="right" w:pos="9360"/>
      </w:tabs>
    </w:pPr>
  </w:style>
  <w:style w:type="character" w:customStyle="1" w:styleId="En-tteCar">
    <w:name w:val="En-tête Car"/>
    <w:link w:val="En-tte"/>
    <w:uiPriority w:val="99"/>
    <w:rsid w:val="00FF04E3"/>
    <w:rPr>
      <w:sz w:val="24"/>
    </w:rPr>
  </w:style>
  <w:style w:type="paragraph" w:styleId="AdresseHTML">
    <w:name w:val="HTML Address"/>
    <w:basedOn w:val="Normal"/>
    <w:link w:val="AdresseHTMLCar"/>
    <w:semiHidden/>
    <w:rsid w:val="00405336"/>
    <w:rPr>
      <w:i/>
      <w:iCs/>
    </w:rPr>
  </w:style>
  <w:style w:type="character" w:customStyle="1" w:styleId="AdresseHTMLCar">
    <w:name w:val="Adresse HTML Car"/>
    <w:link w:val="AdresseHTML"/>
    <w:semiHidden/>
    <w:rsid w:val="00FF04E3"/>
    <w:rPr>
      <w:i/>
      <w:iCs/>
      <w:sz w:val="24"/>
    </w:rPr>
  </w:style>
  <w:style w:type="paragraph" w:styleId="PrformatHTML">
    <w:name w:val="HTML Preformatted"/>
    <w:basedOn w:val="Normal"/>
    <w:link w:val="PrformatHTMLCar"/>
    <w:semiHidden/>
    <w:rsid w:val="00405336"/>
    <w:rPr>
      <w:rFonts w:ascii="Courier New" w:hAnsi="Courier New" w:cs="Courier New"/>
      <w:sz w:val="20"/>
    </w:rPr>
  </w:style>
  <w:style w:type="character" w:customStyle="1" w:styleId="PrformatHTMLCar">
    <w:name w:val="Préformaté HTML Car"/>
    <w:link w:val="PrformatHTML"/>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Titreindex">
    <w:name w:val="index heading"/>
    <w:basedOn w:val="Normal"/>
    <w:next w:val="Index1"/>
    <w:semiHidden/>
    <w:rsid w:val="00405336"/>
    <w:rPr>
      <w:rFonts w:ascii="Cambria" w:hAnsi="Cambria"/>
      <w:b/>
      <w:bCs/>
    </w:rPr>
  </w:style>
  <w:style w:type="paragraph" w:styleId="Citationintense">
    <w:name w:val="Intense Quote"/>
    <w:basedOn w:val="Normal"/>
    <w:next w:val="Normal"/>
    <w:link w:val="CitationintenseC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semiHidden/>
    <w:rsid w:val="00FF04E3"/>
    <w:rPr>
      <w:b/>
      <w:bCs/>
      <w:i/>
      <w:iCs/>
      <w:color w:val="4F81BD"/>
      <w:sz w:val="24"/>
    </w:rPr>
  </w:style>
  <w:style w:type="paragraph" w:styleId="Liste">
    <w:name w:val="List"/>
    <w:basedOn w:val="Normal"/>
    <w:semiHidden/>
    <w:rsid w:val="00405336"/>
    <w:pPr>
      <w:ind w:left="360" w:hanging="360"/>
      <w:contextualSpacing/>
    </w:pPr>
  </w:style>
  <w:style w:type="paragraph" w:styleId="Liste2">
    <w:name w:val="List 2"/>
    <w:basedOn w:val="Normal"/>
    <w:semiHidden/>
    <w:rsid w:val="00405336"/>
    <w:pPr>
      <w:ind w:left="720" w:hanging="360"/>
      <w:contextualSpacing/>
    </w:pPr>
  </w:style>
  <w:style w:type="paragraph" w:styleId="Liste3">
    <w:name w:val="List 3"/>
    <w:basedOn w:val="Normal"/>
    <w:semiHidden/>
    <w:rsid w:val="00405336"/>
    <w:pPr>
      <w:ind w:left="1080" w:hanging="360"/>
      <w:contextualSpacing/>
    </w:pPr>
  </w:style>
  <w:style w:type="paragraph" w:styleId="Liste4">
    <w:name w:val="List 4"/>
    <w:basedOn w:val="Normal"/>
    <w:semiHidden/>
    <w:rsid w:val="00405336"/>
    <w:pPr>
      <w:ind w:left="1440" w:hanging="360"/>
      <w:contextualSpacing/>
    </w:pPr>
  </w:style>
  <w:style w:type="paragraph" w:styleId="Liste5">
    <w:name w:val="List 5"/>
    <w:basedOn w:val="Normal"/>
    <w:semiHidden/>
    <w:rsid w:val="00405336"/>
    <w:pPr>
      <w:ind w:left="1800" w:hanging="360"/>
      <w:contextualSpacing/>
    </w:pPr>
  </w:style>
  <w:style w:type="paragraph" w:styleId="Listepuces">
    <w:name w:val="List Bullet"/>
    <w:basedOn w:val="Normal"/>
    <w:semiHidden/>
    <w:rsid w:val="00405336"/>
    <w:pPr>
      <w:numPr>
        <w:numId w:val="1"/>
      </w:numPr>
      <w:contextualSpacing/>
    </w:pPr>
  </w:style>
  <w:style w:type="paragraph" w:styleId="Listepuces2">
    <w:name w:val="List Bullet 2"/>
    <w:basedOn w:val="Normal"/>
    <w:semiHidden/>
    <w:rsid w:val="00405336"/>
    <w:pPr>
      <w:numPr>
        <w:numId w:val="2"/>
      </w:numPr>
      <w:contextualSpacing/>
    </w:pPr>
  </w:style>
  <w:style w:type="paragraph" w:styleId="Listepuces3">
    <w:name w:val="List Bullet 3"/>
    <w:basedOn w:val="Normal"/>
    <w:semiHidden/>
    <w:rsid w:val="00405336"/>
    <w:pPr>
      <w:numPr>
        <w:numId w:val="3"/>
      </w:numPr>
      <w:contextualSpacing/>
    </w:pPr>
  </w:style>
  <w:style w:type="paragraph" w:styleId="Listepuces4">
    <w:name w:val="List Bullet 4"/>
    <w:basedOn w:val="Normal"/>
    <w:semiHidden/>
    <w:rsid w:val="00405336"/>
    <w:pPr>
      <w:numPr>
        <w:numId w:val="4"/>
      </w:numPr>
      <w:contextualSpacing/>
    </w:pPr>
  </w:style>
  <w:style w:type="paragraph" w:styleId="Listepuces5">
    <w:name w:val="List Bullet 5"/>
    <w:basedOn w:val="Normal"/>
    <w:semiHidden/>
    <w:rsid w:val="00405336"/>
    <w:pPr>
      <w:numPr>
        <w:numId w:val="5"/>
      </w:numPr>
      <w:contextualSpacing/>
    </w:pPr>
  </w:style>
  <w:style w:type="paragraph" w:styleId="Listecontinue">
    <w:name w:val="List Continue"/>
    <w:basedOn w:val="Normal"/>
    <w:semiHidden/>
    <w:rsid w:val="00405336"/>
    <w:pPr>
      <w:spacing w:after="120"/>
      <w:ind w:left="360"/>
      <w:contextualSpacing/>
    </w:pPr>
  </w:style>
  <w:style w:type="paragraph" w:styleId="Listecontinue2">
    <w:name w:val="List Continue 2"/>
    <w:basedOn w:val="Normal"/>
    <w:semiHidden/>
    <w:rsid w:val="00405336"/>
    <w:pPr>
      <w:spacing w:after="120"/>
      <w:ind w:left="720"/>
      <w:contextualSpacing/>
    </w:pPr>
  </w:style>
  <w:style w:type="paragraph" w:styleId="Listecontinue3">
    <w:name w:val="List Continue 3"/>
    <w:basedOn w:val="Normal"/>
    <w:semiHidden/>
    <w:rsid w:val="00405336"/>
    <w:pPr>
      <w:spacing w:after="120"/>
      <w:ind w:left="1080"/>
      <w:contextualSpacing/>
    </w:pPr>
  </w:style>
  <w:style w:type="paragraph" w:styleId="Listecontinue4">
    <w:name w:val="List Continue 4"/>
    <w:basedOn w:val="Normal"/>
    <w:semiHidden/>
    <w:rsid w:val="00405336"/>
    <w:pPr>
      <w:spacing w:after="120"/>
      <w:ind w:left="1440"/>
      <w:contextualSpacing/>
    </w:pPr>
  </w:style>
  <w:style w:type="paragraph" w:styleId="Listecontinue5">
    <w:name w:val="List Continue 5"/>
    <w:basedOn w:val="Normal"/>
    <w:semiHidden/>
    <w:rsid w:val="00405336"/>
    <w:pPr>
      <w:spacing w:after="120"/>
      <w:ind w:left="1800"/>
      <w:contextualSpacing/>
    </w:pPr>
  </w:style>
  <w:style w:type="paragraph" w:styleId="Listenumros">
    <w:name w:val="List Number"/>
    <w:basedOn w:val="Normal"/>
    <w:semiHidden/>
    <w:rsid w:val="00405336"/>
    <w:pPr>
      <w:numPr>
        <w:numId w:val="6"/>
      </w:numPr>
      <w:contextualSpacing/>
    </w:pPr>
  </w:style>
  <w:style w:type="paragraph" w:styleId="Listenumros2">
    <w:name w:val="List Number 2"/>
    <w:basedOn w:val="Normal"/>
    <w:semiHidden/>
    <w:rsid w:val="00405336"/>
    <w:pPr>
      <w:numPr>
        <w:numId w:val="7"/>
      </w:numPr>
      <w:contextualSpacing/>
    </w:pPr>
  </w:style>
  <w:style w:type="paragraph" w:styleId="Listenumros3">
    <w:name w:val="List Number 3"/>
    <w:basedOn w:val="Normal"/>
    <w:semiHidden/>
    <w:rsid w:val="00405336"/>
    <w:pPr>
      <w:numPr>
        <w:numId w:val="8"/>
      </w:numPr>
      <w:contextualSpacing/>
    </w:pPr>
  </w:style>
  <w:style w:type="paragraph" w:styleId="Listenumros4">
    <w:name w:val="List Number 4"/>
    <w:basedOn w:val="Normal"/>
    <w:semiHidden/>
    <w:rsid w:val="00405336"/>
    <w:pPr>
      <w:numPr>
        <w:numId w:val="9"/>
      </w:numPr>
      <w:contextualSpacing/>
    </w:pPr>
  </w:style>
  <w:style w:type="paragraph" w:styleId="Listenumros5">
    <w:name w:val="List Number 5"/>
    <w:basedOn w:val="Normal"/>
    <w:semiHidden/>
    <w:rsid w:val="00405336"/>
    <w:pPr>
      <w:numPr>
        <w:numId w:val="10"/>
      </w:numPr>
      <w:contextualSpacing/>
    </w:pPr>
  </w:style>
  <w:style w:type="paragraph" w:styleId="Paragraphedeliste">
    <w:name w:val="List Paragraph"/>
    <w:basedOn w:val="Normal"/>
    <w:uiPriority w:val="34"/>
    <w:semiHidden/>
    <w:qFormat/>
    <w:rsid w:val="00405336"/>
    <w:pPr>
      <w:ind w:left="720"/>
    </w:pPr>
  </w:style>
  <w:style w:type="paragraph" w:styleId="Textedemacro">
    <w:name w:val="macro"/>
    <w:link w:val="TextedemacroC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semiHidden/>
    <w:rsid w:val="00FF04E3"/>
    <w:rPr>
      <w:rFonts w:ascii="Courier New" w:hAnsi="Courier New" w:cs="Courier New"/>
      <w:lang w:val="en-US" w:eastAsia="en-US" w:bidi="ar-SA"/>
    </w:rPr>
  </w:style>
  <w:style w:type="paragraph" w:styleId="En-ttedemessage">
    <w:name w:val="Message Header"/>
    <w:basedOn w:val="Normal"/>
    <w:link w:val="En-ttedemessageC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ttedemessageCar">
    <w:name w:val="En-tête de message Car"/>
    <w:link w:val="En-ttedemessage"/>
    <w:semiHidden/>
    <w:rsid w:val="00FF04E3"/>
    <w:rPr>
      <w:rFonts w:ascii="Cambria" w:hAnsi="Cambria"/>
      <w:sz w:val="24"/>
      <w:szCs w:val="24"/>
      <w:shd w:val="pct20" w:color="auto" w:fill="auto"/>
    </w:rPr>
  </w:style>
  <w:style w:type="paragraph" w:styleId="Sansinterligne">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Retraitnormal">
    <w:name w:val="Normal Indent"/>
    <w:basedOn w:val="Normal"/>
    <w:semiHidden/>
    <w:rsid w:val="00405336"/>
    <w:pPr>
      <w:ind w:left="720"/>
    </w:pPr>
  </w:style>
  <w:style w:type="paragraph" w:styleId="Titredenote">
    <w:name w:val="Note Heading"/>
    <w:basedOn w:val="Normal"/>
    <w:next w:val="Normal"/>
    <w:link w:val="TitredenoteCar"/>
    <w:semiHidden/>
    <w:rsid w:val="00405336"/>
  </w:style>
  <w:style w:type="character" w:customStyle="1" w:styleId="TitredenoteCar">
    <w:name w:val="Titre de note Car"/>
    <w:link w:val="Titredenote"/>
    <w:semiHidden/>
    <w:rsid w:val="00FF04E3"/>
    <w:rPr>
      <w:sz w:val="24"/>
    </w:rPr>
  </w:style>
  <w:style w:type="paragraph" w:styleId="Textebrut">
    <w:name w:val="Plain Text"/>
    <w:basedOn w:val="Normal"/>
    <w:link w:val="TextebrutCar"/>
    <w:semiHidden/>
    <w:rsid w:val="00405336"/>
    <w:rPr>
      <w:rFonts w:ascii="Courier New" w:hAnsi="Courier New" w:cs="Courier New"/>
      <w:sz w:val="20"/>
    </w:rPr>
  </w:style>
  <w:style w:type="character" w:customStyle="1" w:styleId="TextebrutCar">
    <w:name w:val="Texte brut Car"/>
    <w:link w:val="Textebrut"/>
    <w:semiHidden/>
    <w:rsid w:val="00FF04E3"/>
    <w:rPr>
      <w:rFonts w:ascii="Courier New" w:hAnsi="Courier New" w:cs="Courier New"/>
    </w:rPr>
  </w:style>
  <w:style w:type="paragraph" w:styleId="Citation">
    <w:name w:val="Quote"/>
    <w:basedOn w:val="Normal"/>
    <w:next w:val="Normal"/>
    <w:link w:val="CitationCar"/>
    <w:uiPriority w:val="29"/>
    <w:semiHidden/>
    <w:qFormat/>
    <w:rsid w:val="00405336"/>
    <w:rPr>
      <w:i/>
      <w:iCs/>
      <w:color w:val="000000"/>
    </w:rPr>
  </w:style>
  <w:style w:type="character" w:customStyle="1" w:styleId="CitationCar">
    <w:name w:val="Citation Car"/>
    <w:link w:val="Citation"/>
    <w:uiPriority w:val="29"/>
    <w:semiHidden/>
    <w:rsid w:val="00FF04E3"/>
    <w:rPr>
      <w:i/>
      <w:iCs/>
      <w:color w:val="000000"/>
      <w:sz w:val="24"/>
    </w:rPr>
  </w:style>
  <w:style w:type="paragraph" w:styleId="Salutations">
    <w:name w:val="Salutation"/>
    <w:basedOn w:val="Normal"/>
    <w:next w:val="Normal"/>
    <w:link w:val="SalutationsCar"/>
    <w:semiHidden/>
    <w:rsid w:val="00405336"/>
  </w:style>
  <w:style w:type="character" w:customStyle="1" w:styleId="SalutationsCar">
    <w:name w:val="Salutations Car"/>
    <w:link w:val="Salutations"/>
    <w:semiHidden/>
    <w:rsid w:val="00FF04E3"/>
    <w:rPr>
      <w:sz w:val="24"/>
    </w:rPr>
  </w:style>
  <w:style w:type="paragraph" w:styleId="Signature">
    <w:name w:val="Signature"/>
    <w:basedOn w:val="Normal"/>
    <w:link w:val="SignatureCar"/>
    <w:semiHidden/>
    <w:rsid w:val="00405336"/>
    <w:pPr>
      <w:ind w:left="4320"/>
    </w:pPr>
  </w:style>
  <w:style w:type="character" w:customStyle="1" w:styleId="SignatureCar">
    <w:name w:val="Signature Car"/>
    <w:link w:val="Signature"/>
    <w:semiHidden/>
    <w:rsid w:val="00FF04E3"/>
    <w:rPr>
      <w:sz w:val="24"/>
    </w:rPr>
  </w:style>
  <w:style w:type="paragraph" w:styleId="Sous-titre">
    <w:name w:val="Subtitle"/>
    <w:basedOn w:val="Normal"/>
    <w:next w:val="Normal"/>
    <w:link w:val="Sous-titreCar"/>
    <w:semiHidden/>
    <w:qFormat/>
    <w:rsid w:val="00405336"/>
    <w:pPr>
      <w:spacing w:after="60"/>
      <w:jc w:val="center"/>
      <w:outlineLvl w:val="1"/>
    </w:pPr>
    <w:rPr>
      <w:rFonts w:ascii="Cambria" w:hAnsi="Cambria"/>
      <w:szCs w:val="24"/>
    </w:rPr>
  </w:style>
  <w:style w:type="character" w:customStyle="1" w:styleId="Sous-titreCar">
    <w:name w:val="Sous-titre Car"/>
    <w:link w:val="Sous-titre"/>
    <w:semiHidden/>
    <w:rsid w:val="00FF04E3"/>
    <w:rPr>
      <w:rFonts w:ascii="Cambria" w:hAnsi="Cambria"/>
      <w:sz w:val="24"/>
      <w:szCs w:val="24"/>
    </w:rPr>
  </w:style>
  <w:style w:type="paragraph" w:styleId="Tabledesrfrencesjuridiques">
    <w:name w:val="table of authorities"/>
    <w:basedOn w:val="Normal"/>
    <w:next w:val="Normal"/>
    <w:semiHidden/>
    <w:rsid w:val="00405336"/>
    <w:pPr>
      <w:ind w:left="240" w:hanging="240"/>
    </w:pPr>
  </w:style>
  <w:style w:type="paragraph" w:styleId="Tabledesillustrations">
    <w:name w:val="table of figures"/>
    <w:basedOn w:val="Normal"/>
    <w:next w:val="Normal"/>
    <w:semiHidden/>
    <w:rsid w:val="00405336"/>
  </w:style>
  <w:style w:type="paragraph" w:styleId="Titre">
    <w:name w:val="Title"/>
    <w:basedOn w:val="Normal"/>
    <w:next w:val="Normal"/>
    <w:link w:val="TitreCar"/>
    <w:semiHidden/>
    <w:qFormat/>
    <w:rsid w:val="00405336"/>
    <w:pPr>
      <w:spacing w:before="240" w:after="60"/>
      <w:jc w:val="center"/>
      <w:outlineLvl w:val="0"/>
    </w:pPr>
    <w:rPr>
      <w:rFonts w:ascii="Cambria" w:hAnsi="Cambria"/>
      <w:b/>
      <w:bCs/>
      <w:kern w:val="28"/>
      <w:sz w:val="32"/>
      <w:szCs w:val="32"/>
    </w:rPr>
  </w:style>
  <w:style w:type="character" w:customStyle="1" w:styleId="TitreCar">
    <w:name w:val="Titre Car"/>
    <w:link w:val="Titre"/>
    <w:semiHidden/>
    <w:rsid w:val="00FF04E3"/>
    <w:rPr>
      <w:rFonts w:ascii="Cambria" w:hAnsi="Cambria"/>
      <w:b/>
      <w:bCs/>
      <w:kern w:val="28"/>
      <w:sz w:val="32"/>
      <w:szCs w:val="32"/>
    </w:rPr>
  </w:style>
  <w:style w:type="paragraph" w:styleId="TitreTR">
    <w:name w:val="toa heading"/>
    <w:basedOn w:val="Normal"/>
    <w:next w:val="Normal"/>
    <w:semiHidden/>
    <w:rsid w:val="00405336"/>
    <w:pPr>
      <w:spacing w:before="120"/>
    </w:pPr>
    <w:rPr>
      <w:rFonts w:ascii="Cambria" w:hAnsi="Cambria"/>
      <w:b/>
      <w:bCs/>
      <w:szCs w:val="24"/>
    </w:rPr>
  </w:style>
  <w:style w:type="paragraph" w:styleId="TM1">
    <w:name w:val="toc 1"/>
    <w:basedOn w:val="Normal"/>
    <w:next w:val="Normal"/>
    <w:autoRedefine/>
    <w:semiHidden/>
    <w:rsid w:val="00405336"/>
  </w:style>
  <w:style w:type="paragraph" w:styleId="TM2">
    <w:name w:val="toc 2"/>
    <w:basedOn w:val="Normal"/>
    <w:next w:val="Normal"/>
    <w:autoRedefine/>
    <w:semiHidden/>
    <w:rsid w:val="00405336"/>
    <w:pPr>
      <w:ind w:left="240"/>
    </w:pPr>
  </w:style>
  <w:style w:type="paragraph" w:styleId="TM3">
    <w:name w:val="toc 3"/>
    <w:basedOn w:val="Normal"/>
    <w:next w:val="Normal"/>
    <w:autoRedefine/>
    <w:semiHidden/>
    <w:rsid w:val="00405336"/>
    <w:pPr>
      <w:ind w:left="480"/>
    </w:pPr>
  </w:style>
  <w:style w:type="paragraph" w:styleId="TM4">
    <w:name w:val="toc 4"/>
    <w:basedOn w:val="Normal"/>
    <w:next w:val="Normal"/>
    <w:autoRedefine/>
    <w:semiHidden/>
    <w:rsid w:val="00405336"/>
    <w:pPr>
      <w:ind w:left="720"/>
    </w:pPr>
  </w:style>
  <w:style w:type="paragraph" w:styleId="TM5">
    <w:name w:val="toc 5"/>
    <w:basedOn w:val="Normal"/>
    <w:next w:val="Normal"/>
    <w:autoRedefine/>
    <w:semiHidden/>
    <w:rsid w:val="00405336"/>
    <w:pPr>
      <w:ind w:left="960"/>
    </w:pPr>
  </w:style>
  <w:style w:type="paragraph" w:styleId="TM6">
    <w:name w:val="toc 6"/>
    <w:basedOn w:val="Normal"/>
    <w:next w:val="Normal"/>
    <w:autoRedefine/>
    <w:semiHidden/>
    <w:rsid w:val="00405336"/>
    <w:pPr>
      <w:ind w:left="1200"/>
    </w:pPr>
  </w:style>
  <w:style w:type="paragraph" w:styleId="TM7">
    <w:name w:val="toc 7"/>
    <w:basedOn w:val="Normal"/>
    <w:next w:val="Normal"/>
    <w:autoRedefine/>
    <w:semiHidden/>
    <w:rsid w:val="00405336"/>
    <w:pPr>
      <w:ind w:left="1440"/>
    </w:pPr>
  </w:style>
  <w:style w:type="paragraph" w:styleId="TM8">
    <w:name w:val="toc 8"/>
    <w:basedOn w:val="Normal"/>
    <w:next w:val="Normal"/>
    <w:autoRedefine/>
    <w:semiHidden/>
    <w:rsid w:val="00405336"/>
    <w:pPr>
      <w:ind w:left="1680"/>
    </w:pPr>
  </w:style>
  <w:style w:type="paragraph" w:styleId="TM9">
    <w:name w:val="toc 9"/>
    <w:basedOn w:val="Normal"/>
    <w:next w:val="Normal"/>
    <w:autoRedefine/>
    <w:semiHidden/>
    <w:rsid w:val="00405336"/>
    <w:pPr>
      <w:ind w:left="1920"/>
    </w:pPr>
  </w:style>
  <w:style w:type="paragraph" w:styleId="En-ttedetabledesmatires">
    <w:name w:val="TOC Heading"/>
    <w:basedOn w:val="Titre1"/>
    <w:next w:val="Normal"/>
    <w:uiPriority w:val="39"/>
    <w:semiHidden/>
    <w:unhideWhenUsed/>
    <w:qFormat/>
    <w:rsid w:val="00405336"/>
    <w:pPr>
      <w:outlineLvl w:val="9"/>
    </w:pPr>
    <w:rPr>
      <w:rFonts w:ascii="Cambria" w:hAnsi="Cambria"/>
      <w:sz w:val="32"/>
      <w:szCs w:val="32"/>
    </w:rPr>
  </w:style>
  <w:style w:type="character" w:styleId="Lienhypertexte">
    <w:name w:val="Hyperlink"/>
    <w:uiPriority w:val="99"/>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lev">
    <w:name w:val="Strong"/>
    <w:uiPriority w:val="22"/>
    <w:qFormat/>
    <w:rsid w:val="00FF3503"/>
    <w:rPr>
      <w:b/>
      <w:bCs/>
    </w:rPr>
  </w:style>
  <w:style w:type="character" w:styleId="Marquedecommentaire">
    <w:name w:val="annotation reference"/>
    <w:semiHidden/>
    <w:rsid w:val="002800B6"/>
    <w:rPr>
      <w:sz w:val="16"/>
      <w:szCs w:val="16"/>
    </w:rPr>
  </w:style>
  <w:style w:type="paragraph" w:customStyle="1" w:styleId="Affiliation">
    <w:name w:val="Affiliation"/>
    <w:basedOn w:val="Normal"/>
    <w:link w:val="AffiliationChar"/>
    <w:qFormat/>
    <w:rsid w:val="00622A96"/>
    <w:pPr>
      <w:spacing w:before="120" w:line="480" w:lineRule="auto"/>
      <w:jc w:val="both"/>
    </w:pPr>
    <w:rPr>
      <w:bCs/>
      <w:szCs w:val="24"/>
    </w:rPr>
  </w:style>
  <w:style w:type="character" w:customStyle="1" w:styleId="AffiliationChar">
    <w:name w:val="Affiliation Char"/>
    <w:basedOn w:val="Policepardfaut"/>
    <w:link w:val="Affiliation"/>
    <w:rsid w:val="00622A96"/>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a.geisen@univ-littoral.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0F18-8B9E-4750-8642-10AD460E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5</Pages>
  <Words>3280</Words>
  <Characters>18702</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Hanson;Dawit Tegbaru;Brian Sedora</dc:creator>
  <cp:lastModifiedBy>Carla Geisen</cp:lastModifiedBy>
  <cp:revision>4</cp:revision>
  <cp:lastPrinted>2014-09-30T16:49:00Z</cp:lastPrinted>
  <dcterms:created xsi:type="dcterms:W3CDTF">2022-04-22T18:07:00Z</dcterms:created>
  <dcterms:modified xsi:type="dcterms:W3CDTF">2022-04-30T09:42:00Z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nique User Id_1">
    <vt:lpwstr>3d8d263b-6061-3200-bac7-f902e05e60c6</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http://www.zotero.org/styles/copernicus-publications</vt:lpwstr>
  </property>
  <property fmtid="{D5CDD505-2E9C-101B-9397-08002B2CF9AE}" pid="12" name="Mendeley Recent Style Name 4_1">
    <vt:lpwstr>Copernicus Publications</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http://www.zotero.org/styles/journal-of-experimental-marine-biology-and-ecology</vt:lpwstr>
  </property>
  <property fmtid="{D5CDD505-2E9C-101B-9397-08002B2CF9AE}" pid="18" name="Mendeley Recent Style Name 7_1">
    <vt:lpwstr>Journal of Experimental Marine Biology and Ecology</vt:lpwstr>
  </property>
  <property fmtid="{D5CDD505-2E9C-101B-9397-08002B2CF9AE}" pid="19" name="Mendeley Recent Style Id 8_1">
    <vt:lpwstr>http://www.zotero.org/styles/limnology-and-oceanography</vt:lpwstr>
  </property>
  <property fmtid="{D5CDD505-2E9C-101B-9397-08002B2CF9AE}" pid="20" name="Mendeley Recent Style Name 8_1">
    <vt:lpwstr>Limnology and Oceanography</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Document_1">
    <vt:lpwstr>True</vt:lpwstr>
  </property>
  <property fmtid="{D5CDD505-2E9C-101B-9397-08002B2CF9AE}" pid="24" name="Mendeley Citation Style_1">
    <vt:lpwstr>http://www.zotero.org/styles/copernicus-publications</vt:lpwstr>
  </property>
</Properties>
</file>