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4B86" w14:textId="1A21BE98" w:rsidR="00BD6F1E" w:rsidRPr="00C1178B" w:rsidRDefault="00C1178B" w:rsidP="00C1178B">
      <w:pPr>
        <w:spacing w:line="259" w:lineRule="auto"/>
        <w:rPr>
          <w:b/>
          <w:szCs w:val="20"/>
        </w:rPr>
      </w:pPr>
      <w:r w:rsidRPr="00C1178B">
        <w:rPr>
          <w:b/>
          <w:szCs w:val="20"/>
          <w:u w:val="single"/>
        </w:rPr>
        <w:t>Supplementary Materials</w:t>
      </w:r>
      <w:r w:rsidRPr="00C1178B">
        <w:rPr>
          <w:b/>
          <w:szCs w:val="20"/>
        </w:rPr>
        <w:t xml:space="preserve">: </w:t>
      </w:r>
      <w:r w:rsidR="001D5DBD" w:rsidRPr="00C1178B">
        <w:rPr>
          <w:b/>
          <w:szCs w:val="20"/>
        </w:rPr>
        <w:t xml:space="preserve">Environmental microplastics in </w:t>
      </w:r>
      <w:proofErr w:type="spellStart"/>
      <w:r w:rsidR="001D5DBD" w:rsidRPr="00C1178B">
        <w:rPr>
          <w:b/>
          <w:szCs w:val="20"/>
        </w:rPr>
        <w:t>Teleosts</w:t>
      </w:r>
      <w:proofErr w:type="spellEnd"/>
      <w:r w:rsidR="001D5DBD" w:rsidRPr="00C1178B">
        <w:rPr>
          <w:b/>
          <w:szCs w:val="20"/>
        </w:rPr>
        <w:t xml:space="preserve">: Acute zebrafish larval exposures disrupt swimming activity and chronic exposures reduce growth and reproduction efficiency in F0, and F1 survival in </w:t>
      </w:r>
      <w:r w:rsidR="001D5DBD" w:rsidRPr="00C1178B">
        <w:rPr>
          <w:b/>
          <w:i/>
          <w:iCs/>
          <w:szCs w:val="20"/>
        </w:rPr>
        <w:t>Danio rerio</w:t>
      </w:r>
      <w:r w:rsidR="001D5DBD" w:rsidRPr="00C1178B">
        <w:rPr>
          <w:b/>
          <w:szCs w:val="20"/>
        </w:rPr>
        <w:t xml:space="preserve"> and </w:t>
      </w:r>
      <w:proofErr w:type="spellStart"/>
      <w:r w:rsidR="001D5DBD" w:rsidRPr="00C1178B">
        <w:rPr>
          <w:b/>
          <w:i/>
          <w:iCs/>
          <w:szCs w:val="20"/>
        </w:rPr>
        <w:t>Oryzias</w:t>
      </w:r>
      <w:proofErr w:type="spellEnd"/>
      <w:r w:rsidR="001D5DBD" w:rsidRPr="00C1178B">
        <w:rPr>
          <w:b/>
          <w:i/>
          <w:iCs/>
          <w:szCs w:val="20"/>
        </w:rPr>
        <w:t xml:space="preserve"> </w:t>
      </w:r>
      <w:proofErr w:type="spellStart"/>
      <w:r w:rsidR="001D5DBD" w:rsidRPr="00C1178B">
        <w:rPr>
          <w:b/>
          <w:i/>
          <w:iCs/>
          <w:szCs w:val="20"/>
        </w:rPr>
        <w:t>melastigma</w:t>
      </w:r>
      <w:proofErr w:type="spellEnd"/>
      <w:r w:rsidR="001D5DBD" w:rsidRPr="00C1178B">
        <w:rPr>
          <w:b/>
          <w:szCs w:val="20"/>
        </w:rPr>
        <w:t xml:space="preserve"> </w:t>
      </w:r>
    </w:p>
    <w:p w14:paraId="17AD8CC4" w14:textId="37783AFF" w:rsidR="00F00842" w:rsidRDefault="00F00842" w:rsidP="002F0A82">
      <w:pPr>
        <w:rPr>
          <w:b/>
        </w:rPr>
      </w:pPr>
    </w:p>
    <w:p w14:paraId="5A57031A" w14:textId="73910C4D" w:rsidR="00E15E34" w:rsidRDefault="0064303C" w:rsidP="003A1612">
      <w:pPr>
        <w:spacing w:line="259" w:lineRule="auto"/>
        <w:jc w:val="left"/>
        <w:rPr>
          <w:b/>
        </w:rPr>
      </w:pPr>
      <w:r w:rsidRPr="0064303C">
        <w:rPr>
          <w:b/>
        </w:rPr>
        <w:t>Supplementary materials and methods</w:t>
      </w:r>
    </w:p>
    <w:p w14:paraId="54E086BB" w14:textId="77777777" w:rsidR="0064303C" w:rsidRDefault="00E15E34" w:rsidP="007F539C">
      <w:pPr>
        <w:rPr>
          <w:b/>
        </w:rPr>
      </w:pPr>
      <w:r w:rsidRPr="00E15E34">
        <w:rPr>
          <w:b/>
        </w:rPr>
        <w:t>Molecular biomarkers</w:t>
      </w:r>
    </w:p>
    <w:p w14:paraId="227A3022" w14:textId="37A876C0" w:rsidR="007F539C" w:rsidRPr="00771650" w:rsidRDefault="007F539C" w:rsidP="007F539C">
      <w:r>
        <w:t xml:space="preserve">To perform the measure of </w:t>
      </w:r>
      <w:proofErr w:type="spellStart"/>
      <w:r w:rsidRPr="006D0BB1">
        <w:t>ethoxyresorufin</w:t>
      </w:r>
      <w:proofErr w:type="spellEnd"/>
      <w:r w:rsidRPr="006D0BB1">
        <w:t xml:space="preserve"> O-</w:t>
      </w:r>
      <w:proofErr w:type="spellStart"/>
      <w:r w:rsidRPr="006D0BB1">
        <w:t>deethylase</w:t>
      </w:r>
      <w:proofErr w:type="spellEnd"/>
      <w:r w:rsidRPr="006D0BB1">
        <w:t xml:space="preserve"> activity (EROD</w:t>
      </w:r>
      <w:r>
        <w:t>) on</w:t>
      </w:r>
      <w:r w:rsidRPr="006D0BB1">
        <w:t xml:space="preserve"> liver samples</w:t>
      </w:r>
      <w:r>
        <w:t xml:space="preserve">, </w:t>
      </w:r>
      <w:r w:rsidRPr="00260FA1">
        <w:t>Burke</w:t>
      </w:r>
      <w:r>
        <w:t xml:space="preserve"> </w:t>
      </w:r>
      <w:r w:rsidRPr="00260FA1">
        <w:t xml:space="preserve">and Mayer method </w:t>
      </w:r>
      <w:r w:rsidRPr="00260FA1">
        <w:rPr>
          <w:noProof/>
        </w:rPr>
        <w:t>(1974)</w:t>
      </w:r>
      <w:r>
        <w:rPr>
          <w:noProof/>
        </w:rPr>
        <w:t xml:space="preserve"> was used</w:t>
      </w:r>
      <w:r w:rsidRPr="00260FA1">
        <w:t>. The reaction mixture consisted of a NaH</w:t>
      </w:r>
      <w:r w:rsidRPr="00260FA1">
        <w:rPr>
          <w:vertAlign w:val="subscript"/>
        </w:rPr>
        <w:t>2</w:t>
      </w:r>
      <w:r w:rsidRPr="00260FA1">
        <w:t>PO</w:t>
      </w:r>
      <w:r w:rsidRPr="00260FA1">
        <w:rPr>
          <w:vertAlign w:val="subscript"/>
        </w:rPr>
        <w:t>4</w:t>
      </w:r>
      <w:r w:rsidRPr="00260FA1">
        <w:t>/K</w:t>
      </w:r>
      <w:r w:rsidRPr="00260FA1">
        <w:rPr>
          <w:vertAlign w:val="subscript"/>
        </w:rPr>
        <w:t>2</w:t>
      </w:r>
      <w:r w:rsidRPr="00260FA1">
        <w:t>HPO</w:t>
      </w:r>
      <w:r w:rsidRPr="00260FA1">
        <w:rPr>
          <w:vertAlign w:val="subscript"/>
        </w:rPr>
        <w:t>4</w:t>
      </w:r>
      <w:r w:rsidRPr="00260FA1">
        <w:t xml:space="preserve"> buffer (0.1 M, pH</w:t>
      </w:r>
      <w:r w:rsidRPr="00771650">
        <w:t xml:space="preserve"> 7.5), 7-ethoxyresorufin (0.15 mM) and NADPH (5.57 mM). The change in fluorescence was recorded (excitation wavelength 530 nm, emission wavelength 585 nm) and enzyme activity </w:t>
      </w:r>
      <w:r>
        <w:t xml:space="preserve">was </w:t>
      </w:r>
      <w:r w:rsidRPr="00771650">
        <w:t xml:space="preserve">calculated as </w:t>
      </w:r>
      <w:proofErr w:type="spellStart"/>
      <w:r w:rsidRPr="00771650">
        <w:t>pmol</w:t>
      </w:r>
      <w:proofErr w:type="spellEnd"/>
      <w:r w:rsidRPr="00771650">
        <w:t>/min/mg pro</w:t>
      </w:r>
      <w:r>
        <w:t>tein using a resorufin standard.</w:t>
      </w:r>
    </w:p>
    <w:p w14:paraId="4495444B" w14:textId="77777777" w:rsidR="007F539C" w:rsidRPr="00A724D8" w:rsidRDefault="007F539C" w:rsidP="007F539C">
      <w:r w:rsidRPr="00771650">
        <w:t xml:space="preserve">The amount of reactive oxygen species (ROS) to evaluate the oxidative stress is difficult to measure due to a short half-life, so the measure of </w:t>
      </w:r>
      <w:proofErr w:type="spellStart"/>
      <w:r w:rsidRPr="00771650">
        <w:t>thiobarbituric</w:t>
      </w:r>
      <w:proofErr w:type="spellEnd"/>
      <w:r w:rsidRPr="00771650">
        <w:t xml:space="preserve"> acid reactive substances (TBARS), an oxidative </w:t>
      </w:r>
      <w:r w:rsidRPr="00A724D8">
        <w:t xml:space="preserve">product </w:t>
      </w:r>
      <w:r w:rsidRPr="00A724D8">
        <w:rPr>
          <w:noProof/>
        </w:rPr>
        <w:t>(Buege and Aust, 1978)</w:t>
      </w:r>
      <w:r w:rsidRPr="00A724D8">
        <w:t xml:space="preserve">, was studied. TBARs were measured in fish muscles, and following the colorimetric protocol developed by </w:t>
      </w:r>
      <w:proofErr w:type="spellStart"/>
      <w:r w:rsidRPr="00A724D8">
        <w:t>Buege</w:t>
      </w:r>
      <w:proofErr w:type="spellEnd"/>
      <w:r w:rsidRPr="00A724D8">
        <w:t xml:space="preserve"> and Aust (1978) and adapted to a microplate reader as described in Weeks Santos et al. </w:t>
      </w:r>
      <w:r w:rsidRPr="00A724D8">
        <w:rPr>
          <w:noProof/>
        </w:rPr>
        <w:t>(2019)</w:t>
      </w:r>
      <w:r w:rsidRPr="00A724D8">
        <w:t xml:space="preserve">. Results are expressed as </w:t>
      </w:r>
      <w:proofErr w:type="spellStart"/>
      <w:r w:rsidRPr="00A724D8">
        <w:t>nM</w:t>
      </w:r>
      <w:proofErr w:type="spellEnd"/>
      <w:r w:rsidRPr="00A724D8">
        <w:t xml:space="preserve"> of TBARs equivalents per mg of protein.</w:t>
      </w:r>
    </w:p>
    <w:p w14:paraId="2D69D713" w14:textId="77777777" w:rsidR="007F539C" w:rsidRPr="00A724D8" w:rsidRDefault="007F539C" w:rsidP="007F539C">
      <w:pPr>
        <w:rPr>
          <w:b/>
        </w:rPr>
      </w:pPr>
      <w:r w:rsidRPr="00A724D8">
        <w:t>Acetylcholinesterase measurement (</w:t>
      </w:r>
      <w:proofErr w:type="spellStart"/>
      <w:r w:rsidRPr="00A724D8">
        <w:t>AChE</w:t>
      </w:r>
      <w:proofErr w:type="spellEnd"/>
      <w:r w:rsidRPr="00A724D8">
        <w:t xml:space="preserve">) was performed in brain following the Ellman’s protocol </w:t>
      </w:r>
      <w:r w:rsidRPr="00A724D8">
        <w:rPr>
          <w:noProof/>
        </w:rPr>
        <w:t>(Ellmann et al. 1961)</w:t>
      </w:r>
      <w:r w:rsidRPr="00A724D8">
        <w:t>, adapted to a microplate reader by Weeks Santos et al., (2021). Each well contained 10 µL of S9, 180 µL of 5,5’-dithiobis 0.5 mM in 0.05 M of Tris Buffer (pH 7.4) and 10 µL of acetylcholine iodide. Results are expressed as nmol/min/mg protein.</w:t>
      </w:r>
      <w:r w:rsidRPr="00A724D8">
        <w:rPr>
          <w:b/>
        </w:rPr>
        <w:t xml:space="preserve"> </w:t>
      </w:r>
    </w:p>
    <w:p w14:paraId="506CC7F9" w14:textId="164F23A3" w:rsidR="007F539C" w:rsidRDefault="007F539C" w:rsidP="007F539C">
      <w:r w:rsidRPr="00A724D8">
        <w:t xml:space="preserve">The Comet assay was performed on blood cells from medaka. Alkaline comet assay was performed following previously published protocols with minor modifications (Le Bihanic et al., 2014). Briefly, protocol adaptations consisted of sampling 2 µL of blood in anesthetized fish using heparinized needle, transferred in 200 µL of </w:t>
      </w:r>
      <w:proofErr w:type="spellStart"/>
      <w:r w:rsidRPr="00A724D8">
        <w:t>cryoconservation</w:t>
      </w:r>
      <w:proofErr w:type="spellEnd"/>
      <w:r w:rsidRPr="00A724D8">
        <w:t xml:space="preserve"> solution (250 mM sucrose, 40 mM citrate </w:t>
      </w:r>
      <w:proofErr w:type="spellStart"/>
      <w:r w:rsidRPr="00A724D8">
        <w:t>trisodique</w:t>
      </w:r>
      <w:proofErr w:type="spellEnd"/>
      <w:r w:rsidRPr="00A724D8">
        <w:t>, 5% DMSO, pH 7.6), mixed by manual tube reverse and quickly frozen in liquid nitrogen. Ten µL of cell suspension was added to 140 µL of 1% (w/w) low melting point agarose and laid on slides previously</w:t>
      </w:r>
      <w:r w:rsidRPr="00346AC9">
        <w:t xml:space="preserve"> covered with normal melting point agarose (0.8%, w/w). DNA unwind was 20 min long in electrophoresis buffer and DNA electrophoresis was performed at 25 V, 300 mA for 20 min in the dark at 4°C. DNA damage </w:t>
      </w:r>
      <w:r w:rsidRPr="00346AC9">
        <w:lastRenderedPageBreak/>
        <w:t>was measured on 100 cells for each sample with Komet 5.5 software (Kinetic Imaging, Liverpool, UK) and expressed as percentage tail DNA.</w:t>
      </w:r>
    </w:p>
    <w:p w14:paraId="44E585F1" w14:textId="7FB83C11" w:rsidR="00173059" w:rsidRDefault="00173059" w:rsidP="00BD6F1E">
      <w:pPr>
        <w:keepNext/>
        <w:jc w:val="center"/>
      </w:pPr>
      <w:r>
        <w:object w:dxaOrig="9629" w:dyaOrig="3110" w14:anchorId="6BA04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0.7pt;height:145.4pt" o:ole="">
            <v:imagedata r:id="rId7" o:title=""/>
          </v:shape>
          <o:OLEObject Type="Embed" ProgID="Prism9.Document" ShapeID="_x0000_i1032" DrawAspect="Content" ObjectID="_1717938419" r:id="rId8"/>
        </w:object>
      </w:r>
    </w:p>
    <w:p w14:paraId="0289CFE6" w14:textId="1FE9633E" w:rsidR="00BD6F1E" w:rsidRDefault="00BD6F1E" w:rsidP="00E97D3B">
      <w:pPr>
        <w:pStyle w:val="Caption"/>
      </w:pPr>
      <w:r w:rsidRPr="00206C89">
        <w:t>Figure SM</w:t>
      </w:r>
      <w:r w:rsidRPr="00206C89">
        <w:fldChar w:fldCharType="begin"/>
      </w:r>
      <w:r w:rsidRPr="00206C89">
        <w:instrText xml:space="preserve"> SEQ Figure \* ARABIC </w:instrText>
      </w:r>
      <w:r w:rsidRPr="00206C89">
        <w:fldChar w:fldCharType="separate"/>
      </w:r>
      <w:r w:rsidR="0091174F">
        <w:rPr>
          <w:noProof/>
        </w:rPr>
        <w:t>1</w:t>
      </w:r>
      <w:r w:rsidRPr="00206C89">
        <w:fldChar w:fldCharType="end"/>
      </w:r>
      <w:r w:rsidRPr="00206C89">
        <w:t xml:space="preserve">: </w:t>
      </w:r>
      <w:bookmarkStart w:id="0" w:name="OLE_LINK5"/>
      <w:r w:rsidRPr="00206C89">
        <w:t>Hatching time in hours (A) and hatching rate (B) for zebrafish</w:t>
      </w:r>
      <w:r w:rsidR="00E54B83" w:rsidRPr="00206C89">
        <w:t xml:space="preserve"> </w:t>
      </w:r>
      <w:r w:rsidRPr="00206C89">
        <w:t xml:space="preserve">embryos exposed to 1 or 10 mg/L of </w:t>
      </w:r>
      <w:r>
        <w:t>MG or PB</w:t>
      </w:r>
      <w:r w:rsidR="00693606">
        <w:t xml:space="preserve"> MPs</w:t>
      </w:r>
      <w:r>
        <w:t xml:space="preserve">. </w:t>
      </w:r>
      <w:r w:rsidR="00693606">
        <w:t xml:space="preserve">(Mean </w:t>
      </w:r>
      <w:r w:rsidRPr="00771650">
        <w:t xml:space="preserve">± </w:t>
      </w:r>
      <w:r>
        <w:t>SD</w:t>
      </w:r>
      <w:r w:rsidRPr="00771650">
        <w:t xml:space="preserve">; </w:t>
      </w:r>
      <w:r>
        <w:t>Kruskal-Wallis</w:t>
      </w:r>
      <w:r w:rsidR="00693606">
        <w:t xml:space="preserve">; </w:t>
      </w:r>
      <w:r>
        <w:t>p&gt;0.05</w:t>
      </w:r>
      <w:r w:rsidR="00693606">
        <w:t>; n=3)</w:t>
      </w:r>
      <w:r>
        <w:t>.</w:t>
      </w:r>
      <w:bookmarkEnd w:id="0"/>
    </w:p>
    <w:p w14:paraId="5237B40A" w14:textId="25CF9817" w:rsidR="00E97D3B" w:rsidRDefault="00A6505D" w:rsidP="00DB0CA5">
      <w:pPr>
        <w:pStyle w:val="NoSpacing"/>
        <w:keepNext/>
        <w:jc w:val="center"/>
      </w:pPr>
      <w:r>
        <w:object w:dxaOrig="10889" w:dyaOrig="8033" w14:anchorId="3E65F655">
          <v:shape id="_x0000_i1049" type="#_x0000_t75" style="width:450.7pt;height:331.95pt" o:ole="">
            <v:imagedata r:id="rId9" o:title=""/>
          </v:shape>
          <o:OLEObject Type="Embed" ProgID="Prism9.Document" ShapeID="_x0000_i1049" DrawAspect="Content" ObjectID="_1717938420" r:id="rId10"/>
        </w:object>
      </w:r>
    </w:p>
    <w:p w14:paraId="7BF952CA" w14:textId="28559298" w:rsidR="00BD6F1E" w:rsidRDefault="00BD6F1E" w:rsidP="00BD6F1E">
      <w:pPr>
        <w:pStyle w:val="Caption"/>
      </w:pPr>
      <w:r w:rsidRPr="00206C89">
        <w:t>Figure SM</w:t>
      </w:r>
      <w:r w:rsidRPr="00206C89">
        <w:fldChar w:fldCharType="begin"/>
      </w:r>
      <w:r w:rsidRPr="00206C89">
        <w:instrText xml:space="preserve"> SEQ Figure \* ARABIC </w:instrText>
      </w:r>
      <w:r w:rsidRPr="00206C89">
        <w:fldChar w:fldCharType="separate"/>
      </w:r>
      <w:r w:rsidR="0091174F">
        <w:rPr>
          <w:noProof/>
        </w:rPr>
        <w:t>2</w:t>
      </w:r>
      <w:r w:rsidRPr="00206C89">
        <w:fldChar w:fldCharType="end"/>
      </w:r>
      <w:r w:rsidRPr="00206C89">
        <w:t xml:space="preserve">: </w:t>
      </w:r>
      <w:r w:rsidR="00DB0CA5" w:rsidRPr="00206C89">
        <w:t xml:space="preserve">Head length </w:t>
      </w:r>
      <w:r w:rsidR="00051936">
        <w:t>(A)</w:t>
      </w:r>
      <w:r w:rsidR="00DB0CA5" w:rsidRPr="00206C89">
        <w:t>; total length (B) and ratio head/total length (C) were measured for zebrafish</w:t>
      </w:r>
      <w:r w:rsidR="00E54B83" w:rsidRPr="00206C89">
        <w:t xml:space="preserve"> </w:t>
      </w:r>
      <w:r w:rsidR="00DB0CA5" w:rsidRPr="00206C89">
        <w:t>embryos</w:t>
      </w:r>
      <w:r w:rsidR="00DB0CA5">
        <w:t xml:space="preserve"> at 96 </w:t>
      </w:r>
      <w:proofErr w:type="spellStart"/>
      <w:r w:rsidR="00DB0CA5">
        <w:t>hpf</w:t>
      </w:r>
      <w:proofErr w:type="spellEnd"/>
      <w:r w:rsidR="00DB0CA5">
        <w:t xml:space="preserve"> exposed </w:t>
      </w:r>
      <w:r>
        <w:t>to 1 or 10 mg/L of MG or PB</w:t>
      </w:r>
      <w:r w:rsidR="00693606">
        <w:t xml:space="preserve"> MPs</w:t>
      </w:r>
      <w:r>
        <w:t xml:space="preserve">. </w:t>
      </w:r>
      <w:r w:rsidR="00693606">
        <w:t xml:space="preserve">(Mean </w:t>
      </w:r>
      <w:r w:rsidRPr="00771650">
        <w:t xml:space="preserve">± </w:t>
      </w:r>
      <w:r>
        <w:t>SD</w:t>
      </w:r>
      <w:r w:rsidR="00DB0CA5">
        <w:t>;</w:t>
      </w:r>
      <w:r w:rsidRPr="00771650">
        <w:t xml:space="preserve"> </w:t>
      </w:r>
      <w:r>
        <w:t>Kruskal-Wallis</w:t>
      </w:r>
      <w:r w:rsidR="00693606">
        <w:t xml:space="preserve">; </w:t>
      </w:r>
      <w:r>
        <w:t>p&gt;0.05</w:t>
      </w:r>
      <w:r w:rsidR="00693606">
        <w:t>; n= 6-10 embryos)</w:t>
      </w:r>
      <w:r>
        <w:t>.</w:t>
      </w:r>
    </w:p>
    <w:p w14:paraId="26E9FDFB" w14:textId="77777777" w:rsidR="00BD6F1E" w:rsidRDefault="00BD6F1E" w:rsidP="00BD6F1E">
      <w:pPr>
        <w:pStyle w:val="NoSpacing"/>
      </w:pPr>
    </w:p>
    <w:p w14:paraId="063BCF78" w14:textId="658B1A14" w:rsidR="00F41ABF" w:rsidRDefault="008D7305" w:rsidP="006F5665">
      <w:pPr>
        <w:pStyle w:val="NoSpacing"/>
        <w:keepNext/>
        <w:jc w:val="center"/>
      </w:pPr>
      <w:r>
        <w:object w:dxaOrig="6019" w:dyaOrig="4752" w14:anchorId="79141470">
          <v:shape id="_x0000_i1051" type="#_x0000_t75" style="width:300.6pt;height:237.95pt" o:ole="">
            <v:imagedata r:id="rId11" o:title=""/>
          </v:shape>
          <o:OLEObject Type="Embed" ProgID="Prism9.Document" ShapeID="_x0000_i1051" DrawAspect="Content" ObjectID="_1717938421" r:id="rId12"/>
        </w:object>
      </w:r>
    </w:p>
    <w:p w14:paraId="08D8AB83" w14:textId="3F60DA90" w:rsidR="00E54B83" w:rsidRDefault="00DB0CA5" w:rsidP="00F052C8">
      <w:pPr>
        <w:pStyle w:val="Caption"/>
      </w:pPr>
      <w:r w:rsidRPr="00206C89">
        <w:t>Figure SM</w:t>
      </w:r>
      <w:r w:rsidRPr="00206C89">
        <w:fldChar w:fldCharType="begin"/>
      </w:r>
      <w:r w:rsidRPr="00206C89">
        <w:instrText xml:space="preserve"> SEQ Figure \* ARABIC </w:instrText>
      </w:r>
      <w:r w:rsidRPr="00206C89">
        <w:fldChar w:fldCharType="separate"/>
      </w:r>
      <w:r w:rsidR="0091174F">
        <w:rPr>
          <w:noProof/>
        </w:rPr>
        <w:t>3</w:t>
      </w:r>
      <w:r w:rsidRPr="00206C89">
        <w:fldChar w:fldCharType="end"/>
      </w:r>
      <w:r w:rsidRPr="00206C89">
        <w:t xml:space="preserve">: EROD activity </w:t>
      </w:r>
      <w:r w:rsidR="00E54B83" w:rsidRPr="00206C89">
        <w:t>in zebrafish larvae exposed to MG and PB</w:t>
      </w:r>
      <w:r w:rsidR="00693606">
        <w:t xml:space="preserve"> MPs</w:t>
      </w:r>
      <w:r w:rsidR="00693606" w:rsidRPr="00206C89">
        <w:t xml:space="preserve"> </w:t>
      </w:r>
      <w:r w:rsidR="00E54B83" w:rsidRPr="00206C89">
        <w:t>at 1 or 10 m</w:t>
      </w:r>
      <w:r w:rsidR="00F052C8" w:rsidRPr="00206C89">
        <w:t>g/L for 96</w:t>
      </w:r>
      <w:r w:rsidR="00F052C8">
        <w:t xml:space="preserve"> </w:t>
      </w:r>
      <w:proofErr w:type="spellStart"/>
      <w:r w:rsidR="00F052C8">
        <w:t>hpf</w:t>
      </w:r>
      <w:proofErr w:type="spellEnd"/>
      <w:r w:rsidR="00F052C8">
        <w:t xml:space="preserve">. </w:t>
      </w:r>
      <w:r w:rsidR="00E54B83" w:rsidRPr="00E54B83">
        <w:t xml:space="preserve">EROD </w:t>
      </w:r>
      <w:r w:rsidR="00E54B83" w:rsidRPr="00D545D9">
        <w:t>activit</w:t>
      </w:r>
      <w:r w:rsidR="00F052C8" w:rsidRPr="00D545D9">
        <w:t xml:space="preserve">y is given relative to </w:t>
      </w:r>
      <w:r w:rsidR="00E54B83" w:rsidRPr="00D545D9">
        <w:t xml:space="preserve">control. </w:t>
      </w:r>
      <w:r w:rsidR="00693606" w:rsidRPr="00D545D9">
        <w:t>(</w:t>
      </w:r>
      <w:r w:rsidR="00F41ABF" w:rsidRPr="00D545D9">
        <w:t>PC: positive control</w:t>
      </w:r>
      <w:r w:rsidR="0056450F" w:rsidRPr="00D545D9">
        <w:t xml:space="preserve">, </w:t>
      </w:r>
      <w:r w:rsidR="006F5665" w:rsidRPr="00D545D9">
        <w:t xml:space="preserve">70 </w:t>
      </w:r>
      <w:proofErr w:type="spellStart"/>
      <w:r w:rsidR="006F5665" w:rsidRPr="00D545D9">
        <w:t>nM</w:t>
      </w:r>
      <w:proofErr w:type="spellEnd"/>
      <w:r w:rsidR="006F5665" w:rsidRPr="00D545D9">
        <w:t xml:space="preserve"> of benzo[a]pyrene; </w:t>
      </w:r>
      <w:r w:rsidR="00E54B83" w:rsidRPr="00D545D9">
        <w:t>Mean ± SD; ANOVA</w:t>
      </w:r>
      <w:r w:rsidR="003A627E" w:rsidRPr="00D545D9">
        <w:t xml:space="preserve"> </w:t>
      </w:r>
      <w:proofErr w:type="gramStart"/>
      <w:r w:rsidR="003A627E" w:rsidRPr="00D545D9">
        <w:t>F</w:t>
      </w:r>
      <w:r w:rsidR="003A627E" w:rsidRPr="00D545D9">
        <w:rPr>
          <w:vertAlign w:val="subscript"/>
        </w:rPr>
        <w:t>(</w:t>
      </w:r>
      <w:proofErr w:type="gramEnd"/>
      <w:r w:rsidR="00187CA4" w:rsidRPr="00D545D9">
        <w:rPr>
          <w:vertAlign w:val="subscript"/>
        </w:rPr>
        <w:t>5</w:t>
      </w:r>
      <w:r w:rsidR="003A627E" w:rsidRPr="00D545D9">
        <w:rPr>
          <w:vertAlign w:val="subscript"/>
        </w:rPr>
        <w:t>,13)</w:t>
      </w:r>
      <w:r w:rsidR="003A627E" w:rsidRPr="00D545D9">
        <w:t>=</w:t>
      </w:r>
      <w:r w:rsidR="00A670A0" w:rsidRPr="00D545D9">
        <w:t>6</w:t>
      </w:r>
      <w:r w:rsidR="00A670A0">
        <w:t>.098</w:t>
      </w:r>
      <w:r w:rsidR="00E54B83" w:rsidRPr="00E54B83">
        <w:t xml:space="preserve"> on </w:t>
      </w:r>
      <w:r w:rsidR="00C60B1A" w:rsidRPr="00E54B83">
        <w:t>ranks;</w:t>
      </w:r>
      <w:r w:rsidR="00C60B1A">
        <w:t xml:space="preserve"> *</w:t>
      </w:r>
      <w:r w:rsidR="00F052C8">
        <w:t xml:space="preserve"> p&lt;0.05</w:t>
      </w:r>
      <w:r w:rsidR="00693606">
        <w:t>; n=3)</w:t>
      </w:r>
      <w:r w:rsidR="00F052C8">
        <w:t>.</w:t>
      </w:r>
    </w:p>
    <w:p w14:paraId="6877F3C7" w14:textId="77777777" w:rsidR="00EF33B1" w:rsidRDefault="00EF33B1" w:rsidP="00EF33B1">
      <w:pPr>
        <w:pStyle w:val="NoSpacing"/>
        <w:keepNext/>
      </w:pPr>
      <w:r>
        <w:object w:dxaOrig="8388" w:dyaOrig="3900" w14:anchorId="5E1E569B">
          <v:shape id="_x0000_i1053" type="#_x0000_t75" style="width:419.4pt;height:194.95pt" o:ole="">
            <v:imagedata r:id="rId13" o:title=""/>
          </v:shape>
          <o:OLEObject Type="Embed" ProgID="Prism9.Document" ShapeID="_x0000_i1053" DrawAspect="Content" ObjectID="_1717938422" r:id="rId14"/>
        </w:object>
      </w:r>
    </w:p>
    <w:p w14:paraId="2CF888B6" w14:textId="5167839F" w:rsidR="00941803" w:rsidRDefault="00EF33B1" w:rsidP="00EF33B1">
      <w:pPr>
        <w:pStyle w:val="Caption"/>
      </w:pPr>
      <w:r>
        <w:t>Figure SM</w:t>
      </w:r>
      <w:r>
        <w:fldChar w:fldCharType="begin"/>
      </w:r>
      <w:r>
        <w:instrText xml:space="preserve"> SEQ Figure \* ARABIC </w:instrText>
      </w:r>
      <w:r>
        <w:fldChar w:fldCharType="separate"/>
      </w:r>
      <w:r w:rsidR="0091174F">
        <w:rPr>
          <w:noProof/>
        </w:rPr>
        <w:t>4</w:t>
      </w:r>
      <w:r>
        <w:fldChar w:fldCharType="end"/>
      </w:r>
      <w:r w:rsidR="00CA6D26">
        <w:t xml:space="preserve">: </w:t>
      </w:r>
      <w:r w:rsidR="00D379FE" w:rsidRPr="00D379FE">
        <w:t xml:space="preserve">Larval </w:t>
      </w:r>
      <w:proofErr w:type="spellStart"/>
      <w:r w:rsidR="00D379FE" w:rsidRPr="00D379FE">
        <w:t>photomotor</w:t>
      </w:r>
      <w:proofErr w:type="spellEnd"/>
      <w:r w:rsidR="00D379FE" w:rsidRPr="00D379FE">
        <w:t xml:space="preserve"> response in 5 </w:t>
      </w:r>
      <w:proofErr w:type="gramStart"/>
      <w:r w:rsidR="00D379FE" w:rsidRPr="00D379FE">
        <w:t>day-old</w:t>
      </w:r>
      <w:proofErr w:type="gramEnd"/>
      <w:r w:rsidR="00D379FE" w:rsidRPr="00D379FE">
        <w:t xml:space="preserve"> (Danio rerio) after exposure to control, MG and PB samples at 1 and </w:t>
      </w:r>
      <w:r w:rsidR="00D379FE">
        <w:t>1</w:t>
      </w:r>
      <w:r w:rsidR="00D379FE" w:rsidRPr="00D379FE">
        <w:t>0 </w:t>
      </w:r>
      <w:r w:rsidR="00D379FE">
        <w:t>m</w:t>
      </w:r>
      <w:r w:rsidR="00D379FE" w:rsidRPr="00D379FE">
        <w:t xml:space="preserve">g/L. Average swimming velocity over a 5 min period including two light on periods (LON1 and LON2) with one light-off period (LOFF). </w:t>
      </w:r>
      <w:r w:rsidR="00332CBC">
        <w:t>M</w:t>
      </w:r>
      <w:r w:rsidR="00D379FE" w:rsidRPr="00D379FE">
        <w:t>ean ± SD</w:t>
      </w:r>
      <w:r w:rsidR="00332CBC">
        <w:t xml:space="preserve">; </w:t>
      </w:r>
      <w:r w:rsidR="00D379FE" w:rsidRPr="00D379FE">
        <w:t>n = 16–24 larvae per treatment</w:t>
      </w:r>
      <w:r w:rsidR="00332CBC">
        <w:t>; * p&lt;0.05; ** p&lt;0.01</w:t>
      </w:r>
      <w:r w:rsidR="005B5381">
        <w:t>,</w:t>
      </w:r>
      <w:r w:rsidR="005B5381" w:rsidRPr="00D379FE">
        <w:t xml:space="preserve"> </w:t>
      </w:r>
      <w:r w:rsidR="00D379FE" w:rsidRPr="00D379FE">
        <w:t>repeated–measure ANOVA</w:t>
      </w:r>
      <w:r w:rsidR="005B5381">
        <w:t>.</w:t>
      </w:r>
    </w:p>
    <w:p w14:paraId="4AB4BCC5" w14:textId="77777777" w:rsidR="005B5381" w:rsidRPr="005B5381" w:rsidRDefault="005B5381" w:rsidP="005B5381">
      <w:pPr>
        <w:pStyle w:val="NoSpacing"/>
      </w:pPr>
    </w:p>
    <w:p w14:paraId="60641740" w14:textId="367C9756" w:rsidR="00EB021E" w:rsidRDefault="00253F63" w:rsidP="00356376">
      <w:pPr>
        <w:keepNext/>
        <w:spacing w:line="259" w:lineRule="auto"/>
        <w:jc w:val="center"/>
      </w:pPr>
      <w:r>
        <w:object w:dxaOrig="11578" w:dyaOrig="7097" w14:anchorId="509D1D5F">
          <v:shape id="_x0000_i1056" type="#_x0000_t75" style="width:451.15pt;height:276.8pt" o:ole="">
            <v:imagedata r:id="rId15" o:title=""/>
          </v:shape>
          <o:OLEObject Type="Embed" ProgID="Prism9.Document" ShapeID="_x0000_i1056" DrawAspect="Content" ObjectID="_1717938423" r:id="rId16"/>
        </w:object>
      </w:r>
    </w:p>
    <w:p w14:paraId="55A31170" w14:textId="3227A690" w:rsidR="00D06160" w:rsidRDefault="00356376" w:rsidP="00604D3B">
      <w:pPr>
        <w:pStyle w:val="Caption"/>
      </w:pPr>
      <w:r w:rsidRPr="00206C89">
        <w:t xml:space="preserve">Figure </w:t>
      </w:r>
      <w:r w:rsidR="00941803" w:rsidRPr="00206C89">
        <w:t>SM</w:t>
      </w:r>
      <w:r w:rsidR="00941803">
        <w:t>5</w:t>
      </w:r>
      <w:r w:rsidRPr="00206C89">
        <w:t xml:space="preserve">: </w:t>
      </w:r>
      <w:r w:rsidR="00D06160" w:rsidRPr="00206C89">
        <w:t>Length and weight</w:t>
      </w:r>
      <w:r w:rsidRPr="00206C89">
        <w:t xml:space="preserve"> of zebrafish exposed to MG or PB </w:t>
      </w:r>
      <w:r w:rsidR="00693606">
        <w:t xml:space="preserve">MPs </w:t>
      </w:r>
      <w:r w:rsidRPr="00206C89">
        <w:t>at 1% in the food.</w:t>
      </w:r>
      <w:r w:rsidR="00D06160" w:rsidRPr="00206C89">
        <w:t xml:space="preserve"> </w:t>
      </w:r>
      <w:r w:rsidR="00FA0125">
        <w:t>(</w:t>
      </w:r>
      <w:r w:rsidR="00D06160" w:rsidRPr="00206C89">
        <w:t>A</w:t>
      </w:r>
      <w:r w:rsidR="00FA0125">
        <w:t>)</w:t>
      </w:r>
      <w:r w:rsidR="00D06160" w:rsidRPr="00206C89">
        <w:t xml:space="preserve"> and </w:t>
      </w:r>
      <w:r w:rsidR="00FA0125">
        <w:t>(</w:t>
      </w:r>
      <w:r w:rsidR="00D06160" w:rsidRPr="00206C89">
        <w:t>B</w:t>
      </w:r>
      <w:r w:rsidR="00FA0125">
        <w:t>)</w:t>
      </w:r>
      <w:r w:rsidR="00D06160" w:rsidRPr="00206C89">
        <w:t xml:space="preserve"> represent biometry a</w:t>
      </w:r>
      <w:r w:rsidR="004B4A56" w:rsidRPr="00206C89">
        <w:t xml:space="preserve">t 2 </w:t>
      </w:r>
      <w:proofErr w:type="spellStart"/>
      <w:r w:rsidR="004B4A56" w:rsidRPr="00206C89">
        <w:t>mpf</w:t>
      </w:r>
      <w:proofErr w:type="spellEnd"/>
      <w:r w:rsidR="004B4A56" w:rsidRPr="00206C89">
        <w:t xml:space="preserve"> (n=42-48 per treatment) while </w:t>
      </w:r>
      <w:r w:rsidR="00FA0125">
        <w:t>(</w:t>
      </w:r>
      <w:r w:rsidR="004B4A56" w:rsidRPr="00206C89">
        <w:t>C</w:t>
      </w:r>
      <w:r w:rsidR="00FA0125">
        <w:t>)</w:t>
      </w:r>
      <w:r w:rsidR="004B4A56" w:rsidRPr="00206C89">
        <w:t xml:space="preserve"> and </w:t>
      </w:r>
      <w:r w:rsidR="00FA0125">
        <w:t>(</w:t>
      </w:r>
      <w:r w:rsidR="004B4A56" w:rsidRPr="00206C89">
        <w:t>D</w:t>
      </w:r>
      <w:r w:rsidR="00FA0125">
        <w:t>)</w:t>
      </w:r>
      <w:r w:rsidR="004B4A56" w:rsidRPr="00206C89">
        <w:t xml:space="preserve"> </w:t>
      </w:r>
      <w:r w:rsidR="00FA0125">
        <w:t>represent</w:t>
      </w:r>
      <w:r w:rsidR="009813B7">
        <w:t xml:space="preserve"> length and weight</w:t>
      </w:r>
      <w:r w:rsidR="004B4A56" w:rsidRPr="00206C89">
        <w:t xml:space="preserve"> for 4 </w:t>
      </w:r>
      <w:proofErr w:type="spellStart"/>
      <w:r w:rsidR="004B4A56" w:rsidRPr="00206C89">
        <w:t>mpf</w:t>
      </w:r>
      <w:proofErr w:type="spellEnd"/>
      <w:r w:rsidR="004B4A56" w:rsidRPr="00206C89">
        <w:t xml:space="preserve"> zebrafish </w:t>
      </w:r>
      <w:r w:rsidR="00251ECA">
        <w:t>(</w:t>
      </w:r>
      <w:r w:rsidR="00251ECA" w:rsidRPr="00E54B83">
        <w:t>Mean ± SD</w:t>
      </w:r>
      <w:r w:rsidR="00251ECA">
        <w:t xml:space="preserve">; </w:t>
      </w:r>
      <w:r w:rsidR="000A7E4F">
        <w:t xml:space="preserve">in 4D for females, </w:t>
      </w:r>
      <w:r w:rsidR="000A7E4F" w:rsidRPr="007D1193">
        <w:t xml:space="preserve">ANOVA </w:t>
      </w:r>
      <w:proofErr w:type="gramStart"/>
      <w:r w:rsidR="000A7E4F" w:rsidRPr="007D1193">
        <w:t>F</w:t>
      </w:r>
      <w:r w:rsidR="000A7E4F" w:rsidRPr="007D1193">
        <w:rPr>
          <w:vertAlign w:val="subscript"/>
        </w:rPr>
        <w:t>(</w:t>
      </w:r>
      <w:proofErr w:type="gramEnd"/>
      <w:r w:rsidR="000A7E4F" w:rsidRPr="007D1193">
        <w:rPr>
          <w:vertAlign w:val="subscript"/>
        </w:rPr>
        <w:t>2, 40)</w:t>
      </w:r>
      <w:r w:rsidR="000A7E4F" w:rsidRPr="007D1193">
        <w:t>=7.97</w:t>
      </w:r>
      <w:r w:rsidR="000A7E4F">
        <w:t xml:space="preserve">, for males </w:t>
      </w:r>
      <w:r w:rsidR="000A7E4F" w:rsidRPr="007D1193">
        <w:t>ANOVA F</w:t>
      </w:r>
      <w:r w:rsidR="000A7E4F" w:rsidRPr="007D1193">
        <w:rPr>
          <w:vertAlign w:val="subscript"/>
        </w:rPr>
        <w:t>(2, 42)</w:t>
      </w:r>
      <w:r w:rsidR="000A7E4F" w:rsidRPr="007D1193">
        <w:t>=5.56</w:t>
      </w:r>
      <w:r w:rsidR="008179CB">
        <w:t xml:space="preserve">; </w:t>
      </w:r>
      <w:r w:rsidR="00D06160">
        <w:t>**p&lt;0.01</w:t>
      </w:r>
      <w:r w:rsidR="00251ECA">
        <w:t xml:space="preserve">; </w:t>
      </w:r>
      <w:r w:rsidR="00251ECA" w:rsidRPr="00206C89">
        <w:t>n=</w:t>
      </w:r>
      <w:r w:rsidR="00D545D9">
        <w:t>11</w:t>
      </w:r>
      <w:r w:rsidR="00251ECA" w:rsidRPr="00206C89">
        <w:t xml:space="preserve"> to 1</w:t>
      </w:r>
      <w:r w:rsidR="00D545D9">
        <w:t>8</w:t>
      </w:r>
      <w:r w:rsidR="00251ECA" w:rsidRPr="00206C89">
        <w:t xml:space="preserve"> per</w:t>
      </w:r>
      <w:r w:rsidR="00251ECA">
        <w:t xml:space="preserve"> sex and per treatment.</w:t>
      </w:r>
      <w:r w:rsidR="00D06160">
        <w:t>)</w:t>
      </w:r>
      <w:r w:rsidR="007429D2">
        <w:t>.</w:t>
      </w:r>
    </w:p>
    <w:p w14:paraId="6BE0E8ED" w14:textId="77777777" w:rsidR="00823DC3" w:rsidRDefault="00823DC3" w:rsidP="00823DC3"/>
    <w:p w14:paraId="2FE8EAD6" w14:textId="77777777" w:rsidR="00EB021E" w:rsidRDefault="00EB021E" w:rsidP="007B335B">
      <w:pPr>
        <w:pStyle w:val="Caption"/>
      </w:pPr>
    </w:p>
    <w:p w14:paraId="4AD36303" w14:textId="77777777" w:rsidR="00EB021E" w:rsidRDefault="00EB021E">
      <w:pPr>
        <w:spacing w:line="259" w:lineRule="auto"/>
        <w:jc w:val="left"/>
        <w:rPr>
          <w:b/>
          <w:bCs/>
          <w:i/>
          <w:sz w:val="20"/>
        </w:rPr>
      </w:pPr>
      <w:r>
        <w:br w:type="page"/>
      </w:r>
    </w:p>
    <w:p w14:paraId="7A0A7B9E" w14:textId="4A76A906" w:rsidR="007B335B" w:rsidRPr="00206C89" w:rsidRDefault="007B335B" w:rsidP="007B335B">
      <w:pPr>
        <w:pStyle w:val="Caption"/>
      </w:pPr>
      <w:r w:rsidRPr="00206C89">
        <w:lastRenderedPageBreak/>
        <w:t>Table SM1: Biomarkers measure in zebrafish after 4 months of exposure to MPs. Mean ± SD; n=3 per fish, treatment and sex</w:t>
      </w:r>
      <w:r w:rsidR="00AF76C4" w:rsidRPr="00206C89">
        <w:t>.</w:t>
      </w:r>
      <w:r w:rsidRPr="00206C89">
        <w:t xml:space="preserve"> No statistical differences were observed after Kruskal-Wallis test, p&gt;0.05. (</w:t>
      </w:r>
      <w:proofErr w:type="spellStart"/>
      <w:r w:rsidRPr="00206C89">
        <w:t>AChE</w:t>
      </w:r>
      <w:proofErr w:type="spellEnd"/>
      <w:r w:rsidRPr="00206C89">
        <w:t>: nmol/min/mg protein; EROD:</w:t>
      </w:r>
      <w:r w:rsidR="00C823C7" w:rsidRPr="00206C89">
        <w:t xml:space="preserve"> percentage of respective control</w:t>
      </w:r>
      <w:r w:rsidRPr="00206C89">
        <w:t>; TBARS: nmol/mg protein)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215"/>
        <w:gridCol w:w="1215"/>
        <w:gridCol w:w="1035"/>
        <w:gridCol w:w="1035"/>
        <w:gridCol w:w="1035"/>
        <w:gridCol w:w="1035"/>
      </w:tblGrid>
      <w:tr w:rsidR="007B335B" w:rsidRPr="00206C89" w14:paraId="62FC8FBA" w14:textId="77777777" w:rsidTr="00A85656">
        <w:trPr>
          <w:jc w:val="center"/>
        </w:trPr>
        <w:tc>
          <w:tcPr>
            <w:tcW w:w="0" w:type="auto"/>
            <w:vMerge w:val="restart"/>
            <w:tcBorders>
              <w:right w:val="single" w:sz="4" w:space="0" w:color="auto"/>
            </w:tcBorders>
            <w:vAlign w:val="center"/>
          </w:tcPr>
          <w:p w14:paraId="7F356451" w14:textId="77777777" w:rsidR="007B335B" w:rsidRPr="00206C89" w:rsidRDefault="007B335B" w:rsidP="00A85656">
            <w:pPr>
              <w:jc w:val="center"/>
              <w:rPr>
                <w:i/>
                <w:sz w:val="18"/>
              </w:rPr>
            </w:pPr>
            <w:proofErr w:type="spellStart"/>
            <w:r w:rsidRPr="00206C89">
              <w:rPr>
                <w:i/>
                <w:sz w:val="18"/>
              </w:rPr>
              <w:t>D.rerio</w:t>
            </w:r>
            <w:proofErr w:type="spellEnd"/>
          </w:p>
        </w:tc>
        <w:tc>
          <w:tcPr>
            <w:tcW w:w="0" w:type="auto"/>
            <w:gridSpan w:val="2"/>
            <w:tcBorders>
              <w:left w:val="single" w:sz="4" w:space="0" w:color="auto"/>
              <w:bottom w:val="single" w:sz="4" w:space="0" w:color="auto"/>
              <w:right w:val="single" w:sz="4" w:space="0" w:color="auto"/>
            </w:tcBorders>
            <w:vAlign w:val="center"/>
          </w:tcPr>
          <w:p w14:paraId="3E566472" w14:textId="77777777" w:rsidR="007B335B" w:rsidRPr="00206C89" w:rsidRDefault="007B335B" w:rsidP="00A85656">
            <w:pPr>
              <w:jc w:val="center"/>
              <w:rPr>
                <w:sz w:val="18"/>
              </w:rPr>
            </w:pPr>
            <w:proofErr w:type="spellStart"/>
            <w:r w:rsidRPr="00206C89">
              <w:rPr>
                <w:sz w:val="18"/>
              </w:rPr>
              <w:t>AChE</w:t>
            </w:r>
            <w:proofErr w:type="spellEnd"/>
          </w:p>
        </w:tc>
        <w:tc>
          <w:tcPr>
            <w:tcW w:w="0" w:type="auto"/>
            <w:gridSpan w:val="2"/>
            <w:tcBorders>
              <w:left w:val="single" w:sz="4" w:space="0" w:color="auto"/>
              <w:bottom w:val="single" w:sz="4" w:space="0" w:color="auto"/>
              <w:right w:val="single" w:sz="4" w:space="0" w:color="auto"/>
            </w:tcBorders>
            <w:vAlign w:val="center"/>
          </w:tcPr>
          <w:p w14:paraId="13584E58" w14:textId="77777777" w:rsidR="007B335B" w:rsidRPr="00206C89" w:rsidRDefault="007B335B" w:rsidP="00A85656">
            <w:pPr>
              <w:jc w:val="center"/>
              <w:rPr>
                <w:sz w:val="18"/>
              </w:rPr>
            </w:pPr>
            <w:r w:rsidRPr="00206C89">
              <w:rPr>
                <w:sz w:val="18"/>
              </w:rPr>
              <w:t>EROD</w:t>
            </w:r>
          </w:p>
        </w:tc>
        <w:tc>
          <w:tcPr>
            <w:tcW w:w="0" w:type="auto"/>
            <w:gridSpan w:val="2"/>
            <w:tcBorders>
              <w:left w:val="single" w:sz="4" w:space="0" w:color="auto"/>
              <w:bottom w:val="single" w:sz="4" w:space="0" w:color="auto"/>
            </w:tcBorders>
            <w:vAlign w:val="center"/>
          </w:tcPr>
          <w:p w14:paraId="3DC25325" w14:textId="77777777" w:rsidR="007B335B" w:rsidRPr="00206C89" w:rsidRDefault="007B335B" w:rsidP="00A85656">
            <w:pPr>
              <w:jc w:val="center"/>
              <w:rPr>
                <w:sz w:val="18"/>
              </w:rPr>
            </w:pPr>
            <w:r w:rsidRPr="00206C89">
              <w:rPr>
                <w:sz w:val="18"/>
              </w:rPr>
              <w:t>TBARS</w:t>
            </w:r>
          </w:p>
        </w:tc>
      </w:tr>
      <w:tr w:rsidR="007B335B" w:rsidRPr="00206C89" w14:paraId="22F50868" w14:textId="77777777" w:rsidTr="00A85656">
        <w:trPr>
          <w:jc w:val="center"/>
        </w:trPr>
        <w:tc>
          <w:tcPr>
            <w:tcW w:w="0" w:type="auto"/>
            <w:vMerge/>
            <w:tcBorders>
              <w:right w:val="single" w:sz="4" w:space="0" w:color="auto"/>
            </w:tcBorders>
            <w:vAlign w:val="center"/>
          </w:tcPr>
          <w:p w14:paraId="0E22B1E2" w14:textId="77777777" w:rsidR="007B335B" w:rsidRPr="00206C89" w:rsidRDefault="007B335B" w:rsidP="00A85656">
            <w:pPr>
              <w:jc w:val="center"/>
              <w:rPr>
                <w:sz w:val="18"/>
              </w:rPr>
            </w:pPr>
          </w:p>
        </w:tc>
        <w:tc>
          <w:tcPr>
            <w:tcW w:w="0" w:type="auto"/>
            <w:tcBorders>
              <w:top w:val="single" w:sz="4" w:space="0" w:color="auto"/>
              <w:left w:val="single" w:sz="4" w:space="0" w:color="auto"/>
              <w:bottom w:val="single" w:sz="4" w:space="0" w:color="auto"/>
            </w:tcBorders>
            <w:vAlign w:val="center"/>
          </w:tcPr>
          <w:p w14:paraId="640EE060" w14:textId="77777777" w:rsidR="007B335B" w:rsidRPr="00206C89" w:rsidRDefault="007B335B" w:rsidP="00A85656">
            <w:pPr>
              <w:jc w:val="center"/>
              <w:rPr>
                <w:sz w:val="18"/>
              </w:rPr>
            </w:pPr>
            <w:r w:rsidRPr="00206C89">
              <w:rPr>
                <w:sz w:val="18"/>
              </w:rPr>
              <w:t>Female</w:t>
            </w:r>
          </w:p>
        </w:tc>
        <w:tc>
          <w:tcPr>
            <w:tcW w:w="0" w:type="auto"/>
            <w:tcBorders>
              <w:top w:val="single" w:sz="4" w:space="0" w:color="auto"/>
              <w:bottom w:val="single" w:sz="4" w:space="0" w:color="auto"/>
              <w:right w:val="single" w:sz="4" w:space="0" w:color="auto"/>
            </w:tcBorders>
            <w:vAlign w:val="center"/>
          </w:tcPr>
          <w:p w14:paraId="29C2A256" w14:textId="77777777" w:rsidR="007B335B" w:rsidRPr="00206C89" w:rsidRDefault="007B335B" w:rsidP="00A85656">
            <w:pPr>
              <w:jc w:val="center"/>
              <w:rPr>
                <w:sz w:val="18"/>
              </w:rPr>
            </w:pPr>
            <w:r w:rsidRPr="00206C89">
              <w:rPr>
                <w:sz w:val="18"/>
              </w:rPr>
              <w:t>Male</w:t>
            </w:r>
          </w:p>
        </w:tc>
        <w:tc>
          <w:tcPr>
            <w:tcW w:w="0" w:type="auto"/>
            <w:tcBorders>
              <w:top w:val="single" w:sz="4" w:space="0" w:color="auto"/>
              <w:left w:val="single" w:sz="4" w:space="0" w:color="auto"/>
              <w:bottom w:val="single" w:sz="4" w:space="0" w:color="auto"/>
            </w:tcBorders>
            <w:vAlign w:val="center"/>
          </w:tcPr>
          <w:p w14:paraId="2ADA8074" w14:textId="77777777" w:rsidR="007B335B" w:rsidRPr="00206C89" w:rsidRDefault="007B335B" w:rsidP="00A85656">
            <w:pPr>
              <w:jc w:val="center"/>
              <w:rPr>
                <w:sz w:val="18"/>
              </w:rPr>
            </w:pPr>
            <w:r w:rsidRPr="00206C89">
              <w:rPr>
                <w:sz w:val="18"/>
              </w:rPr>
              <w:t>Female</w:t>
            </w:r>
          </w:p>
        </w:tc>
        <w:tc>
          <w:tcPr>
            <w:tcW w:w="0" w:type="auto"/>
            <w:tcBorders>
              <w:top w:val="single" w:sz="4" w:space="0" w:color="auto"/>
              <w:bottom w:val="single" w:sz="4" w:space="0" w:color="auto"/>
              <w:right w:val="single" w:sz="4" w:space="0" w:color="auto"/>
            </w:tcBorders>
            <w:vAlign w:val="center"/>
          </w:tcPr>
          <w:p w14:paraId="1B7EB95C" w14:textId="77777777" w:rsidR="007B335B" w:rsidRPr="00206C89" w:rsidRDefault="007B335B" w:rsidP="00A85656">
            <w:pPr>
              <w:jc w:val="center"/>
              <w:rPr>
                <w:sz w:val="18"/>
              </w:rPr>
            </w:pPr>
            <w:r w:rsidRPr="00206C89">
              <w:rPr>
                <w:sz w:val="18"/>
              </w:rPr>
              <w:t>Male</w:t>
            </w:r>
          </w:p>
        </w:tc>
        <w:tc>
          <w:tcPr>
            <w:tcW w:w="0" w:type="auto"/>
            <w:tcBorders>
              <w:top w:val="single" w:sz="4" w:space="0" w:color="auto"/>
              <w:left w:val="single" w:sz="4" w:space="0" w:color="auto"/>
              <w:bottom w:val="single" w:sz="4" w:space="0" w:color="auto"/>
            </w:tcBorders>
            <w:vAlign w:val="center"/>
          </w:tcPr>
          <w:p w14:paraId="6799C261" w14:textId="77777777" w:rsidR="007B335B" w:rsidRPr="00206C89" w:rsidRDefault="007B335B" w:rsidP="00A85656">
            <w:pPr>
              <w:jc w:val="center"/>
              <w:rPr>
                <w:sz w:val="18"/>
              </w:rPr>
            </w:pPr>
            <w:r w:rsidRPr="00206C89">
              <w:rPr>
                <w:sz w:val="18"/>
              </w:rPr>
              <w:t>Female</w:t>
            </w:r>
          </w:p>
        </w:tc>
        <w:tc>
          <w:tcPr>
            <w:tcW w:w="0" w:type="auto"/>
            <w:tcBorders>
              <w:top w:val="single" w:sz="4" w:space="0" w:color="auto"/>
              <w:bottom w:val="single" w:sz="4" w:space="0" w:color="auto"/>
            </w:tcBorders>
            <w:vAlign w:val="center"/>
          </w:tcPr>
          <w:p w14:paraId="10C2F9C7" w14:textId="77777777" w:rsidR="007B335B" w:rsidRPr="00206C89" w:rsidRDefault="007B335B" w:rsidP="00A85656">
            <w:pPr>
              <w:jc w:val="center"/>
              <w:rPr>
                <w:sz w:val="18"/>
              </w:rPr>
            </w:pPr>
            <w:r w:rsidRPr="00206C89">
              <w:rPr>
                <w:sz w:val="18"/>
              </w:rPr>
              <w:t>Male</w:t>
            </w:r>
          </w:p>
        </w:tc>
      </w:tr>
      <w:tr w:rsidR="007B335B" w:rsidRPr="00206C89" w14:paraId="067CC044" w14:textId="77777777" w:rsidTr="00A85656">
        <w:trPr>
          <w:jc w:val="center"/>
        </w:trPr>
        <w:tc>
          <w:tcPr>
            <w:tcW w:w="0" w:type="auto"/>
            <w:tcBorders>
              <w:right w:val="single" w:sz="4" w:space="0" w:color="auto"/>
            </w:tcBorders>
            <w:vAlign w:val="center"/>
          </w:tcPr>
          <w:p w14:paraId="2D5051B4" w14:textId="77777777" w:rsidR="007B335B" w:rsidRPr="00206C89" w:rsidRDefault="007B335B" w:rsidP="00A85656">
            <w:pPr>
              <w:jc w:val="center"/>
              <w:rPr>
                <w:sz w:val="18"/>
              </w:rPr>
            </w:pPr>
            <w:r w:rsidRPr="00206C89">
              <w:rPr>
                <w:sz w:val="18"/>
              </w:rPr>
              <w:t>Control</w:t>
            </w:r>
          </w:p>
        </w:tc>
        <w:tc>
          <w:tcPr>
            <w:tcW w:w="0" w:type="auto"/>
            <w:tcBorders>
              <w:top w:val="single" w:sz="4" w:space="0" w:color="auto"/>
              <w:left w:val="single" w:sz="4" w:space="0" w:color="auto"/>
            </w:tcBorders>
            <w:vAlign w:val="center"/>
          </w:tcPr>
          <w:p w14:paraId="7D5B2AA6" w14:textId="2C87E89D" w:rsidR="007B335B" w:rsidRPr="00206C89" w:rsidRDefault="007B335B" w:rsidP="000C601A">
            <w:pPr>
              <w:jc w:val="center"/>
              <w:rPr>
                <w:sz w:val="18"/>
              </w:rPr>
            </w:pPr>
            <w:r w:rsidRPr="00206C89">
              <w:rPr>
                <w:sz w:val="18"/>
              </w:rPr>
              <w:t>263.</w:t>
            </w:r>
            <w:r w:rsidR="000C601A" w:rsidRPr="00206C89">
              <w:rPr>
                <w:sz w:val="18"/>
              </w:rPr>
              <w:t>3</w:t>
            </w:r>
            <w:r w:rsidRPr="00206C89">
              <w:rPr>
                <w:sz w:val="18"/>
              </w:rPr>
              <w:t xml:space="preserve"> ± 115.</w:t>
            </w:r>
            <w:r w:rsidR="000C601A" w:rsidRPr="00206C89">
              <w:rPr>
                <w:sz w:val="18"/>
              </w:rPr>
              <w:t>4</w:t>
            </w:r>
          </w:p>
        </w:tc>
        <w:tc>
          <w:tcPr>
            <w:tcW w:w="0" w:type="auto"/>
            <w:tcBorders>
              <w:top w:val="single" w:sz="4" w:space="0" w:color="auto"/>
              <w:right w:val="single" w:sz="4" w:space="0" w:color="auto"/>
            </w:tcBorders>
            <w:vAlign w:val="center"/>
          </w:tcPr>
          <w:p w14:paraId="2D800E5A" w14:textId="77777777" w:rsidR="007B335B" w:rsidRPr="00206C89" w:rsidRDefault="007B335B" w:rsidP="00A85656">
            <w:pPr>
              <w:jc w:val="center"/>
              <w:rPr>
                <w:sz w:val="18"/>
              </w:rPr>
            </w:pPr>
            <w:r w:rsidRPr="00206C89">
              <w:rPr>
                <w:sz w:val="18"/>
              </w:rPr>
              <w:t>252.2 ± 109.7</w:t>
            </w:r>
          </w:p>
        </w:tc>
        <w:tc>
          <w:tcPr>
            <w:tcW w:w="0" w:type="auto"/>
            <w:tcBorders>
              <w:top w:val="single" w:sz="4" w:space="0" w:color="auto"/>
              <w:left w:val="single" w:sz="4" w:space="0" w:color="auto"/>
            </w:tcBorders>
            <w:vAlign w:val="center"/>
          </w:tcPr>
          <w:p w14:paraId="24B369D7" w14:textId="692C3AF6" w:rsidR="007B335B" w:rsidRPr="00206C89" w:rsidRDefault="007B335B" w:rsidP="00115336">
            <w:pPr>
              <w:jc w:val="center"/>
              <w:rPr>
                <w:sz w:val="18"/>
              </w:rPr>
            </w:pPr>
            <w:r w:rsidRPr="00206C89">
              <w:rPr>
                <w:sz w:val="18"/>
              </w:rPr>
              <w:t>1</w:t>
            </w:r>
            <w:r w:rsidR="00115336" w:rsidRPr="00206C89">
              <w:rPr>
                <w:sz w:val="18"/>
              </w:rPr>
              <w:t>00</w:t>
            </w:r>
            <w:r w:rsidRPr="00206C89">
              <w:rPr>
                <w:sz w:val="18"/>
              </w:rPr>
              <w:t xml:space="preserve"> ± </w:t>
            </w:r>
            <w:r w:rsidR="00115336" w:rsidRPr="00206C89">
              <w:rPr>
                <w:sz w:val="18"/>
              </w:rPr>
              <w:t>59.3</w:t>
            </w:r>
          </w:p>
        </w:tc>
        <w:tc>
          <w:tcPr>
            <w:tcW w:w="0" w:type="auto"/>
            <w:tcBorders>
              <w:top w:val="single" w:sz="4" w:space="0" w:color="auto"/>
              <w:right w:val="single" w:sz="4" w:space="0" w:color="auto"/>
            </w:tcBorders>
            <w:vAlign w:val="center"/>
          </w:tcPr>
          <w:p w14:paraId="11F01A1A" w14:textId="47F11528" w:rsidR="007B335B" w:rsidRPr="00206C89" w:rsidRDefault="00115336" w:rsidP="00115336">
            <w:pPr>
              <w:jc w:val="center"/>
              <w:rPr>
                <w:sz w:val="18"/>
              </w:rPr>
            </w:pPr>
            <w:r w:rsidRPr="00206C89">
              <w:rPr>
                <w:sz w:val="18"/>
              </w:rPr>
              <w:t>100</w:t>
            </w:r>
            <w:r w:rsidR="007B335B" w:rsidRPr="00206C89">
              <w:rPr>
                <w:sz w:val="18"/>
              </w:rPr>
              <w:t xml:space="preserve"> ± </w:t>
            </w:r>
            <w:r w:rsidRPr="00206C89">
              <w:rPr>
                <w:sz w:val="18"/>
              </w:rPr>
              <w:t>25.6</w:t>
            </w:r>
          </w:p>
        </w:tc>
        <w:tc>
          <w:tcPr>
            <w:tcW w:w="0" w:type="auto"/>
            <w:tcBorders>
              <w:top w:val="single" w:sz="4" w:space="0" w:color="auto"/>
              <w:left w:val="single" w:sz="4" w:space="0" w:color="auto"/>
            </w:tcBorders>
            <w:vAlign w:val="center"/>
          </w:tcPr>
          <w:p w14:paraId="43260560" w14:textId="77777777" w:rsidR="007B335B" w:rsidRPr="00206C89" w:rsidRDefault="007B335B" w:rsidP="00A85656">
            <w:pPr>
              <w:jc w:val="center"/>
              <w:rPr>
                <w:sz w:val="18"/>
              </w:rPr>
            </w:pPr>
            <w:r w:rsidRPr="00206C89">
              <w:rPr>
                <w:sz w:val="18"/>
              </w:rPr>
              <w:t>53.5 ± 18.5</w:t>
            </w:r>
          </w:p>
        </w:tc>
        <w:tc>
          <w:tcPr>
            <w:tcW w:w="0" w:type="auto"/>
            <w:tcBorders>
              <w:top w:val="single" w:sz="4" w:space="0" w:color="auto"/>
            </w:tcBorders>
            <w:vAlign w:val="center"/>
          </w:tcPr>
          <w:p w14:paraId="24A91AFA" w14:textId="77777777" w:rsidR="007B335B" w:rsidRPr="00206C89" w:rsidRDefault="007B335B" w:rsidP="00A85656">
            <w:pPr>
              <w:jc w:val="center"/>
              <w:rPr>
                <w:sz w:val="18"/>
              </w:rPr>
            </w:pPr>
            <w:r w:rsidRPr="00206C89">
              <w:rPr>
                <w:sz w:val="18"/>
              </w:rPr>
              <w:t>39.5 ± 10.7</w:t>
            </w:r>
          </w:p>
        </w:tc>
      </w:tr>
      <w:tr w:rsidR="007B335B" w:rsidRPr="00206C89" w14:paraId="274A5216" w14:textId="77777777" w:rsidTr="00A85656">
        <w:trPr>
          <w:jc w:val="center"/>
        </w:trPr>
        <w:tc>
          <w:tcPr>
            <w:tcW w:w="0" w:type="auto"/>
            <w:tcBorders>
              <w:right w:val="single" w:sz="4" w:space="0" w:color="auto"/>
            </w:tcBorders>
            <w:vAlign w:val="center"/>
          </w:tcPr>
          <w:p w14:paraId="7AE8A334" w14:textId="77777777" w:rsidR="007B335B" w:rsidRPr="00206C89" w:rsidRDefault="007B335B" w:rsidP="00A85656">
            <w:pPr>
              <w:jc w:val="center"/>
              <w:rPr>
                <w:sz w:val="18"/>
              </w:rPr>
            </w:pPr>
            <w:r w:rsidRPr="00206C89">
              <w:rPr>
                <w:sz w:val="18"/>
              </w:rPr>
              <w:t>MG</w:t>
            </w:r>
          </w:p>
        </w:tc>
        <w:tc>
          <w:tcPr>
            <w:tcW w:w="0" w:type="auto"/>
            <w:tcBorders>
              <w:left w:val="single" w:sz="4" w:space="0" w:color="auto"/>
            </w:tcBorders>
            <w:vAlign w:val="center"/>
          </w:tcPr>
          <w:p w14:paraId="49C9EC10" w14:textId="77777777" w:rsidR="007B335B" w:rsidRPr="00206C89" w:rsidRDefault="007B335B" w:rsidP="00A85656">
            <w:pPr>
              <w:jc w:val="center"/>
              <w:rPr>
                <w:sz w:val="18"/>
              </w:rPr>
            </w:pPr>
            <w:r w:rsidRPr="00206C89">
              <w:rPr>
                <w:sz w:val="18"/>
              </w:rPr>
              <w:t>220.8 ± 96.2</w:t>
            </w:r>
          </w:p>
        </w:tc>
        <w:tc>
          <w:tcPr>
            <w:tcW w:w="0" w:type="auto"/>
            <w:tcBorders>
              <w:right w:val="single" w:sz="4" w:space="0" w:color="auto"/>
            </w:tcBorders>
            <w:vAlign w:val="center"/>
          </w:tcPr>
          <w:p w14:paraId="62720A7C" w14:textId="77777777" w:rsidR="007B335B" w:rsidRPr="00206C89" w:rsidRDefault="007B335B" w:rsidP="00A85656">
            <w:pPr>
              <w:jc w:val="center"/>
              <w:rPr>
                <w:sz w:val="18"/>
              </w:rPr>
            </w:pPr>
            <w:r w:rsidRPr="00206C89">
              <w:rPr>
                <w:sz w:val="18"/>
              </w:rPr>
              <w:t>259.1 ± 132.9</w:t>
            </w:r>
          </w:p>
        </w:tc>
        <w:tc>
          <w:tcPr>
            <w:tcW w:w="0" w:type="auto"/>
            <w:tcBorders>
              <w:left w:val="single" w:sz="4" w:space="0" w:color="auto"/>
            </w:tcBorders>
            <w:vAlign w:val="center"/>
          </w:tcPr>
          <w:p w14:paraId="4C092DBC" w14:textId="34D7C88E" w:rsidR="007B335B" w:rsidRPr="00206C89" w:rsidRDefault="00115336" w:rsidP="00115336">
            <w:pPr>
              <w:jc w:val="center"/>
              <w:rPr>
                <w:sz w:val="18"/>
              </w:rPr>
            </w:pPr>
            <w:r w:rsidRPr="00206C89">
              <w:rPr>
                <w:sz w:val="18"/>
              </w:rPr>
              <w:t>47.5</w:t>
            </w:r>
            <w:r w:rsidR="007B335B" w:rsidRPr="00206C89">
              <w:rPr>
                <w:sz w:val="18"/>
              </w:rPr>
              <w:t xml:space="preserve"> ± </w:t>
            </w:r>
            <w:r w:rsidRPr="00206C89">
              <w:rPr>
                <w:sz w:val="18"/>
              </w:rPr>
              <w:t xml:space="preserve">28.6 </w:t>
            </w:r>
          </w:p>
        </w:tc>
        <w:tc>
          <w:tcPr>
            <w:tcW w:w="0" w:type="auto"/>
            <w:tcBorders>
              <w:right w:val="single" w:sz="4" w:space="0" w:color="auto"/>
            </w:tcBorders>
            <w:vAlign w:val="center"/>
          </w:tcPr>
          <w:p w14:paraId="172C5459" w14:textId="74D3591D" w:rsidR="007B335B" w:rsidRPr="00206C89" w:rsidRDefault="00115336" w:rsidP="00A85656">
            <w:pPr>
              <w:jc w:val="center"/>
              <w:rPr>
                <w:sz w:val="18"/>
              </w:rPr>
            </w:pPr>
            <w:r w:rsidRPr="00206C89">
              <w:rPr>
                <w:sz w:val="18"/>
              </w:rPr>
              <w:t>40.5</w:t>
            </w:r>
            <w:r w:rsidR="007B335B" w:rsidRPr="00206C89">
              <w:rPr>
                <w:sz w:val="18"/>
              </w:rPr>
              <w:t xml:space="preserve"> ± </w:t>
            </w:r>
            <w:r w:rsidRPr="00206C89">
              <w:rPr>
                <w:sz w:val="18"/>
              </w:rPr>
              <w:t>9.3</w:t>
            </w:r>
          </w:p>
        </w:tc>
        <w:tc>
          <w:tcPr>
            <w:tcW w:w="0" w:type="auto"/>
            <w:tcBorders>
              <w:left w:val="single" w:sz="4" w:space="0" w:color="auto"/>
            </w:tcBorders>
            <w:vAlign w:val="center"/>
          </w:tcPr>
          <w:p w14:paraId="1AACA603" w14:textId="77777777" w:rsidR="007B335B" w:rsidRPr="00206C89" w:rsidRDefault="007B335B" w:rsidP="00A85656">
            <w:pPr>
              <w:jc w:val="center"/>
              <w:rPr>
                <w:sz w:val="18"/>
              </w:rPr>
            </w:pPr>
            <w:r w:rsidRPr="00206C89">
              <w:rPr>
                <w:sz w:val="18"/>
              </w:rPr>
              <w:t>43.2 ± 16.9</w:t>
            </w:r>
          </w:p>
        </w:tc>
        <w:tc>
          <w:tcPr>
            <w:tcW w:w="0" w:type="auto"/>
            <w:vAlign w:val="center"/>
          </w:tcPr>
          <w:p w14:paraId="6C698619" w14:textId="77777777" w:rsidR="007B335B" w:rsidRPr="00206C89" w:rsidRDefault="007B335B" w:rsidP="00A85656">
            <w:pPr>
              <w:jc w:val="center"/>
              <w:rPr>
                <w:sz w:val="18"/>
              </w:rPr>
            </w:pPr>
            <w:r w:rsidRPr="00206C89">
              <w:rPr>
                <w:sz w:val="18"/>
              </w:rPr>
              <w:t>41.8 ± 17.0</w:t>
            </w:r>
          </w:p>
        </w:tc>
      </w:tr>
      <w:tr w:rsidR="007B335B" w:rsidRPr="00206C89" w14:paraId="39B63EB9" w14:textId="77777777" w:rsidTr="00A85656">
        <w:trPr>
          <w:jc w:val="center"/>
        </w:trPr>
        <w:tc>
          <w:tcPr>
            <w:tcW w:w="0" w:type="auto"/>
            <w:tcBorders>
              <w:right w:val="single" w:sz="4" w:space="0" w:color="auto"/>
            </w:tcBorders>
            <w:vAlign w:val="center"/>
          </w:tcPr>
          <w:p w14:paraId="693BEA22" w14:textId="77777777" w:rsidR="007B335B" w:rsidRPr="00206C89" w:rsidRDefault="007B335B" w:rsidP="00A85656">
            <w:pPr>
              <w:jc w:val="center"/>
              <w:rPr>
                <w:sz w:val="18"/>
              </w:rPr>
            </w:pPr>
            <w:r w:rsidRPr="00206C89">
              <w:rPr>
                <w:sz w:val="18"/>
              </w:rPr>
              <w:t>PB</w:t>
            </w:r>
          </w:p>
        </w:tc>
        <w:tc>
          <w:tcPr>
            <w:tcW w:w="0" w:type="auto"/>
            <w:tcBorders>
              <w:left w:val="single" w:sz="4" w:space="0" w:color="auto"/>
            </w:tcBorders>
            <w:vAlign w:val="center"/>
          </w:tcPr>
          <w:p w14:paraId="3A9219E1" w14:textId="77777777" w:rsidR="007B335B" w:rsidRPr="00206C89" w:rsidRDefault="007B335B" w:rsidP="00A85656">
            <w:pPr>
              <w:jc w:val="center"/>
              <w:rPr>
                <w:sz w:val="18"/>
              </w:rPr>
            </w:pPr>
            <w:r w:rsidRPr="00206C89">
              <w:rPr>
                <w:sz w:val="18"/>
              </w:rPr>
              <w:t>279.8 ± 50.6</w:t>
            </w:r>
          </w:p>
        </w:tc>
        <w:tc>
          <w:tcPr>
            <w:tcW w:w="0" w:type="auto"/>
            <w:tcBorders>
              <w:right w:val="single" w:sz="4" w:space="0" w:color="auto"/>
            </w:tcBorders>
            <w:vAlign w:val="center"/>
          </w:tcPr>
          <w:p w14:paraId="11F7AC6D" w14:textId="77777777" w:rsidR="007B335B" w:rsidRPr="00206C89" w:rsidRDefault="007B335B" w:rsidP="00A85656">
            <w:pPr>
              <w:jc w:val="center"/>
              <w:rPr>
                <w:sz w:val="18"/>
              </w:rPr>
            </w:pPr>
            <w:r w:rsidRPr="00206C89">
              <w:rPr>
                <w:sz w:val="18"/>
              </w:rPr>
              <w:t>227.0 ± 108.4</w:t>
            </w:r>
          </w:p>
        </w:tc>
        <w:tc>
          <w:tcPr>
            <w:tcW w:w="0" w:type="auto"/>
            <w:tcBorders>
              <w:left w:val="single" w:sz="4" w:space="0" w:color="auto"/>
            </w:tcBorders>
            <w:vAlign w:val="center"/>
          </w:tcPr>
          <w:p w14:paraId="659E8359" w14:textId="0CEA580B" w:rsidR="007B335B" w:rsidRPr="00206C89" w:rsidRDefault="00115336" w:rsidP="00A85656">
            <w:pPr>
              <w:jc w:val="center"/>
              <w:rPr>
                <w:sz w:val="18"/>
              </w:rPr>
            </w:pPr>
            <w:r w:rsidRPr="00206C89">
              <w:rPr>
                <w:sz w:val="18"/>
              </w:rPr>
              <w:t>74.3</w:t>
            </w:r>
            <w:r w:rsidR="007B335B" w:rsidRPr="00206C89">
              <w:rPr>
                <w:sz w:val="18"/>
              </w:rPr>
              <w:t xml:space="preserve"> ± </w:t>
            </w:r>
            <w:r w:rsidRPr="00206C89">
              <w:rPr>
                <w:sz w:val="18"/>
              </w:rPr>
              <w:t>16.1</w:t>
            </w:r>
          </w:p>
        </w:tc>
        <w:tc>
          <w:tcPr>
            <w:tcW w:w="0" w:type="auto"/>
            <w:tcBorders>
              <w:right w:val="single" w:sz="4" w:space="0" w:color="auto"/>
            </w:tcBorders>
            <w:vAlign w:val="center"/>
          </w:tcPr>
          <w:p w14:paraId="0D21DE8D" w14:textId="056EFCF2" w:rsidR="007B335B" w:rsidRPr="00206C89" w:rsidRDefault="00115336" w:rsidP="00A85656">
            <w:pPr>
              <w:jc w:val="center"/>
              <w:rPr>
                <w:sz w:val="18"/>
              </w:rPr>
            </w:pPr>
            <w:r w:rsidRPr="00206C89">
              <w:rPr>
                <w:sz w:val="18"/>
              </w:rPr>
              <w:t>73.5</w:t>
            </w:r>
            <w:r w:rsidR="007B335B" w:rsidRPr="00206C89">
              <w:rPr>
                <w:sz w:val="18"/>
              </w:rPr>
              <w:t xml:space="preserve"> ± </w:t>
            </w:r>
            <w:r w:rsidRPr="00206C89">
              <w:rPr>
                <w:sz w:val="18"/>
              </w:rPr>
              <w:t>85.6</w:t>
            </w:r>
          </w:p>
        </w:tc>
        <w:tc>
          <w:tcPr>
            <w:tcW w:w="0" w:type="auto"/>
            <w:tcBorders>
              <w:left w:val="single" w:sz="4" w:space="0" w:color="auto"/>
            </w:tcBorders>
            <w:vAlign w:val="center"/>
          </w:tcPr>
          <w:p w14:paraId="67638C4E" w14:textId="77777777" w:rsidR="007B335B" w:rsidRPr="00206C89" w:rsidRDefault="007B335B" w:rsidP="00A85656">
            <w:pPr>
              <w:jc w:val="center"/>
              <w:rPr>
                <w:sz w:val="18"/>
              </w:rPr>
            </w:pPr>
            <w:r w:rsidRPr="00206C89">
              <w:rPr>
                <w:sz w:val="18"/>
              </w:rPr>
              <w:t>90.9 ± 67.7</w:t>
            </w:r>
          </w:p>
        </w:tc>
        <w:tc>
          <w:tcPr>
            <w:tcW w:w="0" w:type="auto"/>
            <w:vAlign w:val="center"/>
          </w:tcPr>
          <w:p w14:paraId="710A784E" w14:textId="77777777" w:rsidR="007B335B" w:rsidRPr="00206C89" w:rsidRDefault="007B335B" w:rsidP="00A85656">
            <w:pPr>
              <w:jc w:val="center"/>
              <w:rPr>
                <w:sz w:val="18"/>
              </w:rPr>
            </w:pPr>
            <w:r w:rsidRPr="00206C89">
              <w:rPr>
                <w:sz w:val="18"/>
              </w:rPr>
              <w:t>49.3 ± 28.0</w:t>
            </w:r>
          </w:p>
        </w:tc>
      </w:tr>
    </w:tbl>
    <w:p w14:paraId="1F9118C0" w14:textId="77777777" w:rsidR="007B335B" w:rsidRPr="00206C89" w:rsidRDefault="007B335B" w:rsidP="007B335B">
      <w:pPr>
        <w:pStyle w:val="NoSpacing"/>
      </w:pPr>
    </w:p>
    <w:p w14:paraId="1C6F338D" w14:textId="77777777" w:rsidR="007B335B" w:rsidRPr="00206C89" w:rsidRDefault="007B335B" w:rsidP="007B335B">
      <w:pPr>
        <w:pStyle w:val="NoSpacing"/>
      </w:pPr>
    </w:p>
    <w:p w14:paraId="2E54B3E0" w14:textId="2BFA115B" w:rsidR="00823DC3" w:rsidRDefault="00823DC3" w:rsidP="006858EA">
      <w:pPr>
        <w:pStyle w:val="Caption"/>
      </w:pPr>
      <w:r w:rsidRPr="00206C89">
        <w:t xml:space="preserve">Table </w:t>
      </w:r>
      <w:r w:rsidR="007B335B" w:rsidRPr="00206C89">
        <w:t>SM2</w:t>
      </w:r>
      <w:r w:rsidRPr="00206C89">
        <w:t xml:space="preserve">: Biomarkers measure in medaka after 4 months of exposure to MPs. </w:t>
      </w:r>
      <w:r w:rsidR="00251ECA">
        <w:t>(</w:t>
      </w:r>
      <w:r w:rsidRPr="00206C89">
        <w:t>Mean ± SD; Kruskal-Wallis test, *, p&lt;0.05</w:t>
      </w:r>
      <w:r w:rsidR="00251ECA">
        <w:t xml:space="preserve">; </w:t>
      </w:r>
      <w:r w:rsidR="00251ECA" w:rsidRPr="00206C89">
        <w:t>n=3 per fish, treatment and sex</w:t>
      </w:r>
      <w:r w:rsidR="00251ECA">
        <w:t>)</w:t>
      </w:r>
      <w:r w:rsidRPr="00206C89">
        <w:t>. (</w:t>
      </w:r>
      <w:proofErr w:type="spellStart"/>
      <w:r w:rsidRPr="00206C89">
        <w:t>AChE</w:t>
      </w:r>
      <w:proofErr w:type="spellEnd"/>
      <w:r w:rsidRPr="00206C89">
        <w:t>: nmol/min/mg protein; EROD:</w:t>
      </w:r>
      <w:r w:rsidR="00206C89">
        <w:t xml:space="preserve"> </w:t>
      </w:r>
      <w:r w:rsidR="00206C89" w:rsidRPr="00206C89">
        <w:t>percentage of respective control</w:t>
      </w:r>
      <w:r w:rsidRPr="00206C89">
        <w:t>; TBARS</w:t>
      </w:r>
      <w:r w:rsidR="00B03C75">
        <w:t>: µ</w:t>
      </w:r>
      <w:r w:rsidRPr="00206C89">
        <w:t>mol</w:t>
      </w:r>
      <w:r w:rsidR="00B03C75">
        <w:t>/</w:t>
      </w:r>
      <w:r w:rsidRPr="00924779">
        <w:t>mg protein</w:t>
      </w:r>
      <w:r>
        <w:t>; Comet assay: % tail intensity</w:t>
      </w:r>
      <w:r w:rsidRPr="00924779">
        <w:t>)</w:t>
      </w:r>
    </w:p>
    <w:tbl>
      <w:tblPr>
        <w:tblStyle w:val="TableGrid"/>
        <w:tblW w:w="110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399"/>
        <w:gridCol w:w="1249"/>
        <w:gridCol w:w="1193"/>
        <w:gridCol w:w="1289"/>
        <w:gridCol w:w="1149"/>
        <w:gridCol w:w="1149"/>
        <w:gridCol w:w="949"/>
        <w:gridCol w:w="1049"/>
        <w:gridCol w:w="246"/>
      </w:tblGrid>
      <w:tr w:rsidR="00B03C75" w:rsidRPr="00484101" w14:paraId="628518C0" w14:textId="77777777" w:rsidTr="00823DC3">
        <w:trPr>
          <w:gridAfter w:val="1"/>
          <w:jc w:val="center"/>
        </w:trPr>
        <w:tc>
          <w:tcPr>
            <w:tcW w:w="0" w:type="auto"/>
            <w:vMerge w:val="restart"/>
            <w:tcBorders>
              <w:right w:val="single" w:sz="4" w:space="0" w:color="auto"/>
            </w:tcBorders>
            <w:vAlign w:val="center"/>
          </w:tcPr>
          <w:p w14:paraId="028561E2" w14:textId="77777777" w:rsidR="00823DC3" w:rsidRPr="00484101" w:rsidRDefault="00823DC3" w:rsidP="00823DC3">
            <w:pPr>
              <w:jc w:val="center"/>
              <w:rPr>
                <w:i/>
                <w:sz w:val="18"/>
              </w:rPr>
            </w:pPr>
            <w:proofErr w:type="spellStart"/>
            <w:r w:rsidRPr="00484101">
              <w:rPr>
                <w:i/>
                <w:sz w:val="18"/>
              </w:rPr>
              <w:t>O.melastigma</w:t>
            </w:r>
            <w:proofErr w:type="spellEnd"/>
          </w:p>
        </w:tc>
        <w:tc>
          <w:tcPr>
            <w:tcW w:w="0" w:type="auto"/>
            <w:gridSpan w:val="2"/>
            <w:tcBorders>
              <w:left w:val="single" w:sz="4" w:space="0" w:color="auto"/>
              <w:bottom w:val="single" w:sz="4" w:space="0" w:color="auto"/>
              <w:right w:val="single" w:sz="4" w:space="0" w:color="auto"/>
            </w:tcBorders>
            <w:vAlign w:val="center"/>
          </w:tcPr>
          <w:p w14:paraId="5208D5D8" w14:textId="77777777" w:rsidR="00823DC3" w:rsidRPr="00484101" w:rsidRDefault="00823DC3" w:rsidP="00823DC3">
            <w:pPr>
              <w:jc w:val="center"/>
              <w:rPr>
                <w:sz w:val="18"/>
              </w:rPr>
            </w:pPr>
            <w:proofErr w:type="spellStart"/>
            <w:r w:rsidRPr="00484101">
              <w:rPr>
                <w:sz w:val="18"/>
              </w:rPr>
              <w:t>AChE</w:t>
            </w:r>
            <w:proofErr w:type="spellEnd"/>
          </w:p>
        </w:tc>
        <w:tc>
          <w:tcPr>
            <w:tcW w:w="0" w:type="auto"/>
            <w:gridSpan w:val="2"/>
            <w:tcBorders>
              <w:left w:val="single" w:sz="4" w:space="0" w:color="auto"/>
              <w:bottom w:val="single" w:sz="4" w:space="0" w:color="auto"/>
              <w:right w:val="single" w:sz="4" w:space="0" w:color="auto"/>
            </w:tcBorders>
            <w:vAlign w:val="center"/>
          </w:tcPr>
          <w:p w14:paraId="3800A8E5" w14:textId="77777777" w:rsidR="00823DC3" w:rsidRPr="00484101" w:rsidRDefault="00823DC3" w:rsidP="00823DC3">
            <w:pPr>
              <w:jc w:val="center"/>
              <w:rPr>
                <w:sz w:val="18"/>
              </w:rPr>
            </w:pPr>
            <w:r w:rsidRPr="00484101">
              <w:rPr>
                <w:sz w:val="18"/>
              </w:rPr>
              <w:t>EROD</w:t>
            </w:r>
          </w:p>
        </w:tc>
        <w:tc>
          <w:tcPr>
            <w:tcW w:w="0" w:type="auto"/>
            <w:gridSpan w:val="2"/>
            <w:tcBorders>
              <w:left w:val="single" w:sz="4" w:space="0" w:color="auto"/>
              <w:bottom w:val="single" w:sz="4" w:space="0" w:color="auto"/>
            </w:tcBorders>
            <w:vAlign w:val="center"/>
          </w:tcPr>
          <w:p w14:paraId="0C5C397A" w14:textId="77777777" w:rsidR="00823DC3" w:rsidRPr="00484101" w:rsidRDefault="00823DC3" w:rsidP="00823DC3">
            <w:pPr>
              <w:jc w:val="center"/>
              <w:rPr>
                <w:sz w:val="18"/>
              </w:rPr>
            </w:pPr>
            <w:r w:rsidRPr="00484101">
              <w:rPr>
                <w:sz w:val="18"/>
              </w:rPr>
              <w:t>TBARS</w:t>
            </w:r>
          </w:p>
        </w:tc>
        <w:tc>
          <w:tcPr>
            <w:tcW w:w="0" w:type="auto"/>
            <w:gridSpan w:val="2"/>
            <w:tcBorders>
              <w:left w:val="single" w:sz="4" w:space="0" w:color="auto"/>
              <w:bottom w:val="single" w:sz="4" w:space="0" w:color="auto"/>
            </w:tcBorders>
            <w:vAlign w:val="center"/>
          </w:tcPr>
          <w:p w14:paraId="4915C075" w14:textId="77777777" w:rsidR="00823DC3" w:rsidRPr="00484101" w:rsidRDefault="00823DC3" w:rsidP="00823DC3">
            <w:pPr>
              <w:jc w:val="center"/>
              <w:rPr>
                <w:sz w:val="18"/>
              </w:rPr>
            </w:pPr>
            <w:r>
              <w:rPr>
                <w:sz w:val="18"/>
              </w:rPr>
              <w:t>Comet Assay</w:t>
            </w:r>
          </w:p>
        </w:tc>
      </w:tr>
      <w:tr w:rsidR="00B03C75" w:rsidRPr="00484101" w14:paraId="4E872975" w14:textId="77777777" w:rsidTr="00723431">
        <w:trPr>
          <w:jc w:val="center"/>
        </w:trPr>
        <w:tc>
          <w:tcPr>
            <w:tcW w:w="0" w:type="auto"/>
            <w:vMerge/>
            <w:tcBorders>
              <w:right w:val="single" w:sz="4" w:space="0" w:color="auto"/>
            </w:tcBorders>
            <w:vAlign w:val="center"/>
          </w:tcPr>
          <w:p w14:paraId="27136C32" w14:textId="77777777" w:rsidR="00823DC3" w:rsidRPr="00484101" w:rsidRDefault="00823DC3" w:rsidP="00823DC3">
            <w:pPr>
              <w:jc w:val="center"/>
              <w:rPr>
                <w:sz w:val="18"/>
              </w:rPr>
            </w:pPr>
          </w:p>
        </w:tc>
        <w:tc>
          <w:tcPr>
            <w:tcW w:w="0" w:type="auto"/>
            <w:tcBorders>
              <w:top w:val="single" w:sz="4" w:space="0" w:color="auto"/>
              <w:left w:val="single" w:sz="4" w:space="0" w:color="auto"/>
              <w:bottom w:val="single" w:sz="4" w:space="0" w:color="auto"/>
            </w:tcBorders>
            <w:vAlign w:val="center"/>
          </w:tcPr>
          <w:p w14:paraId="2F2A89F7" w14:textId="77777777" w:rsidR="00823DC3" w:rsidRPr="00484101" w:rsidRDefault="00823DC3" w:rsidP="00823DC3">
            <w:pPr>
              <w:jc w:val="center"/>
              <w:rPr>
                <w:sz w:val="18"/>
              </w:rPr>
            </w:pPr>
            <w:r w:rsidRPr="00484101">
              <w:rPr>
                <w:sz w:val="18"/>
              </w:rPr>
              <w:t>Female</w:t>
            </w:r>
          </w:p>
        </w:tc>
        <w:tc>
          <w:tcPr>
            <w:tcW w:w="0" w:type="auto"/>
            <w:tcBorders>
              <w:top w:val="single" w:sz="4" w:space="0" w:color="auto"/>
              <w:bottom w:val="single" w:sz="4" w:space="0" w:color="auto"/>
              <w:right w:val="single" w:sz="4" w:space="0" w:color="auto"/>
            </w:tcBorders>
            <w:vAlign w:val="center"/>
          </w:tcPr>
          <w:p w14:paraId="0DFB8D5E" w14:textId="77777777" w:rsidR="00823DC3" w:rsidRPr="00484101" w:rsidRDefault="00823DC3" w:rsidP="00823DC3">
            <w:pPr>
              <w:jc w:val="center"/>
              <w:rPr>
                <w:sz w:val="18"/>
              </w:rPr>
            </w:pPr>
            <w:r w:rsidRPr="00484101">
              <w:rPr>
                <w:sz w:val="18"/>
              </w:rPr>
              <w:t>Male</w:t>
            </w:r>
          </w:p>
        </w:tc>
        <w:tc>
          <w:tcPr>
            <w:tcW w:w="1193" w:type="dxa"/>
            <w:tcBorders>
              <w:top w:val="single" w:sz="4" w:space="0" w:color="auto"/>
              <w:left w:val="single" w:sz="4" w:space="0" w:color="auto"/>
              <w:bottom w:val="single" w:sz="4" w:space="0" w:color="auto"/>
            </w:tcBorders>
            <w:vAlign w:val="center"/>
          </w:tcPr>
          <w:p w14:paraId="066B1150" w14:textId="77777777" w:rsidR="00823DC3" w:rsidRPr="00484101" w:rsidRDefault="00823DC3" w:rsidP="00823DC3">
            <w:pPr>
              <w:jc w:val="center"/>
              <w:rPr>
                <w:sz w:val="18"/>
              </w:rPr>
            </w:pPr>
            <w:r w:rsidRPr="00484101">
              <w:rPr>
                <w:sz w:val="18"/>
              </w:rPr>
              <w:t>Female</w:t>
            </w:r>
          </w:p>
        </w:tc>
        <w:tc>
          <w:tcPr>
            <w:tcW w:w="1289" w:type="dxa"/>
            <w:tcBorders>
              <w:top w:val="single" w:sz="4" w:space="0" w:color="auto"/>
              <w:bottom w:val="single" w:sz="4" w:space="0" w:color="auto"/>
              <w:right w:val="single" w:sz="4" w:space="0" w:color="auto"/>
            </w:tcBorders>
            <w:vAlign w:val="center"/>
          </w:tcPr>
          <w:p w14:paraId="5483EC73" w14:textId="330612A0" w:rsidR="00823DC3" w:rsidRPr="00484101" w:rsidRDefault="00C823C7" w:rsidP="00823DC3">
            <w:pPr>
              <w:jc w:val="center"/>
              <w:rPr>
                <w:sz w:val="18"/>
              </w:rPr>
            </w:pPr>
            <w:r>
              <w:rPr>
                <w:sz w:val="18"/>
              </w:rPr>
              <w:t>Male</w:t>
            </w:r>
          </w:p>
        </w:tc>
        <w:tc>
          <w:tcPr>
            <w:tcW w:w="0" w:type="auto"/>
            <w:tcBorders>
              <w:top w:val="single" w:sz="4" w:space="0" w:color="auto"/>
              <w:left w:val="single" w:sz="4" w:space="0" w:color="auto"/>
              <w:bottom w:val="single" w:sz="4" w:space="0" w:color="auto"/>
            </w:tcBorders>
            <w:vAlign w:val="center"/>
          </w:tcPr>
          <w:p w14:paraId="6412CF11" w14:textId="58CAC92D" w:rsidR="00823DC3" w:rsidRPr="00484101" w:rsidRDefault="00C823C7" w:rsidP="00823DC3">
            <w:pPr>
              <w:jc w:val="center"/>
              <w:rPr>
                <w:sz w:val="18"/>
              </w:rPr>
            </w:pPr>
            <w:r>
              <w:rPr>
                <w:sz w:val="18"/>
              </w:rPr>
              <w:t>Female</w:t>
            </w:r>
          </w:p>
        </w:tc>
        <w:tc>
          <w:tcPr>
            <w:tcW w:w="0" w:type="auto"/>
            <w:tcBorders>
              <w:top w:val="single" w:sz="4" w:space="0" w:color="auto"/>
              <w:bottom w:val="single" w:sz="4" w:space="0" w:color="auto"/>
              <w:right w:val="single" w:sz="4" w:space="0" w:color="auto"/>
            </w:tcBorders>
            <w:vAlign w:val="center"/>
          </w:tcPr>
          <w:p w14:paraId="409EB078" w14:textId="77777777" w:rsidR="00823DC3" w:rsidRPr="00484101" w:rsidRDefault="00823DC3" w:rsidP="00823DC3">
            <w:pPr>
              <w:jc w:val="center"/>
              <w:rPr>
                <w:sz w:val="18"/>
              </w:rPr>
            </w:pPr>
            <w:r w:rsidRPr="00484101">
              <w:rPr>
                <w:sz w:val="18"/>
              </w:rPr>
              <w:t>Male</w:t>
            </w:r>
          </w:p>
        </w:tc>
        <w:tc>
          <w:tcPr>
            <w:tcW w:w="0" w:type="auto"/>
            <w:tcBorders>
              <w:top w:val="single" w:sz="4" w:space="0" w:color="auto"/>
              <w:left w:val="single" w:sz="4" w:space="0" w:color="auto"/>
              <w:bottom w:val="single" w:sz="4" w:space="0" w:color="auto"/>
            </w:tcBorders>
            <w:vAlign w:val="center"/>
          </w:tcPr>
          <w:p w14:paraId="22E4B7A6" w14:textId="77777777" w:rsidR="00823DC3" w:rsidRPr="00484101" w:rsidRDefault="00823DC3" w:rsidP="00823DC3">
            <w:pPr>
              <w:jc w:val="center"/>
              <w:rPr>
                <w:sz w:val="18"/>
              </w:rPr>
            </w:pPr>
            <w:r w:rsidRPr="00484101">
              <w:rPr>
                <w:sz w:val="18"/>
              </w:rPr>
              <w:t>Female</w:t>
            </w:r>
          </w:p>
        </w:tc>
        <w:tc>
          <w:tcPr>
            <w:tcW w:w="0" w:type="auto"/>
            <w:tcBorders>
              <w:top w:val="single" w:sz="4" w:space="0" w:color="auto"/>
              <w:bottom w:val="single" w:sz="4" w:space="0" w:color="auto"/>
            </w:tcBorders>
            <w:vAlign w:val="center"/>
          </w:tcPr>
          <w:p w14:paraId="3B661CCB" w14:textId="77777777" w:rsidR="00823DC3" w:rsidRPr="00484101" w:rsidRDefault="00823DC3" w:rsidP="00823DC3">
            <w:pPr>
              <w:jc w:val="center"/>
              <w:rPr>
                <w:sz w:val="18"/>
              </w:rPr>
            </w:pPr>
            <w:r w:rsidRPr="00484101">
              <w:rPr>
                <w:sz w:val="18"/>
              </w:rPr>
              <w:t>Male</w:t>
            </w:r>
          </w:p>
        </w:tc>
        <w:tc>
          <w:tcPr>
            <w:tcW w:w="0" w:type="auto"/>
            <w:tcBorders>
              <w:top w:val="single" w:sz="4" w:space="0" w:color="auto"/>
              <w:bottom w:val="single" w:sz="4" w:space="0" w:color="auto"/>
            </w:tcBorders>
          </w:tcPr>
          <w:p w14:paraId="576B6825" w14:textId="77777777" w:rsidR="00823DC3" w:rsidRPr="00484101" w:rsidRDefault="00823DC3" w:rsidP="00823DC3">
            <w:pPr>
              <w:jc w:val="center"/>
              <w:rPr>
                <w:sz w:val="18"/>
              </w:rPr>
            </w:pPr>
          </w:p>
        </w:tc>
      </w:tr>
      <w:tr w:rsidR="00B03C75" w:rsidRPr="00484101" w14:paraId="7075791F" w14:textId="77777777" w:rsidTr="00723431">
        <w:trPr>
          <w:jc w:val="center"/>
        </w:trPr>
        <w:tc>
          <w:tcPr>
            <w:tcW w:w="0" w:type="auto"/>
            <w:tcBorders>
              <w:right w:val="single" w:sz="4" w:space="0" w:color="auto"/>
            </w:tcBorders>
            <w:vAlign w:val="center"/>
          </w:tcPr>
          <w:p w14:paraId="324E5B6D" w14:textId="77777777" w:rsidR="00823DC3" w:rsidRPr="00484101" w:rsidRDefault="00823DC3" w:rsidP="00823DC3">
            <w:pPr>
              <w:jc w:val="center"/>
              <w:rPr>
                <w:sz w:val="18"/>
              </w:rPr>
            </w:pPr>
            <w:r w:rsidRPr="00484101">
              <w:rPr>
                <w:sz w:val="18"/>
              </w:rPr>
              <w:t>Control</w:t>
            </w:r>
          </w:p>
        </w:tc>
        <w:tc>
          <w:tcPr>
            <w:tcW w:w="0" w:type="auto"/>
            <w:tcBorders>
              <w:top w:val="single" w:sz="4" w:space="0" w:color="auto"/>
              <w:left w:val="single" w:sz="4" w:space="0" w:color="auto"/>
            </w:tcBorders>
            <w:vAlign w:val="center"/>
          </w:tcPr>
          <w:p w14:paraId="031629FC" w14:textId="77777777" w:rsidR="00823DC3" w:rsidRPr="00484101" w:rsidRDefault="00823DC3" w:rsidP="00823DC3">
            <w:pPr>
              <w:jc w:val="center"/>
              <w:rPr>
                <w:sz w:val="18"/>
              </w:rPr>
            </w:pPr>
            <w:r w:rsidRPr="00484101">
              <w:rPr>
                <w:sz w:val="18"/>
              </w:rPr>
              <w:t>124.5 ± 9.1</w:t>
            </w:r>
          </w:p>
        </w:tc>
        <w:tc>
          <w:tcPr>
            <w:tcW w:w="0" w:type="auto"/>
            <w:tcBorders>
              <w:top w:val="single" w:sz="4" w:space="0" w:color="auto"/>
              <w:right w:val="single" w:sz="4" w:space="0" w:color="auto"/>
            </w:tcBorders>
            <w:vAlign w:val="center"/>
          </w:tcPr>
          <w:p w14:paraId="045563AB" w14:textId="77777777" w:rsidR="00823DC3" w:rsidRPr="00484101" w:rsidRDefault="00823DC3" w:rsidP="00823DC3">
            <w:pPr>
              <w:jc w:val="center"/>
              <w:rPr>
                <w:sz w:val="18"/>
              </w:rPr>
            </w:pPr>
            <w:r w:rsidRPr="00484101">
              <w:rPr>
                <w:sz w:val="18"/>
              </w:rPr>
              <w:t xml:space="preserve">146.5 ± 27.0 </w:t>
            </w:r>
          </w:p>
        </w:tc>
        <w:tc>
          <w:tcPr>
            <w:tcW w:w="1193" w:type="dxa"/>
            <w:tcBorders>
              <w:top w:val="single" w:sz="4" w:space="0" w:color="auto"/>
              <w:left w:val="single" w:sz="4" w:space="0" w:color="auto"/>
            </w:tcBorders>
            <w:vAlign w:val="center"/>
          </w:tcPr>
          <w:p w14:paraId="5ADD56A9" w14:textId="76A236FF" w:rsidR="00823DC3" w:rsidRPr="002A4024" w:rsidRDefault="00C823C7" w:rsidP="00C823C7">
            <w:pPr>
              <w:jc w:val="center"/>
              <w:rPr>
                <w:sz w:val="18"/>
              </w:rPr>
            </w:pPr>
            <w:r w:rsidRPr="002A4024">
              <w:rPr>
                <w:sz w:val="18"/>
              </w:rPr>
              <w:t>100</w:t>
            </w:r>
            <w:r w:rsidR="00823DC3" w:rsidRPr="002A4024">
              <w:rPr>
                <w:sz w:val="18"/>
              </w:rPr>
              <w:t xml:space="preserve"> ± </w:t>
            </w:r>
            <w:r w:rsidRPr="002A4024">
              <w:rPr>
                <w:sz w:val="18"/>
              </w:rPr>
              <w:t>43.9</w:t>
            </w:r>
          </w:p>
        </w:tc>
        <w:tc>
          <w:tcPr>
            <w:tcW w:w="1289" w:type="dxa"/>
            <w:tcBorders>
              <w:top w:val="single" w:sz="4" w:space="0" w:color="auto"/>
              <w:right w:val="single" w:sz="4" w:space="0" w:color="auto"/>
            </w:tcBorders>
            <w:vAlign w:val="center"/>
          </w:tcPr>
          <w:p w14:paraId="7852836C" w14:textId="3FF6D792" w:rsidR="00823DC3" w:rsidRPr="002A4024" w:rsidRDefault="00C823C7" w:rsidP="00C823C7">
            <w:pPr>
              <w:jc w:val="center"/>
              <w:rPr>
                <w:sz w:val="18"/>
              </w:rPr>
            </w:pPr>
            <w:r w:rsidRPr="002A4024">
              <w:rPr>
                <w:sz w:val="18"/>
              </w:rPr>
              <w:t>100</w:t>
            </w:r>
            <w:r w:rsidR="00823DC3" w:rsidRPr="002A4024">
              <w:rPr>
                <w:sz w:val="18"/>
              </w:rPr>
              <w:t xml:space="preserve"> ± </w:t>
            </w:r>
            <w:r w:rsidRPr="002A4024">
              <w:rPr>
                <w:sz w:val="18"/>
              </w:rPr>
              <w:t>75.1</w:t>
            </w:r>
          </w:p>
        </w:tc>
        <w:tc>
          <w:tcPr>
            <w:tcW w:w="0" w:type="auto"/>
            <w:tcBorders>
              <w:top w:val="single" w:sz="4" w:space="0" w:color="auto"/>
              <w:left w:val="single" w:sz="4" w:space="0" w:color="auto"/>
            </w:tcBorders>
            <w:vAlign w:val="center"/>
          </w:tcPr>
          <w:p w14:paraId="1088C8B0" w14:textId="02829C13" w:rsidR="00823DC3" w:rsidRPr="00484101" w:rsidRDefault="00B03C75" w:rsidP="00B03C75">
            <w:pPr>
              <w:jc w:val="center"/>
              <w:rPr>
                <w:sz w:val="18"/>
              </w:rPr>
            </w:pPr>
            <w:r>
              <w:rPr>
                <w:sz w:val="18"/>
              </w:rPr>
              <w:t>54.5</w:t>
            </w:r>
            <w:r w:rsidR="00823DC3" w:rsidRPr="00484101">
              <w:rPr>
                <w:sz w:val="18"/>
              </w:rPr>
              <w:t xml:space="preserve"> ± </w:t>
            </w:r>
            <w:r>
              <w:rPr>
                <w:sz w:val="18"/>
              </w:rPr>
              <w:t>12.8</w:t>
            </w:r>
          </w:p>
        </w:tc>
        <w:tc>
          <w:tcPr>
            <w:tcW w:w="0" w:type="auto"/>
            <w:tcBorders>
              <w:top w:val="single" w:sz="4" w:space="0" w:color="auto"/>
              <w:right w:val="single" w:sz="4" w:space="0" w:color="auto"/>
            </w:tcBorders>
            <w:vAlign w:val="center"/>
          </w:tcPr>
          <w:p w14:paraId="6A87C48D" w14:textId="6B5056B7" w:rsidR="00823DC3" w:rsidRPr="00484101" w:rsidRDefault="00B03C75" w:rsidP="00B03C75">
            <w:pPr>
              <w:jc w:val="center"/>
              <w:rPr>
                <w:sz w:val="18"/>
              </w:rPr>
            </w:pPr>
            <w:r>
              <w:rPr>
                <w:sz w:val="18"/>
              </w:rPr>
              <w:t>55.6</w:t>
            </w:r>
            <w:r w:rsidR="00823DC3" w:rsidRPr="00484101">
              <w:rPr>
                <w:sz w:val="18"/>
              </w:rPr>
              <w:t xml:space="preserve"> ± </w:t>
            </w:r>
            <w:r>
              <w:rPr>
                <w:sz w:val="18"/>
              </w:rPr>
              <w:t>8.4</w:t>
            </w:r>
          </w:p>
        </w:tc>
        <w:tc>
          <w:tcPr>
            <w:tcW w:w="0" w:type="auto"/>
            <w:tcBorders>
              <w:top w:val="single" w:sz="4" w:space="0" w:color="auto"/>
              <w:left w:val="single" w:sz="4" w:space="0" w:color="auto"/>
            </w:tcBorders>
            <w:vAlign w:val="center"/>
          </w:tcPr>
          <w:p w14:paraId="758C5366" w14:textId="77777777" w:rsidR="00823DC3" w:rsidRPr="00484101" w:rsidRDefault="00823DC3" w:rsidP="00823DC3">
            <w:pPr>
              <w:jc w:val="center"/>
              <w:rPr>
                <w:sz w:val="18"/>
              </w:rPr>
            </w:pPr>
            <w:r>
              <w:rPr>
                <w:sz w:val="18"/>
              </w:rPr>
              <w:t>9.6</w:t>
            </w:r>
            <w:r w:rsidRPr="00484101">
              <w:rPr>
                <w:sz w:val="18"/>
              </w:rPr>
              <w:t xml:space="preserve"> ± </w:t>
            </w:r>
            <w:r>
              <w:rPr>
                <w:sz w:val="18"/>
              </w:rPr>
              <w:t>1.9</w:t>
            </w:r>
          </w:p>
        </w:tc>
        <w:tc>
          <w:tcPr>
            <w:tcW w:w="0" w:type="auto"/>
            <w:tcBorders>
              <w:top w:val="single" w:sz="4" w:space="0" w:color="auto"/>
            </w:tcBorders>
            <w:vAlign w:val="center"/>
          </w:tcPr>
          <w:p w14:paraId="23686BC3" w14:textId="77777777" w:rsidR="00823DC3" w:rsidRPr="00484101" w:rsidRDefault="00823DC3" w:rsidP="00823DC3">
            <w:pPr>
              <w:jc w:val="center"/>
              <w:rPr>
                <w:sz w:val="18"/>
              </w:rPr>
            </w:pPr>
            <w:r>
              <w:rPr>
                <w:sz w:val="18"/>
              </w:rPr>
              <w:t>12.7</w:t>
            </w:r>
            <w:r w:rsidRPr="00484101">
              <w:rPr>
                <w:sz w:val="18"/>
              </w:rPr>
              <w:t xml:space="preserve"> ± </w:t>
            </w:r>
            <w:r>
              <w:rPr>
                <w:sz w:val="18"/>
              </w:rPr>
              <w:t>2.1</w:t>
            </w:r>
          </w:p>
        </w:tc>
        <w:tc>
          <w:tcPr>
            <w:tcW w:w="0" w:type="auto"/>
            <w:tcBorders>
              <w:top w:val="single" w:sz="4" w:space="0" w:color="auto"/>
            </w:tcBorders>
          </w:tcPr>
          <w:p w14:paraId="77FAED7B" w14:textId="77777777" w:rsidR="00823DC3" w:rsidRPr="00484101" w:rsidRDefault="00823DC3" w:rsidP="00823DC3">
            <w:pPr>
              <w:jc w:val="center"/>
              <w:rPr>
                <w:sz w:val="18"/>
              </w:rPr>
            </w:pPr>
          </w:p>
        </w:tc>
      </w:tr>
      <w:tr w:rsidR="00B03C75" w:rsidRPr="00484101" w14:paraId="4917C794" w14:textId="77777777" w:rsidTr="00723431">
        <w:trPr>
          <w:jc w:val="center"/>
        </w:trPr>
        <w:tc>
          <w:tcPr>
            <w:tcW w:w="0" w:type="auto"/>
            <w:tcBorders>
              <w:right w:val="single" w:sz="4" w:space="0" w:color="auto"/>
            </w:tcBorders>
            <w:vAlign w:val="center"/>
          </w:tcPr>
          <w:p w14:paraId="65B49AC3" w14:textId="77777777" w:rsidR="00823DC3" w:rsidRPr="00484101" w:rsidRDefault="00823DC3" w:rsidP="00823DC3">
            <w:pPr>
              <w:jc w:val="center"/>
              <w:rPr>
                <w:sz w:val="18"/>
              </w:rPr>
            </w:pPr>
            <w:r w:rsidRPr="00484101">
              <w:rPr>
                <w:sz w:val="18"/>
              </w:rPr>
              <w:t>MG</w:t>
            </w:r>
          </w:p>
        </w:tc>
        <w:tc>
          <w:tcPr>
            <w:tcW w:w="0" w:type="auto"/>
            <w:tcBorders>
              <w:left w:val="single" w:sz="4" w:space="0" w:color="auto"/>
            </w:tcBorders>
            <w:vAlign w:val="center"/>
          </w:tcPr>
          <w:p w14:paraId="5CA21875" w14:textId="77777777" w:rsidR="00823DC3" w:rsidRPr="00823DC3" w:rsidRDefault="00823DC3" w:rsidP="00823DC3">
            <w:pPr>
              <w:jc w:val="center"/>
              <w:rPr>
                <w:b/>
                <w:sz w:val="18"/>
              </w:rPr>
            </w:pPr>
            <w:r w:rsidRPr="00823DC3">
              <w:rPr>
                <w:b/>
                <w:sz w:val="18"/>
              </w:rPr>
              <w:t>195.8 ± 37.7 *</w:t>
            </w:r>
          </w:p>
        </w:tc>
        <w:tc>
          <w:tcPr>
            <w:tcW w:w="0" w:type="auto"/>
            <w:tcBorders>
              <w:right w:val="single" w:sz="4" w:space="0" w:color="auto"/>
            </w:tcBorders>
            <w:vAlign w:val="center"/>
          </w:tcPr>
          <w:p w14:paraId="519136BD" w14:textId="77777777" w:rsidR="00823DC3" w:rsidRPr="00484101" w:rsidRDefault="00823DC3" w:rsidP="00823DC3">
            <w:pPr>
              <w:jc w:val="center"/>
              <w:rPr>
                <w:sz w:val="18"/>
              </w:rPr>
            </w:pPr>
            <w:r w:rsidRPr="00484101">
              <w:rPr>
                <w:sz w:val="18"/>
              </w:rPr>
              <w:t>148.2 ± 35.7</w:t>
            </w:r>
          </w:p>
        </w:tc>
        <w:tc>
          <w:tcPr>
            <w:tcW w:w="1193" w:type="dxa"/>
            <w:tcBorders>
              <w:left w:val="single" w:sz="4" w:space="0" w:color="auto"/>
            </w:tcBorders>
            <w:vAlign w:val="center"/>
          </w:tcPr>
          <w:p w14:paraId="4AEDE2A0" w14:textId="65BB3DE8" w:rsidR="00823DC3" w:rsidRPr="002A4024" w:rsidRDefault="00C823C7" w:rsidP="00C823C7">
            <w:pPr>
              <w:jc w:val="center"/>
              <w:rPr>
                <w:sz w:val="18"/>
              </w:rPr>
            </w:pPr>
            <w:r w:rsidRPr="002A4024">
              <w:rPr>
                <w:sz w:val="18"/>
              </w:rPr>
              <w:t>38.7</w:t>
            </w:r>
            <w:r w:rsidR="00823DC3" w:rsidRPr="002A4024">
              <w:rPr>
                <w:sz w:val="18"/>
              </w:rPr>
              <w:t xml:space="preserve"> ± </w:t>
            </w:r>
            <w:r w:rsidRPr="002A4024">
              <w:rPr>
                <w:sz w:val="18"/>
              </w:rPr>
              <w:t>31.1</w:t>
            </w:r>
          </w:p>
        </w:tc>
        <w:tc>
          <w:tcPr>
            <w:tcW w:w="1289" w:type="dxa"/>
            <w:tcBorders>
              <w:right w:val="single" w:sz="4" w:space="0" w:color="auto"/>
            </w:tcBorders>
            <w:vAlign w:val="center"/>
          </w:tcPr>
          <w:p w14:paraId="231BF888" w14:textId="44EFCD2B" w:rsidR="00823DC3" w:rsidRPr="002A4024" w:rsidRDefault="00C823C7" w:rsidP="00C823C7">
            <w:pPr>
              <w:jc w:val="center"/>
              <w:rPr>
                <w:sz w:val="18"/>
              </w:rPr>
            </w:pPr>
            <w:r w:rsidRPr="002A4024">
              <w:rPr>
                <w:sz w:val="18"/>
              </w:rPr>
              <w:t>110.8</w:t>
            </w:r>
            <w:r w:rsidR="00823DC3" w:rsidRPr="002A4024">
              <w:rPr>
                <w:sz w:val="18"/>
              </w:rPr>
              <w:t xml:space="preserve"> ± </w:t>
            </w:r>
            <w:r w:rsidRPr="002A4024">
              <w:rPr>
                <w:sz w:val="18"/>
              </w:rPr>
              <w:t>76.2</w:t>
            </w:r>
          </w:p>
        </w:tc>
        <w:tc>
          <w:tcPr>
            <w:tcW w:w="0" w:type="auto"/>
            <w:tcBorders>
              <w:left w:val="single" w:sz="4" w:space="0" w:color="auto"/>
            </w:tcBorders>
            <w:vAlign w:val="center"/>
          </w:tcPr>
          <w:p w14:paraId="031A3C2C" w14:textId="2B2B09F0" w:rsidR="00823DC3" w:rsidRPr="00484101" w:rsidRDefault="00B03C75" w:rsidP="00B03C75">
            <w:pPr>
              <w:jc w:val="center"/>
              <w:rPr>
                <w:sz w:val="18"/>
              </w:rPr>
            </w:pPr>
            <w:r>
              <w:rPr>
                <w:sz w:val="18"/>
              </w:rPr>
              <w:t>54.6</w:t>
            </w:r>
            <w:r w:rsidR="00823DC3" w:rsidRPr="00484101">
              <w:rPr>
                <w:sz w:val="18"/>
              </w:rPr>
              <w:t xml:space="preserve"> ± </w:t>
            </w:r>
            <w:r>
              <w:rPr>
                <w:sz w:val="18"/>
              </w:rPr>
              <w:t>1.6</w:t>
            </w:r>
          </w:p>
        </w:tc>
        <w:tc>
          <w:tcPr>
            <w:tcW w:w="0" w:type="auto"/>
            <w:tcBorders>
              <w:right w:val="single" w:sz="4" w:space="0" w:color="auto"/>
            </w:tcBorders>
            <w:vAlign w:val="center"/>
          </w:tcPr>
          <w:p w14:paraId="20831165" w14:textId="045339F0" w:rsidR="00823DC3" w:rsidRPr="00484101" w:rsidRDefault="00B03C75" w:rsidP="00B03C75">
            <w:pPr>
              <w:jc w:val="center"/>
              <w:rPr>
                <w:sz w:val="18"/>
              </w:rPr>
            </w:pPr>
            <w:r>
              <w:rPr>
                <w:sz w:val="18"/>
              </w:rPr>
              <w:t>81.4</w:t>
            </w:r>
            <w:r w:rsidR="00823DC3" w:rsidRPr="00484101">
              <w:rPr>
                <w:sz w:val="18"/>
              </w:rPr>
              <w:t xml:space="preserve"> ± </w:t>
            </w:r>
            <w:r>
              <w:rPr>
                <w:sz w:val="18"/>
              </w:rPr>
              <w:t>29.0</w:t>
            </w:r>
          </w:p>
        </w:tc>
        <w:tc>
          <w:tcPr>
            <w:tcW w:w="0" w:type="auto"/>
            <w:tcBorders>
              <w:left w:val="single" w:sz="4" w:space="0" w:color="auto"/>
            </w:tcBorders>
            <w:vAlign w:val="center"/>
          </w:tcPr>
          <w:p w14:paraId="5F3F0604" w14:textId="77777777" w:rsidR="00823DC3" w:rsidRPr="00484101" w:rsidRDefault="00823DC3" w:rsidP="00823DC3">
            <w:pPr>
              <w:jc w:val="center"/>
              <w:rPr>
                <w:sz w:val="18"/>
              </w:rPr>
            </w:pPr>
            <w:r>
              <w:rPr>
                <w:sz w:val="18"/>
              </w:rPr>
              <w:t>9.2</w:t>
            </w:r>
            <w:r w:rsidRPr="00484101">
              <w:rPr>
                <w:sz w:val="18"/>
              </w:rPr>
              <w:t xml:space="preserve"> ± </w:t>
            </w:r>
            <w:r>
              <w:rPr>
                <w:sz w:val="18"/>
              </w:rPr>
              <w:t>1.6</w:t>
            </w:r>
          </w:p>
        </w:tc>
        <w:tc>
          <w:tcPr>
            <w:tcW w:w="0" w:type="auto"/>
            <w:vAlign w:val="center"/>
          </w:tcPr>
          <w:p w14:paraId="0FD6AC63" w14:textId="77777777" w:rsidR="00823DC3" w:rsidRPr="00484101" w:rsidRDefault="00823DC3" w:rsidP="00823DC3">
            <w:pPr>
              <w:jc w:val="center"/>
              <w:rPr>
                <w:sz w:val="18"/>
              </w:rPr>
            </w:pPr>
            <w:r>
              <w:rPr>
                <w:sz w:val="18"/>
              </w:rPr>
              <w:t>7.9</w:t>
            </w:r>
            <w:r w:rsidRPr="00484101">
              <w:rPr>
                <w:sz w:val="18"/>
              </w:rPr>
              <w:t xml:space="preserve"> ± </w:t>
            </w:r>
            <w:r>
              <w:rPr>
                <w:sz w:val="18"/>
              </w:rPr>
              <w:t>4.1</w:t>
            </w:r>
          </w:p>
        </w:tc>
        <w:tc>
          <w:tcPr>
            <w:tcW w:w="0" w:type="auto"/>
          </w:tcPr>
          <w:p w14:paraId="399FF8C7" w14:textId="77777777" w:rsidR="00823DC3" w:rsidRPr="00484101" w:rsidRDefault="00823DC3" w:rsidP="00823DC3">
            <w:pPr>
              <w:jc w:val="center"/>
              <w:rPr>
                <w:sz w:val="18"/>
              </w:rPr>
            </w:pPr>
          </w:p>
        </w:tc>
      </w:tr>
      <w:tr w:rsidR="00B03C75" w:rsidRPr="00484101" w14:paraId="794B863A" w14:textId="77777777" w:rsidTr="00723431">
        <w:trPr>
          <w:jc w:val="center"/>
        </w:trPr>
        <w:tc>
          <w:tcPr>
            <w:tcW w:w="0" w:type="auto"/>
            <w:tcBorders>
              <w:right w:val="single" w:sz="4" w:space="0" w:color="auto"/>
            </w:tcBorders>
            <w:vAlign w:val="center"/>
          </w:tcPr>
          <w:p w14:paraId="30505813" w14:textId="77777777" w:rsidR="00823DC3" w:rsidRPr="00484101" w:rsidRDefault="00823DC3" w:rsidP="00823DC3">
            <w:pPr>
              <w:jc w:val="center"/>
              <w:rPr>
                <w:sz w:val="18"/>
              </w:rPr>
            </w:pPr>
            <w:r w:rsidRPr="00484101">
              <w:rPr>
                <w:sz w:val="18"/>
              </w:rPr>
              <w:t>PB</w:t>
            </w:r>
          </w:p>
        </w:tc>
        <w:tc>
          <w:tcPr>
            <w:tcW w:w="0" w:type="auto"/>
            <w:tcBorders>
              <w:left w:val="single" w:sz="4" w:space="0" w:color="auto"/>
            </w:tcBorders>
            <w:vAlign w:val="center"/>
          </w:tcPr>
          <w:p w14:paraId="154FAC8B" w14:textId="77777777" w:rsidR="00823DC3" w:rsidRPr="00823DC3" w:rsidRDefault="00823DC3" w:rsidP="00823DC3">
            <w:pPr>
              <w:jc w:val="center"/>
              <w:rPr>
                <w:b/>
                <w:sz w:val="18"/>
              </w:rPr>
            </w:pPr>
            <w:r w:rsidRPr="00823DC3">
              <w:rPr>
                <w:b/>
                <w:sz w:val="18"/>
              </w:rPr>
              <w:t>183.9 ±11.4 *</w:t>
            </w:r>
          </w:p>
        </w:tc>
        <w:tc>
          <w:tcPr>
            <w:tcW w:w="0" w:type="auto"/>
            <w:tcBorders>
              <w:right w:val="single" w:sz="4" w:space="0" w:color="auto"/>
            </w:tcBorders>
            <w:vAlign w:val="center"/>
          </w:tcPr>
          <w:p w14:paraId="2C9B0998" w14:textId="77777777" w:rsidR="00823DC3" w:rsidRPr="00484101" w:rsidRDefault="00823DC3" w:rsidP="00823DC3">
            <w:pPr>
              <w:jc w:val="center"/>
              <w:rPr>
                <w:sz w:val="18"/>
              </w:rPr>
            </w:pPr>
            <w:r w:rsidRPr="00484101">
              <w:rPr>
                <w:sz w:val="18"/>
              </w:rPr>
              <w:t xml:space="preserve">153.1 ± 24.9 </w:t>
            </w:r>
          </w:p>
        </w:tc>
        <w:tc>
          <w:tcPr>
            <w:tcW w:w="1193" w:type="dxa"/>
            <w:tcBorders>
              <w:left w:val="single" w:sz="4" w:space="0" w:color="auto"/>
            </w:tcBorders>
            <w:vAlign w:val="center"/>
          </w:tcPr>
          <w:p w14:paraId="52CBCF6E" w14:textId="31D4BFD3" w:rsidR="00823DC3" w:rsidRPr="002A4024" w:rsidRDefault="00C823C7" w:rsidP="00823DC3">
            <w:pPr>
              <w:jc w:val="center"/>
              <w:rPr>
                <w:b/>
                <w:sz w:val="18"/>
              </w:rPr>
            </w:pPr>
            <w:r w:rsidRPr="002A4024">
              <w:rPr>
                <w:b/>
                <w:sz w:val="18"/>
              </w:rPr>
              <w:t>20.0</w:t>
            </w:r>
            <w:r w:rsidR="00823DC3" w:rsidRPr="002A4024">
              <w:rPr>
                <w:b/>
                <w:sz w:val="18"/>
              </w:rPr>
              <w:t xml:space="preserve"> ± </w:t>
            </w:r>
            <w:r w:rsidRPr="002A4024">
              <w:rPr>
                <w:b/>
                <w:sz w:val="18"/>
              </w:rPr>
              <w:t>6.1</w:t>
            </w:r>
            <w:r w:rsidR="00823DC3" w:rsidRPr="002A4024">
              <w:rPr>
                <w:b/>
                <w:sz w:val="18"/>
              </w:rPr>
              <w:t xml:space="preserve"> *</w:t>
            </w:r>
          </w:p>
        </w:tc>
        <w:tc>
          <w:tcPr>
            <w:tcW w:w="1289" w:type="dxa"/>
            <w:tcBorders>
              <w:right w:val="single" w:sz="4" w:space="0" w:color="auto"/>
            </w:tcBorders>
            <w:vAlign w:val="center"/>
          </w:tcPr>
          <w:p w14:paraId="6FE1862D" w14:textId="2944FEE4" w:rsidR="00823DC3" w:rsidRPr="002A4024" w:rsidRDefault="00C823C7" w:rsidP="00C823C7">
            <w:pPr>
              <w:jc w:val="center"/>
              <w:rPr>
                <w:sz w:val="18"/>
              </w:rPr>
            </w:pPr>
            <w:r w:rsidRPr="002A4024">
              <w:rPr>
                <w:sz w:val="18"/>
              </w:rPr>
              <w:t>74.8</w:t>
            </w:r>
            <w:r w:rsidR="00823DC3" w:rsidRPr="002A4024">
              <w:rPr>
                <w:sz w:val="18"/>
              </w:rPr>
              <w:t xml:space="preserve"> ± </w:t>
            </w:r>
            <w:r w:rsidRPr="002A4024">
              <w:rPr>
                <w:sz w:val="18"/>
              </w:rPr>
              <w:t>32.8</w:t>
            </w:r>
          </w:p>
        </w:tc>
        <w:tc>
          <w:tcPr>
            <w:tcW w:w="0" w:type="auto"/>
            <w:tcBorders>
              <w:left w:val="single" w:sz="4" w:space="0" w:color="auto"/>
            </w:tcBorders>
            <w:vAlign w:val="center"/>
          </w:tcPr>
          <w:p w14:paraId="39E556AC" w14:textId="50F79AB7" w:rsidR="00823DC3" w:rsidRPr="00484101" w:rsidRDefault="00B03C75" w:rsidP="00B03C75">
            <w:pPr>
              <w:jc w:val="center"/>
              <w:rPr>
                <w:sz w:val="18"/>
              </w:rPr>
            </w:pPr>
            <w:r>
              <w:rPr>
                <w:sz w:val="18"/>
              </w:rPr>
              <w:t>47.5</w:t>
            </w:r>
            <w:r w:rsidR="00823DC3" w:rsidRPr="00484101">
              <w:rPr>
                <w:sz w:val="18"/>
              </w:rPr>
              <w:t xml:space="preserve"> ± </w:t>
            </w:r>
            <w:r>
              <w:rPr>
                <w:sz w:val="18"/>
              </w:rPr>
              <w:t>5.9</w:t>
            </w:r>
          </w:p>
        </w:tc>
        <w:tc>
          <w:tcPr>
            <w:tcW w:w="0" w:type="auto"/>
            <w:tcBorders>
              <w:right w:val="single" w:sz="4" w:space="0" w:color="auto"/>
            </w:tcBorders>
            <w:vAlign w:val="center"/>
          </w:tcPr>
          <w:p w14:paraId="2E3AD4BC" w14:textId="55E88A9E" w:rsidR="00823DC3" w:rsidRPr="00484101" w:rsidRDefault="00B03C75" w:rsidP="00B03C75">
            <w:pPr>
              <w:jc w:val="center"/>
              <w:rPr>
                <w:sz w:val="18"/>
              </w:rPr>
            </w:pPr>
            <w:r>
              <w:rPr>
                <w:sz w:val="18"/>
              </w:rPr>
              <w:t>58.0</w:t>
            </w:r>
            <w:r w:rsidR="00823DC3" w:rsidRPr="00484101">
              <w:rPr>
                <w:sz w:val="18"/>
              </w:rPr>
              <w:t xml:space="preserve"> ± </w:t>
            </w:r>
            <w:r>
              <w:rPr>
                <w:sz w:val="18"/>
              </w:rPr>
              <w:t>9.1</w:t>
            </w:r>
          </w:p>
        </w:tc>
        <w:tc>
          <w:tcPr>
            <w:tcW w:w="0" w:type="auto"/>
            <w:tcBorders>
              <w:left w:val="single" w:sz="4" w:space="0" w:color="auto"/>
            </w:tcBorders>
            <w:vAlign w:val="center"/>
          </w:tcPr>
          <w:p w14:paraId="21FFF861" w14:textId="77777777" w:rsidR="00823DC3" w:rsidRPr="00484101" w:rsidRDefault="00823DC3" w:rsidP="00823DC3">
            <w:pPr>
              <w:jc w:val="center"/>
              <w:rPr>
                <w:sz w:val="18"/>
              </w:rPr>
            </w:pPr>
            <w:r>
              <w:rPr>
                <w:sz w:val="18"/>
              </w:rPr>
              <w:t>9.2</w:t>
            </w:r>
            <w:r w:rsidRPr="00484101">
              <w:rPr>
                <w:sz w:val="18"/>
              </w:rPr>
              <w:t xml:space="preserve"> ± </w:t>
            </w:r>
            <w:r>
              <w:rPr>
                <w:sz w:val="18"/>
              </w:rPr>
              <w:t>1.5</w:t>
            </w:r>
          </w:p>
        </w:tc>
        <w:tc>
          <w:tcPr>
            <w:tcW w:w="0" w:type="auto"/>
            <w:vAlign w:val="center"/>
          </w:tcPr>
          <w:p w14:paraId="73E87109" w14:textId="77777777" w:rsidR="00823DC3" w:rsidRPr="00484101" w:rsidRDefault="00823DC3" w:rsidP="00823DC3">
            <w:pPr>
              <w:jc w:val="center"/>
              <w:rPr>
                <w:sz w:val="18"/>
              </w:rPr>
            </w:pPr>
            <w:r>
              <w:rPr>
                <w:sz w:val="18"/>
              </w:rPr>
              <w:t>10.8</w:t>
            </w:r>
            <w:r w:rsidRPr="00484101">
              <w:rPr>
                <w:sz w:val="18"/>
              </w:rPr>
              <w:t xml:space="preserve"> ± 0.</w:t>
            </w:r>
            <w:r>
              <w:rPr>
                <w:sz w:val="18"/>
              </w:rPr>
              <w:t>9</w:t>
            </w:r>
          </w:p>
        </w:tc>
        <w:tc>
          <w:tcPr>
            <w:tcW w:w="0" w:type="auto"/>
          </w:tcPr>
          <w:p w14:paraId="37455145" w14:textId="77777777" w:rsidR="00823DC3" w:rsidRPr="00484101" w:rsidRDefault="00823DC3" w:rsidP="00823DC3">
            <w:pPr>
              <w:jc w:val="center"/>
              <w:rPr>
                <w:sz w:val="18"/>
              </w:rPr>
            </w:pPr>
          </w:p>
        </w:tc>
      </w:tr>
    </w:tbl>
    <w:p w14:paraId="1724173E" w14:textId="77777777" w:rsidR="007534E0" w:rsidRDefault="007534E0" w:rsidP="00823DC3">
      <w:pPr>
        <w:pStyle w:val="NoSpacing"/>
      </w:pPr>
    </w:p>
    <w:p w14:paraId="33D57F07" w14:textId="77777777" w:rsidR="00852B03" w:rsidRDefault="00852B03" w:rsidP="00823DC3">
      <w:pPr>
        <w:pStyle w:val="NoSpacing"/>
      </w:pPr>
    </w:p>
    <w:p w14:paraId="3E4EA6CD" w14:textId="27D1CBFE" w:rsidR="00852B03" w:rsidRDefault="00A27A03" w:rsidP="00A53A1E">
      <w:pPr>
        <w:pStyle w:val="NoSpacing"/>
        <w:keepNext/>
        <w:jc w:val="center"/>
      </w:pPr>
      <w:r>
        <w:object w:dxaOrig="11578" w:dyaOrig="7152" w14:anchorId="1DC4F403">
          <v:shape id="_x0000_i1058" type="#_x0000_t75" style="width:451.15pt;height:278.2pt" o:ole="">
            <v:imagedata r:id="rId17" o:title=""/>
          </v:shape>
          <o:OLEObject Type="Embed" ProgID="Prism9.Document" ShapeID="_x0000_i1058" DrawAspect="Content" ObjectID="_1717938424" r:id="rId18"/>
        </w:object>
      </w:r>
    </w:p>
    <w:p w14:paraId="29608498" w14:textId="13729786" w:rsidR="007534E0" w:rsidRDefault="007534E0" w:rsidP="00051936">
      <w:pPr>
        <w:pStyle w:val="Caption"/>
        <w:rPr>
          <w:lang w:val="en-GB"/>
        </w:rPr>
      </w:pPr>
      <w:r w:rsidRPr="00206C89">
        <w:rPr>
          <w:lang w:val="en-GB"/>
        </w:rPr>
        <w:t xml:space="preserve">Figure </w:t>
      </w:r>
      <w:r w:rsidR="00941803" w:rsidRPr="00206C89">
        <w:rPr>
          <w:lang w:val="en-GB"/>
        </w:rPr>
        <w:t>SM</w:t>
      </w:r>
      <w:r w:rsidR="00941803">
        <w:t>6</w:t>
      </w:r>
      <w:r w:rsidRPr="00206C89">
        <w:rPr>
          <w:lang w:val="en-GB"/>
        </w:rPr>
        <w:t xml:space="preserve">: Monitoring of anxiety level in </w:t>
      </w:r>
      <w:r>
        <w:rPr>
          <w:lang w:val="en-GB"/>
        </w:rPr>
        <w:t>zebrafish</w:t>
      </w:r>
      <w:r w:rsidR="00852B03">
        <w:rPr>
          <w:lang w:val="en-GB"/>
        </w:rPr>
        <w:t xml:space="preserve"> (A and B)</w:t>
      </w:r>
      <w:r w:rsidRPr="00206C89">
        <w:rPr>
          <w:lang w:val="en-GB"/>
        </w:rPr>
        <w:t xml:space="preserve"> and </w:t>
      </w:r>
      <w:r>
        <w:rPr>
          <w:lang w:val="en-GB"/>
        </w:rPr>
        <w:t>medaka</w:t>
      </w:r>
      <w:r w:rsidR="00852B03">
        <w:rPr>
          <w:lang w:val="en-GB"/>
        </w:rPr>
        <w:t xml:space="preserve"> (C and D)</w:t>
      </w:r>
      <w:r w:rsidRPr="007B335B">
        <w:rPr>
          <w:lang w:val="en-GB"/>
        </w:rPr>
        <w:t xml:space="preserve"> </w:t>
      </w:r>
      <w:r w:rsidR="00E564BD">
        <w:rPr>
          <w:lang w:val="en-GB"/>
        </w:rPr>
        <w:t>after</w:t>
      </w:r>
      <w:r w:rsidRPr="007B335B">
        <w:rPr>
          <w:lang w:val="en-GB"/>
        </w:rPr>
        <w:t xml:space="preserve"> </w:t>
      </w:r>
      <w:r w:rsidR="00251ECA">
        <w:rPr>
          <w:lang w:val="en-GB"/>
        </w:rPr>
        <w:t xml:space="preserve">MG and PB </w:t>
      </w:r>
      <w:r w:rsidR="00E564BD">
        <w:rPr>
          <w:lang w:val="en-GB"/>
        </w:rPr>
        <w:t>exposures</w:t>
      </w:r>
      <w:r w:rsidRPr="00206C89">
        <w:rPr>
          <w:lang w:val="en-GB"/>
        </w:rPr>
        <w:t>.</w:t>
      </w:r>
      <w:r>
        <w:rPr>
          <w:lang w:val="en-GB"/>
        </w:rPr>
        <w:t xml:space="preserve"> Graphics represent the distance travelled (cm/5 min) using zebrafish (A) or medaka (</w:t>
      </w:r>
      <w:r w:rsidR="00E564BD">
        <w:rPr>
          <w:lang w:val="en-GB"/>
        </w:rPr>
        <w:t>C</w:t>
      </w:r>
      <w:r>
        <w:rPr>
          <w:lang w:val="en-GB"/>
        </w:rPr>
        <w:t>), while (</w:t>
      </w:r>
      <w:r w:rsidR="00E564BD">
        <w:rPr>
          <w:lang w:val="en-GB"/>
        </w:rPr>
        <w:t>B</w:t>
      </w:r>
      <w:r>
        <w:rPr>
          <w:lang w:val="en-GB"/>
        </w:rPr>
        <w:t>) and (D) are</w:t>
      </w:r>
      <w:r w:rsidR="00786267">
        <w:rPr>
          <w:lang w:val="en-GB"/>
        </w:rPr>
        <w:t xml:space="preserve"> the time spent in top zone for zebrafish and medaka, respectively.</w:t>
      </w:r>
      <w:r w:rsidR="000061B0">
        <w:rPr>
          <w:lang w:val="en-GB"/>
        </w:rPr>
        <w:t xml:space="preserve"> </w:t>
      </w:r>
      <w:r w:rsidR="005D49D7">
        <w:rPr>
          <w:lang w:val="en-GB"/>
        </w:rPr>
        <w:t>(Mean ± SD</w:t>
      </w:r>
      <w:r w:rsidR="00330B0C">
        <w:rPr>
          <w:lang w:val="en-GB"/>
        </w:rPr>
        <w:t>;</w:t>
      </w:r>
      <w:r w:rsidR="005D49D7">
        <w:rPr>
          <w:lang w:val="en-GB"/>
        </w:rPr>
        <w:t xml:space="preserve"> </w:t>
      </w:r>
      <w:r w:rsidR="005D49D7" w:rsidRPr="00206C89">
        <w:rPr>
          <w:lang w:val="en-GB"/>
        </w:rPr>
        <w:t>n=</w:t>
      </w:r>
      <w:r w:rsidR="005D49D7">
        <w:rPr>
          <w:lang w:val="en-GB"/>
        </w:rPr>
        <w:t xml:space="preserve"> </w:t>
      </w:r>
      <w:r w:rsidR="005D49D7" w:rsidRPr="00206C89">
        <w:rPr>
          <w:lang w:val="en-GB"/>
        </w:rPr>
        <w:t>[12-21] from three replicates</w:t>
      </w:r>
      <w:r w:rsidR="00051936">
        <w:rPr>
          <w:lang w:val="en-GB"/>
        </w:rPr>
        <w:t>)</w:t>
      </w:r>
    </w:p>
    <w:p w14:paraId="25551774" w14:textId="77777777" w:rsidR="00051936" w:rsidRPr="00051936" w:rsidRDefault="00051936" w:rsidP="00051936">
      <w:pPr>
        <w:pStyle w:val="NoSpacing"/>
        <w:rPr>
          <w:lang w:val="en-GB"/>
        </w:rPr>
      </w:pPr>
    </w:p>
    <w:p w14:paraId="2903208E" w14:textId="43DC7678" w:rsidR="0090226C" w:rsidRDefault="0090226C" w:rsidP="00206C89">
      <w:pPr>
        <w:pStyle w:val="NoSpacing"/>
        <w:keepNext/>
      </w:pPr>
    </w:p>
    <w:p w14:paraId="78172AC8" w14:textId="718BC6ED" w:rsidR="00E564BD" w:rsidRDefault="0074484A" w:rsidP="00A53A1E">
      <w:pPr>
        <w:pStyle w:val="NoSpacing"/>
        <w:keepNext/>
        <w:jc w:val="center"/>
      </w:pPr>
      <w:r>
        <w:object w:dxaOrig="11786" w:dyaOrig="2882" w14:anchorId="6E5FF01F">
          <v:shape id="_x0000_i1060" type="#_x0000_t75" style="width:450.7pt;height:110.35pt" o:ole="">
            <v:imagedata r:id="rId19" o:title=""/>
          </v:shape>
          <o:OLEObject Type="Embed" ProgID="Prism9.Document" ShapeID="_x0000_i1060" DrawAspect="Content" ObjectID="_1717938425" r:id="rId20"/>
        </w:object>
      </w:r>
    </w:p>
    <w:p w14:paraId="71B45917" w14:textId="5D554DB9" w:rsidR="00B44E60" w:rsidRDefault="0090226C" w:rsidP="00B44E60">
      <w:pPr>
        <w:pStyle w:val="Caption"/>
        <w:rPr>
          <w:lang w:val="en-GB"/>
        </w:rPr>
      </w:pPr>
      <w:r>
        <w:t xml:space="preserve">Figure </w:t>
      </w:r>
      <w:r w:rsidR="00941803">
        <w:t>SM</w:t>
      </w:r>
      <w:r w:rsidR="00941803">
        <w:t>7</w:t>
      </w:r>
      <w:r>
        <w:t>: Different spawn</w:t>
      </w:r>
      <w:r w:rsidR="00DA7180">
        <w:t>ing</w:t>
      </w:r>
      <w:r>
        <w:t xml:space="preserve"> parameters</w:t>
      </w:r>
      <w:r w:rsidR="00DA7180">
        <w:t xml:space="preserve"> measured for zebrafish, (A)</w:t>
      </w:r>
      <w:r>
        <w:t xml:space="preserve"> Total amount of eggs collected</w:t>
      </w:r>
      <w:r w:rsidR="00DA7180">
        <w:t xml:space="preserve"> </w:t>
      </w:r>
      <w:r>
        <w:t>after pair spawning</w:t>
      </w:r>
      <w:r w:rsidR="00DA7180">
        <w:t xml:space="preserve">, (B) </w:t>
      </w:r>
      <w:r w:rsidR="00DE7309">
        <w:t>Number</w:t>
      </w:r>
      <w:r w:rsidR="00DA7180">
        <w:t xml:space="preserve"> of fertilized eggs and the ratio of fertilized eggs (C).</w:t>
      </w:r>
      <w:r w:rsidR="00B44E60">
        <w:t xml:space="preserve"> </w:t>
      </w:r>
      <w:r w:rsidR="00B44E60">
        <w:rPr>
          <w:lang w:val="en-GB"/>
        </w:rPr>
        <w:t>(Mean ± SD</w:t>
      </w:r>
      <w:r w:rsidR="00576EB2">
        <w:rPr>
          <w:lang w:val="en-GB"/>
        </w:rPr>
        <w:t xml:space="preserve">; </w:t>
      </w:r>
      <w:r w:rsidR="00576EB2" w:rsidRPr="0084540D">
        <w:t>Attempts n= 56-66 from three replicates</w:t>
      </w:r>
      <w:r w:rsidR="00B44E60">
        <w:rPr>
          <w:lang w:val="en-GB"/>
        </w:rPr>
        <w:t>)</w:t>
      </w:r>
    </w:p>
    <w:p w14:paraId="5FE4DA7A" w14:textId="31B82CE5" w:rsidR="00CB4AD2" w:rsidRDefault="00F60A3B" w:rsidP="00AF76C4">
      <w:pPr>
        <w:pStyle w:val="NoSpacing"/>
        <w:keepNext/>
        <w:jc w:val="center"/>
      </w:pPr>
      <w:r>
        <w:object w:dxaOrig="7361" w:dyaOrig="3605" w14:anchorId="723D38C7">
          <v:shape id="_x0000_i1062" type="#_x0000_t75" style="width:368.4pt;height:180pt" o:ole="">
            <v:imagedata r:id="rId21" o:title=""/>
          </v:shape>
          <o:OLEObject Type="Embed" ProgID="Prism9.Document" ShapeID="_x0000_i1062" DrawAspect="Content" ObjectID="_1717938426" r:id="rId22"/>
        </w:object>
      </w:r>
    </w:p>
    <w:p w14:paraId="2C2D86A6" w14:textId="38306354" w:rsidR="00576EB2" w:rsidRDefault="00AF76C4" w:rsidP="00576EB2">
      <w:pPr>
        <w:pStyle w:val="Caption"/>
        <w:rPr>
          <w:lang w:val="en-GB"/>
        </w:rPr>
      </w:pPr>
      <w:r w:rsidRPr="00557271">
        <w:t xml:space="preserve">Figure </w:t>
      </w:r>
      <w:r w:rsidR="00941803" w:rsidRPr="00557271">
        <w:t>SM</w:t>
      </w:r>
      <w:r w:rsidR="00941803">
        <w:t>8</w:t>
      </w:r>
      <w:r w:rsidRPr="00557271">
        <w:t>:</w:t>
      </w:r>
      <w:r w:rsidR="006F0554" w:rsidRPr="00557271">
        <w:t xml:space="preserve"> </w:t>
      </w:r>
      <w:r w:rsidR="00557271">
        <w:t xml:space="preserve">Fertilization </w:t>
      </w:r>
      <w:r w:rsidR="005D49D7">
        <w:t xml:space="preserve">rate </w:t>
      </w:r>
      <w:r w:rsidR="00557271">
        <w:t>(%) of marine medaka exposed to Control, MG or PB</w:t>
      </w:r>
      <w:r w:rsidR="005D49D7">
        <w:t xml:space="preserve"> MPs</w:t>
      </w:r>
      <w:r w:rsidR="00557271">
        <w:t>.</w:t>
      </w:r>
      <w:r w:rsidR="00576EB2">
        <w:t xml:space="preserve"> </w:t>
      </w:r>
      <w:bookmarkStart w:id="1" w:name="_Hlk94789134"/>
      <w:r w:rsidR="00576EB2">
        <w:rPr>
          <w:lang w:val="en-GB"/>
        </w:rPr>
        <w:t xml:space="preserve">(Mean ± SD; </w:t>
      </w:r>
      <w:r w:rsidR="00576EB2" w:rsidRPr="0084540D">
        <w:t>Attempts</w:t>
      </w:r>
      <w:r w:rsidR="00576EB2">
        <w:t xml:space="preserve"> n= </w:t>
      </w:r>
      <w:r w:rsidR="00D545D9">
        <w:t>18-38</w:t>
      </w:r>
      <w:r w:rsidR="00576EB2">
        <w:t xml:space="preserve"> from three replicates</w:t>
      </w:r>
      <w:r w:rsidR="00576EB2">
        <w:rPr>
          <w:lang w:val="en-GB"/>
        </w:rPr>
        <w:t>)</w:t>
      </w:r>
      <w:bookmarkEnd w:id="1"/>
    </w:p>
    <w:p w14:paraId="4831596F" w14:textId="3CFF60B3" w:rsidR="00AF76C4" w:rsidRDefault="00557271" w:rsidP="00206C89">
      <w:pPr>
        <w:pStyle w:val="Caption"/>
        <w:jc w:val="center"/>
      </w:pPr>
      <w:r>
        <w:t xml:space="preserve"> </w:t>
      </w:r>
    </w:p>
    <w:p w14:paraId="1F483511" w14:textId="3644CC16" w:rsidR="007F539C" w:rsidRPr="007F539C" w:rsidRDefault="007F539C" w:rsidP="007F539C">
      <w:pPr>
        <w:rPr>
          <w:b/>
        </w:rPr>
      </w:pPr>
      <w:r>
        <w:rPr>
          <w:b/>
        </w:rPr>
        <w:t>Reference</w:t>
      </w:r>
    </w:p>
    <w:p w14:paraId="3AAF1B7F" w14:textId="77777777" w:rsidR="00B85DDB" w:rsidRDefault="00B85DDB" w:rsidP="00B85DDB">
      <w:pPr>
        <w:widowControl w:val="0"/>
        <w:autoSpaceDE w:val="0"/>
        <w:autoSpaceDN w:val="0"/>
        <w:adjustRightInd w:val="0"/>
        <w:ind w:left="480" w:hanging="480"/>
        <w:rPr>
          <w:noProof/>
        </w:rPr>
      </w:pPr>
      <w:r>
        <w:rPr>
          <w:noProof/>
        </w:rPr>
        <w:t>Buege J., and Aust S., (1978) Microsomal lipid peroxidation, in: S. Fleischer, L. Packer (Eds.) Methods in Enzymology, Academic Press, pp. 302-310</w:t>
      </w:r>
    </w:p>
    <w:p w14:paraId="6ABEB3BF" w14:textId="77777777" w:rsidR="00B85DDB" w:rsidRDefault="00B85DDB" w:rsidP="00B85DDB">
      <w:pPr>
        <w:widowControl w:val="0"/>
        <w:autoSpaceDE w:val="0"/>
        <w:autoSpaceDN w:val="0"/>
        <w:adjustRightInd w:val="0"/>
        <w:ind w:left="480" w:hanging="480"/>
        <w:rPr>
          <w:noProof/>
        </w:rPr>
      </w:pPr>
      <w:r w:rsidRPr="00A15A45">
        <w:rPr>
          <w:noProof/>
        </w:rPr>
        <w:t>Ellman GL, Courtney KD, Andres V, Featherstone RM (1961) A new and rapid colorimetric determination of acetylcholinesterase activity. Biochem Pharmacol 7</w:t>
      </w:r>
    </w:p>
    <w:p w14:paraId="310293B5" w14:textId="77777777" w:rsidR="00B85DDB" w:rsidRPr="00A15A45" w:rsidRDefault="00B85DDB" w:rsidP="00B85DDB">
      <w:pPr>
        <w:widowControl w:val="0"/>
        <w:autoSpaceDE w:val="0"/>
        <w:autoSpaceDN w:val="0"/>
        <w:adjustRightInd w:val="0"/>
        <w:ind w:left="480" w:hanging="480"/>
        <w:rPr>
          <w:noProof/>
        </w:rPr>
      </w:pPr>
      <w:r w:rsidRPr="00A15A45">
        <w:rPr>
          <w:noProof/>
        </w:rPr>
        <w:t>Le Bihanic F</w:t>
      </w:r>
      <w:r>
        <w:rPr>
          <w:noProof/>
        </w:rPr>
        <w:t>.</w:t>
      </w:r>
      <w:r w:rsidRPr="00A15A45">
        <w:rPr>
          <w:noProof/>
        </w:rPr>
        <w:t>, Morin B</w:t>
      </w:r>
      <w:r>
        <w:rPr>
          <w:noProof/>
        </w:rPr>
        <w:t>.</w:t>
      </w:r>
      <w:r w:rsidRPr="00A15A45">
        <w:rPr>
          <w:noProof/>
        </w:rPr>
        <w:t>, Cousin X</w:t>
      </w:r>
      <w:r>
        <w:rPr>
          <w:noProof/>
        </w:rPr>
        <w:t>.</w:t>
      </w:r>
      <w:r w:rsidRPr="00A15A45">
        <w:rPr>
          <w:noProof/>
        </w:rPr>
        <w:t>,</w:t>
      </w:r>
      <w:r>
        <w:rPr>
          <w:noProof/>
        </w:rPr>
        <w:t xml:space="preserve"> Le Menach K., Budzinski H., Cachot J.,</w:t>
      </w:r>
      <w:r w:rsidRPr="00A15A45">
        <w:rPr>
          <w:noProof/>
        </w:rPr>
        <w:t xml:space="preserve"> (2014) Developmental toxicity of PAH mixtures in fish early life stages. Part I: adverse effects in rainbow trout. Environ Sci Pollut Res 21:13720–13731</w:t>
      </w:r>
    </w:p>
    <w:p w14:paraId="4AE9611E" w14:textId="77777777" w:rsidR="00B85DDB" w:rsidRDefault="00B85DDB" w:rsidP="00B85DDB">
      <w:pPr>
        <w:widowControl w:val="0"/>
        <w:autoSpaceDE w:val="0"/>
        <w:autoSpaceDN w:val="0"/>
        <w:adjustRightInd w:val="0"/>
        <w:ind w:left="480" w:hanging="480"/>
        <w:rPr>
          <w:noProof/>
        </w:rPr>
      </w:pPr>
      <w:r w:rsidRPr="00A15A45">
        <w:rPr>
          <w:noProof/>
        </w:rPr>
        <w:t>Weeks Santos S</w:t>
      </w:r>
      <w:r>
        <w:rPr>
          <w:noProof/>
        </w:rPr>
        <w:t>.</w:t>
      </w:r>
      <w:r w:rsidRPr="00A15A45">
        <w:rPr>
          <w:noProof/>
        </w:rPr>
        <w:t>, Gonzalez P</w:t>
      </w:r>
      <w:r>
        <w:rPr>
          <w:noProof/>
        </w:rPr>
        <w:t>.</w:t>
      </w:r>
      <w:r w:rsidRPr="00A15A45">
        <w:rPr>
          <w:noProof/>
        </w:rPr>
        <w:t>, Cormier B</w:t>
      </w:r>
      <w:r>
        <w:rPr>
          <w:noProof/>
        </w:rPr>
        <w:t>.</w:t>
      </w:r>
      <w:r w:rsidRPr="00A15A45">
        <w:rPr>
          <w:noProof/>
        </w:rPr>
        <w:t>,</w:t>
      </w:r>
      <w:r>
        <w:rPr>
          <w:noProof/>
        </w:rPr>
        <w:t xml:space="preserve"> Mazzella N., Bonnaud B., Morin S., Clérandeau C., Morin B., Cachot J., </w:t>
      </w:r>
      <w:r w:rsidRPr="00A15A45">
        <w:rPr>
          <w:noProof/>
        </w:rPr>
        <w:t xml:space="preserve">(2019) A glyphosate-based herbicide induces sub-lethal effects in early life stages and liver cell line of rainbow trout, Oncorhynchus mykiss. Aquat Toxicol </w:t>
      </w:r>
      <w:r w:rsidRPr="00A15A45">
        <w:rPr>
          <w:noProof/>
        </w:rPr>
        <w:lastRenderedPageBreak/>
        <w:t>216:105291</w:t>
      </w:r>
    </w:p>
    <w:p w14:paraId="27CDDA9B" w14:textId="7C1F365F" w:rsidR="007F539C" w:rsidRPr="007F539C" w:rsidRDefault="00B85DDB" w:rsidP="00B85DDB">
      <w:pPr>
        <w:widowControl w:val="0"/>
        <w:autoSpaceDE w:val="0"/>
        <w:autoSpaceDN w:val="0"/>
        <w:adjustRightInd w:val="0"/>
        <w:ind w:left="480" w:hanging="480"/>
        <w:rPr>
          <w:noProof/>
        </w:rPr>
      </w:pPr>
      <w:r w:rsidRPr="004546F6">
        <w:rPr>
          <w:noProof/>
        </w:rPr>
        <w:t xml:space="preserve">Weeks Santos S., Gonzalez P., Mazzella N., Moreira A., Clérandeau C., Morin B., Cachot J., </w:t>
      </w:r>
      <w:r w:rsidRPr="00324548">
        <w:rPr>
          <w:noProof/>
        </w:rPr>
        <w:t>(2021)</w:t>
      </w:r>
      <w:r w:rsidRPr="004546F6">
        <w:rPr>
          <w:noProof/>
        </w:rPr>
        <w:t xml:space="preserve"> </w:t>
      </w:r>
      <w:r w:rsidRPr="00247EAB">
        <w:rPr>
          <w:noProof/>
        </w:rPr>
        <w:t>Sub-chronic exposure to environmental concentrations of chlorpyrifos affect swimming activity of rainbow trout larvae</w:t>
      </w:r>
      <w:r>
        <w:rPr>
          <w:noProof/>
        </w:rPr>
        <w:t xml:space="preserve">. </w:t>
      </w:r>
      <w:r w:rsidRPr="004546F6">
        <w:rPr>
          <w:noProof/>
        </w:rPr>
        <w:t>Environmental Toxicology and Chemistry</w:t>
      </w:r>
      <w:r>
        <w:rPr>
          <w:noProof/>
        </w:rPr>
        <w:t xml:space="preserve"> in press</w:t>
      </w:r>
    </w:p>
    <w:sectPr w:rsidR="007F539C" w:rsidRPr="007F53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8787" w14:textId="77777777" w:rsidR="00401CEC" w:rsidRDefault="00401CEC" w:rsidP="00202490">
      <w:pPr>
        <w:spacing w:after="0" w:line="240" w:lineRule="auto"/>
      </w:pPr>
      <w:r>
        <w:separator/>
      </w:r>
    </w:p>
  </w:endnote>
  <w:endnote w:type="continuationSeparator" w:id="0">
    <w:p w14:paraId="4EEB35F7" w14:textId="77777777" w:rsidR="00401CEC" w:rsidRDefault="00401CEC" w:rsidP="00202490">
      <w:pPr>
        <w:spacing w:after="0" w:line="240" w:lineRule="auto"/>
      </w:pPr>
      <w:r>
        <w:continuationSeparator/>
      </w:r>
    </w:p>
  </w:endnote>
  <w:endnote w:type="continuationNotice" w:id="1">
    <w:p w14:paraId="0D0C1F7F" w14:textId="77777777" w:rsidR="00401CEC" w:rsidRDefault="00401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F31E" w14:textId="77777777" w:rsidR="00401CEC" w:rsidRDefault="00401CEC" w:rsidP="00202490">
      <w:pPr>
        <w:spacing w:after="0" w:line="240" w:lineRule="auto"/>
      </w:pPr>
      <w:r>
        <w:separator/>
      </w:r>
    </w:p>
  </w:footnote>
  <w:footnote w:type="continuationSeparator" w:id="0">
    <w:p w14:paraId="7BA53E59" w14:textId="77777777" w:rsidR="00401CEC" w:rsidRDefault="00401CEC" w:rsidP="00202490">
      <w:pPr>
        <w:spacing w:after="0" w:line="240" w:lineRule="auto"/>
      </w:pPr>
      <w:r>
        <w:continuationSeparator/>
      </w:r>
    </w:p>
  </w:footnote>
  <w:footnote w:type="continuationNotice" w:id="1">
    <w:p w14:paraId="329B3E46" w14:textId="77777777" w:rsidR="00401CEC" w:rsidRDefault="00401C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4F"/>
    <w:multiLevelType w:val="hybridMultilevel"/>
    <w:tmpl w:val="C3DC6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3C2650FD"/>
    <w:multiLevelType w:val="multilevel"/>
    <w:tmpl w:val="C6A8CCEA"/>
    <w:numStyleLink w:val="Headings"/>
  </w:abstractNum>
  <w:num w:numId="1" w16cid:durableId="1347289786">
    <w:abstractNumId w:val="0"/>
  </w:num>
  <w:num w:numId="2" w16cid:durableId="60753683">
    <w:abstractNumId w:val="1"/>
  </w:num>
  <w:num w:numId="3" w16cid:durableId="735128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1E"/>
    <w:rsid w:val="000061B0"/>
    <w:rsid w:val="00013470"/>
    <w:rsid w:val="00042B5F"/>
    <w:rsid w:val="00045E84"/>
    <w:rsid w:val="00051936"/>
    <w:rsid w:val="000579B3"/>
    <w:rsid w:val="00076714"/>
    <w:rsid w:val="000A7E4F"/>
    <w:rsid w:val="000C601A"/>
    <w:rsid w:val="00115336"/>
    <w:rsid w:val="00153AB4"/>
    <w:rsid w:val="00173059"/>
    <w:rsid w:val="00187CA4"/>
    <w:rsid w:val="001D4D6F"/>
    <w:rsid w:val="001D5DBD"/>
    <w:rsid w:val="00202490"/>
    <w:rsid w:val="00206C89"/>
    <w:rsid w:val="002148B9"/>
    <w:rsid w:val="00223EAE"/>
    <w:rsid w:val="00251ECA"/>
    <w:rsid w:val="00253F63"/>
    <w:rsid w:val="002924F9"/>
    <w:rsid w:val="00293296"/>
    <w:rsid w:val="002A4024"/>
    <w:rsid w:val="002F0A82"/>
    <w:rsid w:val="00304B95"/>
    <w:rsid w:val="00330B0C"/>
    <w:rsid w:val="00332CBC"/>
    <w:rsid w:val="00356376"/>
    <w:rsid w:val="00365EC4"/>
    <w:rsid w:val="003A1612"/>
    <w:rsid w:val="003A627E"/>
    <w:rsid w:val="003B3D76"/>
    <w:rsid w:val="003D1D84"/>
    <w:rsid w:val="003D3F3A"/>
    <w:rsid w:val="003E3C60"/>
    <w:rsid w:val="003F0A0B"/>
    <w:rsid w:val="003F2CAD"/>
    <w:rsid w:val="00401CEC"/>
    <w:rsid w:val="004903C4"/>
    <w:rsid w:val="004B4A56"/>
    <w:rsid w:val="005042C0"/>
    <w:rsid w:val="005306AA"/>
    <w:rsid w:val="00557271"/>
    <w:rsid w:val="0056450F"/>
    <w:rsid w:val="00576EB2"/>
    <w:rsid w:val="005959B4"/>
    <w:rsid w:val="005B5381"/>
    <w:rsid w:val="005D49D7"/>
    <w:rsid w:val="005E389A"/>
    <w:rsid w:val="005F4CD7"/>
    <w:rsid w:val="00604D3B"/>
    <w:rsid w:val="0064303C"/>
    <w:rsid w:val="006858EA"/>
    <w:rsid w:val="0069297C"/>
    <w:rsid w:val="00693606"/>
    <w:rsid w:val="0069368C"/>
    <w:rsid w:val="00695876"/>
    <w:rsid w:val="006A0F0C"/>
    <w:rsid w:val="006A48D7"/>
    <w:rsid w:val="006E7FFE"/>
    <w:rsid w:val="006F0554"/>
    <w:rsid w:val="006F42A2"/>
    <w:rsid w:val="006F5665"/>
    <w:rsid w:val="00717703"/>
    <w:rsid w:val="00723431"/>
    <w:rsid w:val="00725756"/>
    <w:rsid w:val="007429D2"/>
    <w:rsid w:val="0074484A"/>
    <w:rsid w:val="007534E0"/>
    <w:rsid w:val="0075766F"/>
    <w:rsid w:val="007778C4"/>
    <w:rsid w:val="00786267"/>
    <w:rsid w:val="0079307B"/>
    <w:rsid w:val="007B335B"/>
    <w:rsid w:val="007F2363"/>
    <w:rsid w:val="007F539C"/>
    <w:rsid w:val="008179CB"/>
    <w:rsid w:val="00823DC3"/>
    <w:rsid w:val="00852B03"/>
    <w:rsid w:val="008D0955"/>
    <w:rsid w:val="008D7305"/>
    <w:rsid w:val="0090226C"/>
    <w:rsid w:val="009051AF"/>
    <w:rsid w:val="00906D78"/>
    <w:rsid w:val="0091174F"/>
    <w:rsid w:val="00941803"/>
    <w:rsid w:val="009813B7"/>
    <w:rsid w:val="00992346"/>
    <w:rsid w:val="009A1E77"/>
    <w:rsid w:val="009F6B52"/>
    <w:rsid w:val="00A26DE2"/>
    <w:rsid w:val="00A27A03"/>
    <w:rsid w:val="00A53A1E"/>
    <w:rsid w:val="00A53CB6"/>
    <w:rsid w:val="00A6505D"/>
    <w:rsid w:val="00A670A0"/>
    <w:rsid w:val="00A724D8"/>
    <w:rsid w:val="00A85656"/>
    <w:rsid w:val="00AA1CC6"/>
    <w:rsid w:val="00AA3423"/>
    <w:rsid w:val="00AC4B74"/>
    <w:rsid w:val="00AD62E0"/>
    <w:rsid w:val="00AE4D6F"/>
    <w:rsid w:val="00AF76C4"/>
    <w:rsid w:val="00B03C75"/>
    <w:rsid w:val="00B44E60"/>
    <w:rsid w:val="00B47FBC"/>
    <w:rsid w:val="00B85DDB"/>
    <w:rsid w:val="00B87A55"/>
    <w:rsid w:val="00BC676E"/>
    <w:rsid w:val="00BD6F1E"/>
    <w:rsid w:val="00C1178B"/>
    <w:rsid w:val="00C27B8F"/>
    <w:rsid w:val="00C60B1A"/>
    <w:rsid w:val="00C823C7"/>
    <w:rsid w:val="00CA6D26"/>
    <w:rsid w:val="00CB10AD"/>
    <w:rsid w:val="00CB4AD2"/>
    <w:rsid w:val="00CD2DA9"/>
    <w:rsid w:val="00D06160"/>
    <w:rsid w:val="00D34C99"/>
    <w:rsid w:val="00D379FE"/>
    <w:rsid w:val="00D42517"/>
    <w:rsid w:val="00D545D9"/>
    <w:rsid w:val="00DA56DA"/>
    <w:rsid w:val="00DA7180"/>
    <w:rsid w:val="00DB0CA5"/>
    <w:rsid w:val="00DD0A41"/>
    <w:rsid w:val="00DE7309"/>
    <w:rsid w:val="00E15E34"/>
    <w:rsid w:val="00E211B7"/>
    <w:rsid w:val="00E22D8E"/>
    <w:rsid w:val="00E54B83"/>
    <w:rsid w:val="00E564BD"/>
    <w:rsid w:val="00E97D3B"/>
    <w:rsid w:val="00EB021E"/>
    <w:rsid w:val="00ED0B39"/>
    <w:rsid w:val="00ED2C0D"/>
    <w:rsid w:val="00EE395D"/>
    <w:rsid w:val="00EF33B1"/>
    <w:rsid w:val="00F00842"/>
    <w:rsid w:val="00F052C8"/>
    <w:rsid w:val="00F10526"/>
    <w:rsid w:val="00F41ABF"/>
    <w:rsid w:val="00F60A3B"/>
    <w:rsid w:val="00FA0125"/>
    <w:rsid w:val="00FC4D41"/>
    <w:rsid w:val="00FD73A6"/>
    <w:rsid w:val="00FE6B47"/>
    <w:rsid w:val="00FF109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94F2C"/>
  <w15:docId w15:val="{3FA0BFAC-5CAE-45C6-8395-4B04C3C3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1E"/>
    <w:pPr>
      <w:spacing w:line="360" w:lineRule="auto"/>
      <w:jc w:val="both"/>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F1E"/>
    <w:rPr>
      <w:color w:val="0563C1" w:themeColor="hyperlink"/>
      <w:u w:val="single"/>
    </w:rPr>
  </w:style>
  <w:style w:type="character" w:styleId="CommentReference">
    <w:name w:val="annotation reference"/>
    <w:basedOn w:val="DefaultParagraphFont"/>
    <w:uiPriority w:val="99"/>
    <w:semiHidden/>
    <w:unhideWhenUsed/>
    <w:rsid w:val="00BD6F1E"/>
    <w:rPr>
      <w:sz w:val="16"/>
      <w:szCs w:val="16"/>
    </w:rPr>
  </w:style>
  <w:style w:type="paragraph" w:styleId="CommentText">
    <w:name w:val="annotation text"/>
    <w:basedOn w:val="Normal"/>
    <w:link w:val="CommentTextChar"/>
    <w:uiPriority w:val="99"/>
    <w:unhideWhenUsed/>
    <w:rsid w:val="00BD6F1E"/>
    <w:pPr>
      <w:spacing w:before="120" w:after="240" w:line="240" w:lineRule="auto"/>
    </w:pPr>
    <w:rPr>
      <w:sz w:val="20"/>
      <w:szCs w:val="20"/>
    </w:rPr>
  </w:style>
  <w:style w:type="character" w:customStyle="1" w:styleId="CommentTextChar">
    <w:name w:val="Comment Text Char"/>
    <w:basedOn w:val="DefaultParagraphFont"/>
    <w:link w:val="CommentText"/>
    <w:uiPriority w:val="99"/>
    <w:rsid w:val="00BD6F1E"/>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1E"/>
    <w:rPr>
      <w:rFonts w:ascii="Segoe UI" w:hAnsi="Segoe UI" w:cs="Segoe UI"/>
      <w:sz w:val="18"/>
      <w:szCs w:val="18"/>
      <w:lang w:val="en-US"/>
    </w:rPr>
  </w:style>
  <w:style w:type="paragraph" w:styleId="Caption">
    <w:name w:val="caption"/>
    <w:basedOn w:val="Normal"/>
    <w:next w:val="NoSpacing"/>
    <w:link w:val="CaptionChar"/>
    <w:uiPriority w:val="35"/>
    <w:unhideWhenUsed/>
    <w:qFormat/>
    <w:rsid w:val="00BD6F1E"/>
    <w:pPr>
      <w:keepNext/>
      <w:spacing w:before="120" w:after="360" w:line="240" w:lineRule="auto"/>
    </w:pPr>
    <w:rPr>
      <w:b/>
      <w:bCs/>
      <w:i/>
      <w:sz w:val="20"/>
    </w:rPr>
  </w:style>
  <w:style w:type="character" w:customStyle="1" w:styleId="CaptionChar">
    <w:name w:val="Caption Char"/>
    <w:basedOn w:val="DefaultParagraphFont"/>
    <w:link w:val="Caption"/>
    <w:uiPriority w:val="35"/>
    <w:rsid w:val="00BD6F1E"/>
    <w:rPr>
      <w:rFonts w:ascii="Times New Roman" w:hAnsi="Times New Roman" w:cs="Times New Roman"/>
      <w:b/>
      <w:bCs/>
      <w:i/>
      <w:sz w:val="20"/>
      <w:szCs w:val="24"/>
      <w:lang w:val="en-US"/>
    </w:rPr>
  </w:style>
  <w:style w:type="paragraph" w:styleId="NoSpacing">
    <w:name w:val="No Spacing"/>
    <w:uiPriority w:val="1"/>
    <w:qFormat/>
    <w:rsid w:val="00BD6F1E"/>
    <w:pPr>
      <w:spacing w:after="0" w:line="240" w:lineRule="auto"/>
      <w:jc w:val="both"/>
    </w:pPr>
    <w:rPr>
      <w:rFonts w:ascii="Times New Roman" w:hAnsi="Times New Roman" w:cs="Times New Roman"/>
      <w:sz w:val="24"/>
      <w:szCs w:val="24"/>
      <w:lang w:val="en-US"/>
    </w:rPr>
  </w:style>
  <w:style w:type="table" w:styleId="TableGrid">
    <w:name w:val="Table Grid"/>
    <w:basedOn w:val="TableNormal"/>
    <w:uiPriority w:val="39"/>
    <w:rsid w:val="00823DC3"/>
    <w:pPr>
      <w:spacing w:after="0" w:line="240" w:lineRule="auto"/>
    </w:pPr>
    <w:rPr>
      <w:rFonts w:asciiTheme="majorHAnsi" w:hAnsiTheme="majorHAns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2B5F"/>
    <w:pPr>
      <w:spacing w:before="0" w:after="160"/>
    </w:pPr>
    <w:rPr>
      <w:b/>
      <w:bCs/>
    </w:rPr>
  </w:style>
  <w:style w:type="character" w:customStyle="1" w:styleId="CommentSubjectChar">
    <w:name w:val="Comment Subject Char"/>
    <w:basedOn w:val="CommentTextChar"/>
    <w:link w:val="CommentSubject"/>
    <w:uiPriority w:val="99"/>
    <w:semiHidden/>
    <w:rsid w:val="00042B5F"/>
    <w:rPr>
      <w:rFonts w:ascii="Times New Roman" w:hAnsi="Times New Roman" w:cs="Times New Roman"/>
      <w:b/>
      <w:bCs/>
      <w:sz w:val="20"/>
      <w:szCs w:val="20"/>
      <w:lang w:val="en-US"/>
    </w:rPr>
  </w:style>
  <w:style w:type="paragraph" w:customStyle="1" w:styleId="EndNoteBibliography">
    <w:name w:val="EndNote Bibliography"/>
    <w:basedOn w:val="Normal"/>
    <w:link w:val="EndNoteBibliographyCar"/>
    <w:rsid w:val="007534E0"/>
    <w:pPr>
      <w:spacing w:line="240" w:lineRule="auto"/>
      <w:jc w:val="left"/>
    </w:pPr>
    <w:rPr>
      <w:noProof/>
    </w:rPr>
  </w:style>
  <w:style w:type="character" w:customStyle="1" w:styleId="EndNoteBibliographyCar">
    <w:name w:val="EndNote Bibliography Car"/>
    <w:basedOn w:val="DefaultParagraphFont"/>
    <w:link w:val="EndNoteBibliography"/>
    <w:rsid w:val="007534E0"/>
    <w:rPr>
      <w:rFonts w:ascii="Times New Roman" w:hAnsi="Times New Roman" w:cs="Times New Roman"/>
      <w:noProof/>
      <w:sz w:val="24"/>
      <w:szCs w:val="24"/>
      <w:lang w:val="en-US"/>
    </w:rPr>
  </w:style>
  <w:style w:type="paragraph" w:styleId="Header">
    <w:name w:val="header"/>
    <w:basedOn w:val="Normal"/>
    <w:link w:val="HeaderChar"/>
    <w:uiPriority w:val="99"/>
    <w:semiHidden/>
    <w:unhideWhenUsed/>
    <w:rsid w:val="005306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6AA"/>
    <w:rPr>
      <w:rFonts w:ascii="Times New Roman" w:hAnsi="Times New Roman" w:cs="Times New Roman"/>
      <w:sz w:val="24"/>
      <w:szCs w:val="24"/>
      <w:lang w:val="en-US"/>
    </w:rPr>
  </w:style>
  <w:style w:type="paragraph" w:styleId="Footer">
    <w:name w:val="footer"/>
    <w:basedOn w:val="Normal"/>
    <w:link w:val="FooterChar"/>
    <w:uiPriority w:val="99"/>
    <w:semiHidden/>
    <w:unhideWhenUsed/>
    <w:rsid w:val="005306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6AA"/>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2F0A82"/>
    <w:pPr>
      <w:ind w:left="720"/>
      <w:contextualSpacing/>
    </w:pPr>
    <w:rPr>
      <w:rFonts w:eastAsia="Calibri"/>
    </w:rPr>
  </w:style>
  <w:style w:type="character" w:customStyle="1" w:styleId="ListParagraphChar">
    <w:name w:val="List Paragraph Char"/>
    <w:link w:val="ListParagraph"/>
    <w:uiPriority w:val="34"/>
    <w:rsid w:val="002F0A82"/>
    <w:rPr>
      <w:rFonts w:ascii="Times New Roman" w:eastAsia="Calibri" w:hAnsi="Times New Roman" w:cs="Times New Roman"/>
      <w:sz w:val="24"/>
      <w:szCs w:val="24"/>
      <w:lang w:val="en-US"/>
    </w:rPr>
  </w:style>
  <w:style w:type="numbering" w:customStyle="1" w:styleId="Headings">
    <w:name w:val="Headings"/>
    <w:uiPriority w:val="99"/>
    <w:rsid w:val="00E15E34"/>
    <w:pPr>
      <w:numPr>
        <w:numId w:val="2"/>
      </w:numPr>
    </w:pPr>
  </w:style>
  <w:style w:type="character" w:customStyle="1" w:styleId="UnresolvedMention1">
    <w:name w:val="Unresolved Mention1"/>
    <w:basedOn w:val="DefaultParagraphFont"/>
    <w:uiPriority w:val="99"/>
    <w:semiHidden/>
    <w:unhideWhenUsed/>
    <w:rsid w:val="00695876"/>
    <w:rPr>
      <w:color w:val="605E5C"/>
      <w:shd w:val="clear" w:color="auto" w:fill="E1DFDD"/>
    </w:rPr>
  </w:style>
  <w:style w:type="paragraph" w:styleId="Revision">
    <w:name w:val="Revision"/>
    <w:hidden/>
    <w:uiPriority w:val="99"/>
    <w:semiHidden/>
    <w:rsid w:val="00D545D9"/>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1156</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 Bordeaux CNRS OASU</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 CORMIER</dc:creator>
  <cp:lastModifiedBy>Bettie Cormier</cp:lastModifiedBy>
  <cp:revision>2</cp:revision>
  <cp:lastPrinted>2022-01-27T16:40:00Z</cp:lastPrinted>
  <dcterms:created xsi:type="dcterms:W3CDTF">2022-06-28T14:10:00Z</dcterms:created>
  <dcterms:modified xsi:type="dcterms:W3CDTF">2022-06-28T14:10:00Z</dcterms:modified>
</cp:coreProperties>
</file>