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C9F5" w14:textId="77777777" w:rsidR="007B06AF" w:rsidRPr="00B862EA" w:rsidRDefault="007B06AF" w:rsidP="007B06AF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862EA">
        <w:rPr>
          <w:rFonts w:ascii="Times New Roman" w:hAnsi="Times New Roman" w:cs="Times New Roman"/>
          <w:b/>
          <w:bCs/>
          <w:sz w:val="32"/>
          <w:szCs w:val="32"/>
          <w:lang w:val="en-US"/>
        </w:rPr>
        <w:t>Determinants of haemosporidian single- and co-infection risks in western Palearctic birds</w:t>
      </w:r>
    </w:p>
    <w:p w14:paraId="736B8A6B" w14:textId="77777777" w:rsidR="00F93FEC" w:rsidRPr="001B2656" w:rsidRDefault="00F93FEC" w:rsidP="00F93FE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</w:pP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Romain Pigeault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a,b,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,*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Mathieu Chevalier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a,c,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1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Camille-Sophie Cozzarolo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d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Molly Baur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Mathilde Arlettaz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Alice Cibois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e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André Keiser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f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Antoine Guisan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Philippe Christe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a,2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Olivier Glaizot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f,2</w:t>
      </w:r>
    </w:p>
    <w:p w14:paraId="7FAA1EC8" w14:textId="77777777" w:rsidR="00F93FEC" w:rsidRPr="001B2656" w:rsidRDefault="00F93FEC" w:rsidP="00F93F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Department of Ecology and Evolution, CH-1015 Lausanne, Switzerland</w:t>
      </w:r>
    </w:p>
    <w:p w14:paraId="3C6BDEDC" w14:textId="77777777" w:rsidR="00F93FEC" w:rsidRPr="001B2656" w:rsidRDefault="00F93FEC" w:rsidP="00F93FE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b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>Laboratoire EBI, Equipe EES, UMR CNRS 7267, 86000 Poitiers, France</w:t>
      </w:r>
    </w:p>
    <w:p w14:paraId="11516FAC" w14:textId="77777777" w:rsidR="00F93FEC" w:rsidRPr="001B2656" w:rsidRDefault="00F93FEC" w:rsidP="00F93F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c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>Ifremer, Centre de Bretagne, DYNECO-LEBCO, CS 10070, 29280 Plouzané, France</w:t>
      </w:r>
    </w:p>
    <w:p w14:paraId="7C35D37A" w14:textId="77777777" w:rsidR="00F93FEC" w:rsidRPr="001B2656" w:rsidRDefault="00F93FEC" w:rsidP="00F93F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d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>Biogéosciences, UMR 6282 CNRS, université Bourgogne Franche-Comté, 6 boulevard Gabriel, 21000 Dijon, France</w:t>
      </w:r>
    </w:p>
    <w:p w14:paraId="37FEDFCA" w14:textId="77777777" w:rsidR="00F93FEC" w:rsidRPr="005466EA" w:rsidRDefault="00F93FEC" w:rsidP="00F93FEC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Natural History Museum of Geneva, C.P. 6434, CH-1211 Genève 6, Switzerland</w:t>
      </w:r>
    </w:p>
    <w:p w14:paraId="47DC1496" w14:textId="77777777" w:rsidR="00F93FEC" w:rsidRPr="005466EA" w:rsidRDefault="00F93FEC" w:rsidP="00F93FEC">
      <w:pPr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f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 xml:space="preserve">Musée cantonal de zoologie,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CH-1014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>Lausanne, Switzerland</w:t>
      </w:r>
    </w:p>
    <w:p w14:paraId="610E8DEA" w14:textId="77777777" w:rsidR="00F93FEC" w:rsidRPr="001B2656" w:rsidRDefault="00F93FEC" w:rsidP="00F93FE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1B2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These authors contributed equally to this work</w:t>
      </w:r>
    </w:p>
    <w:p w14:paraId="06673888" w14:textId="77777777" w:rsidR="00F93FEC" w:rsidRPr="001B2656" w:rsidRDefault="00F93FEC" w:rsidP="00F93F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</w:rPr>
        <w:t>These authors share senior authorship</w:t>
      </w:r>
    </w:p>
    <w:p w14:paraId="40F069CF" w14:textId="77777777" w:rsidR="00F93FEC" w:rsidRDefault="00F93FEC" w:rsidP="00F93F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66EA">
        <w:rPr>
          <w:rFonts w:eastAsia="Times New Roman" w:cs="Arial"/>
          <w:bCs/>
          <w:color w:val="000000" w:themeColor="text1"/>
          <w:sz w:val="24"/>
          <w:szCs w:val="24"/>
          <w:lang w:eastAsia="fr-CH"/>
        </w:rPr>
        <w:t>*Corresponding author.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Romain Pigeault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</w:p>
    <w:p w14:paraId="62181113" w14:textId="77777777" w:rsidR="00F93FEC" w:rsidRDefault="00F93FEC" w:rsidP="00F93F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+33 (0)5 49 45 37 30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Fax: +33 (0)5 49 45 40 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5053EECD" w14:textId="383C63D4" w:rsidR="00F93FEC" w:rsidRPr="001B2656" w:rsidRDefault="00F93FEC" w:rsidP="00F93F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E-mail address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romain.pigeault@univ-poitiers.fr</w:t>
      </w:r>
    </w:p>
    <w:p w14:paraId="13988709" w14:textId="77777777" w:rsidR="00F70695" w:rsidRPr="00EC6926" w:rsidRDefault="00F70695" w:rsidP="00F70695">
      <w:pPr>
        <w:spacing w:line="276" w:lineRule="auto"/>
        <w:rPr>
          <w:rFonts w:ascii="Times New Roman" w:hAnsi="Times New Roman" w:cs="Times New Roman"/>
          <w:sz w:val="10"/>
          <w:szCs w:val="24"/>
          <w:lang w:val="en-US"/>
        </w:rPr>
      </w:pPr>
    </w:p>
    <w:p w14:paraId="5D812B61" w14:textId="4DEF91B1" w:rsidR="00F70695" w:rsidRDefault="00046004" w:rsidP="00F706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44"/>
        </w:rPr>
        <w:t>Supplementary Data S1.</w:t>
      </w:r>
    </w:p>
    <w:p w14:paraId="3F6A012E" w14:textId="7AB5130F" w:rsidR="00F70695" w:rsidRPr="00345595" w:rsidRDefault="00046004" w:rsidP="00F70695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455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1. </w:t>
      </w:r>
      <w:r w:rsidR="00E03C31" w:rsidRPr="003455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</w:t>
      </w:r>
      <w:r w:rsidR="00F70695" w:rsidRPr="003455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arasite detection</w:t>
      </w:r>
    </w:p>
    <w:p w14:paraId="60BC0C7D" w14:textId="564601B0" w:rsidR="00F70695" w:rsidRDefault="00F70695" w:rsidP="00CA79CE">
      <w:pPr>
        <w:spacing w:after="100" w:afterAutospacing="1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826">
        <w:rPr>
          <w:rFonts w:ascii="Times New Roman" w:hAnsi="Times New Roman" w:cs="Times New Roman"/>
          <w:sz w:val="24"/>
          <w:szCs w:val="24"/>
          <w:lang w:val="en-US"/>
        </w:rPr>
        <w:t>For each individual,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haemosporidian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>arasites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i.e. </w:t>
      </w:r>
      <w:r w:rsidRPr="000818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Haemoproteus, Leucocytozoon 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818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Plasmodium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were detected from tissue samples using molecular methods. </w:t>
      </w:r>
      <w:r w:rsidRPr="00C334A8">
        <w:rPr>
          <w:rFonts w:ascii="Times New Roman" w:hAnsi="Times New Roman" w:cs="Times New Roman"/>
          <w:sz w:val="24"/>
          <w:szCs w:val="24"/>
          <w:lang w:val="en-US"/>
        </w:rPr>
        <w:t xml:space="preserve">Specifically, </w:t>
      </w:r>
      <w:r w:rsidRPr="008D63A7">
        <w:rPr>
          <w:rFonts w:ascii="Times New Roman" w:hAnsi="Times New Roman" w:cs="Times New Roman"/>
          <w:sz w:val="24"/>
          <w:szCs w:val="24"/>
          <w:lang w:val="en-US"/>
        </w:rPr>
        <w:t xml:space="preserve">a nested PCR targeting a fragment of </w:t>
      </w:r>
      <w:r w:rsidRPr="008D63A7">
        <w:rPr>
          <w:rFonts w:ascii="Times New Roman" w:hAnsi="Times New Roman" w:cs="Times New Roman"/>
          <w:sz w:val="24"/>
          <w:lang w:val="en-US"/>
        </w:rPr>
        <w:t>cytochrome b gene of the parasite mitochondrial genome</w:t>
      </w:r>
      <w:r w:rsidRPr="008D63A7">
        <w:rPr>
          <w:sz w:val="24"/>
          <w:lang w:val="en-US"/>
        </w:rPr>
        <w:t xml:space="preserve"> </w:t>
      </w:r>
      <w:r w:rsidRPr="003A48F8">
        <w:rPr>
          <w:rFonts w:ascii="Calibri" w:hAnsi="Calibri" w:cs="Calibri"/>
          <w:sz w:val="24"/>
        </w:rPr>
        <w:t>(</w:t>
      </w:r>
      <w:r w:rsidRPr="00345595">
        <w:rPr>
          <w:rFonts w:ascii="Times New Roman" w:hAnsi="Times New Roman" w:cs="Times New Roman"/>
          <w:sz w:val="24"/>
          <w:szCs w:val="24"/>
          <w:lang w:val="en-US"/>
        </w:rPr>
        <w:t>Hellgren et al., 2004)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was performed in triplicate on all samples after DNA was extracted from 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lastRenderedPageBreak/>
        <w:t>tissues using a DNeasy Blood &amp; Tissue Kit (Qiagen, Switzerland) following the manufacturer's instructions. Nested PCR products were visualized on agarose gels after electrophoresis to identify infected samples.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>This nested PCR protocol does not allow discriminat</w:t>
      </w:r>
      <w:r w:rsidR="000752FF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Pr="008D63A7">
        <w:rPr>
          <w:rFonts w:ascii="Times New Roman" w:hAnsi="Times New Roman" w:cs="Times New Roman"/>
          <w:i/>
          <w:sz w:val="24"/>
          <w:szCs w:val="24"/>
          <w:lang w:val="en-US"/>
        </w:rPr>
        <w:t>Plasmodium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D63A7">
        <w:rPr>
          <w:rFonts w:ascii="Times New Roman" w:hAnsi="Times New Roman" w:cs="Times New Roman"/>
          <w:i/>
          <w:sz w:val="24"/>
          <w:szCs w:val="24"/>
          <w:lang w:val="en-US"/>
        </w:rPr>
        <w:t>Haemoproteus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infections, nor detect</w:t>
      </w:r>
      <w:r w:rsidR="000752FF">
        <w:rPr>
          <w:rFonts w:ascii="Times New Roman" w:hAnsi="Times New Roman" w:cs="Times New Roman"/>
          <w:sz w:val="24"/>
          <w:szCs w:val="24"/>
          <w:lang w:val="en-US"/>
        </w:rPr>
        <w:t>ion of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co-infections </w:t>
      </w:r>
      <w:r w:rsidR="000752F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752FF"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these two genera of parasites. Therefore, all positive samples were sequenced in both directions as in </w:t>
      </w:r>
      <w:r w:rsidRPr="003A48F8">
        <w:rPr>
          <w:rFonts w:ascii="Times New Roman" w:hAnsi="Times New Roman" w:cs="Times New Roman"/>
          <w:sz w:val="24"/>
        </w:rPr>
        <w:t xml:space="preserve">Rooyen et al. </w:t>
      </w:r>
      <w:r w:rsidR="000752FF">
        <w:rPr>
          <w:rFonts w:ascii="Times New Roman" w:hAnsi="Times New Roman" w:cs="Times New Roman"/>
          <w:sz w:val="24"/>
        </w:rPr>
        <w:t>(</w:t>
      </w:r>
      <w:r w:rsidRPr="003A48F8">
        <w:rPr>
          <w:rFonts w:ascii="Times New Roman" w:hAnsi="Times New Roman" w:cs="Times New Roman"/>
          <w:sz w:val="24"/>
        </w:rPr>
        <w:t>2013)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parasite 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>genera were then identified by performing a local BLAST search in the MalAvi database (</w:t>
      </w:r>
      <w:r w:rsidRPr="00345595">
        <w:rPr>
          <w:rFonts w:ascii="Times New Roman" w:hAnsi="Times New Roman" w:cs="Times New Roman"/>
          <w:sz w:val="24"/>
          <w:szCs w:val="24"/>
          <w:u w:val="single"/>
          <w:lang w:val="en-US"/>
        </w:rPr>
        <w:t>http://mbio-serv2.mbioekol.lu.se/Malavi/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48F8">
        <w:rPr>
          <w:rFonts w:ascii="Times New Roman" w:hAnsi="Times New Roman" w:cs="Times New Roman"/>
          <w:sz w:val="24"/>
        </w:rPr>
        <w:t>(Bensch et al., 2009)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A37F75">
        <w:rPr>
          <w:rFonts w:ascii="Times New Roman" w:hAnsi="Times New Roman" w:cs="Times New Roman"/>
          <w:sz w:val="24"/>
          <w:szCs w:val="24"/>
          <w:lang w:val="en-US"/>
        </w:rPr>
        <w:t xml:space="preserve">Eighteen samples </w:t>
      </w:r>
      <w:r w:rsidR="00703430">
        <w:rPr>
          <w:rFonts w:ascii="Times New Roman" w:hAnsi="Times New Roman" w:cs="Times New Roman"/>
          <w:sz w:val="24"/>
          <w:szCs w:val="24"/>
          <w:lang w:val="en-US"/>
        </w:rPr>
        <w:t xml:space="preserve">positive to </w:t>
      </w:r>
      <w:r w:rsidR="00703430" w:rsidRPr="008D63A7">
        <w:rPr>
          <w:rFonts w:ascii="Times New Roman" w:hAnsi="Times New Roman" w:cs="Times New Roman"/>
          <w:i/>
          <w:sz w:val="24"/>
          <w:szCs w:val="24"/>
          <w:lang w:val="en-US"/>
        </w:rPr>
        <w:t>Plasmodium</w:t>
      </w:r>
      <w:r w:rsidR="00703430"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03430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="00703430"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430" w:rsidRPr="008D63A7">
        <w:rPr>
          <w:rFonts w:ascii="Times New Roman" w:hAnsi="Times New Roman" w:cs="Times New Roman"/>
          <w:i/>
          <w:sz w:val="24"/>
          <w:szCs w:val="24"/>
          <w:lang w:val="en-US"/>
        </w:rPr>
        <w:t>Haemoproteus</w:t>
      </w:r>
      <w:r w:rsidR="00703430"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430">
        <w:rPr>
          <w:rFonts w:ascii="Times New Roman" w:hAnsi="Times New Roman" w:cs="Times New Roman"/>
          <w:sz w:val="24"/>
          <w:szCs w:val="24"/>
          <w:lang w:val="en-US"/>
        </w:rPr>
        <w:t xml:space="preserve">infection </w:t>
      </w:r>
      <w:r w:rsidRPr="00A37F75">
        <w:rPr>
          <w:rFonts w:ascii="Times New Roman" w:hAnsi="Times New Roman" w:cs="Times New Roman"/>
          <w:sz w:val="24"/>
          <w:szCs w:val="24"/>
          <w:lang w:val="en-US"/>
        </w:rPr>
        <w:t xml:space="preserve">showed double nucleotide peaks on the sequence chromatographs and were manually analyzed to discern mixed </w:t>
      </w:r>
      <w:r w:rsidR="00827C53">
        <w:rPr>
          <w:rFonts w:ascii="Times New Roman" w:hAnsi="Times New Roman" w:cs="Times New Roman"/>
          <w:sz w:val="24"/>
          <w:szCs w:val="24"/>
          <w:lang w:val="en-US"/>
        </w:rPr>
        <w:t xml:space="preserve">lineage </w:t>
      </w:r>
      <w:r w:rsidRPr="00A37F75">
        <w:rPr>
          <w:rFonts w:ascii="Times New Roman" w:hAnsi="Times New Roman" w:cs="Times New Roman"/>
          <w:sz w:val="24"/>
          <w:szCs w:val="24"/>
          <w:lang w:val="en-US"/>
        </w:rPr>
        <w:t xml:space="preserve">infection (i.e. concurrent infection with parasites from more than one lineage of the same genus) </w:t>
      </w:r>
      <w:r w:rsidR="0070343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37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C53">
        <w:rPr>
          <w:rFonts w:ascii="Times New Roman" w:hAnsi="Times New Roman" w:cs="Times New Roman"/>
          <w:sz w:val="24"/>
          <w:szCs w:val="24"/>
          <w:lang w:val="en-US"/>
        </w:rPr>
        <w:t>co-</w:t>
      </w:r>
      <w:r w:rsidRPr="00A37F75">
        <w:rPr>
          <w:rFonts w:ascii="Times New Roman" w:hAnsi="Times New Roman" w:cs="Times New Roman"/>
          <w:sz w:val="24"/>
          <w:szCs w:val="24"/>
          <w:lang w:val="en-US"/>
        </w:rPr>
        <w:t xml:space="preserve">infection by </w:t>
      </w:r>
      <w:r w:rsidRPr="008D63A7">
        <w:rPr>
          <w:rFonts w:ascii="Times New Roman" w:hAnsi="Times New Roman" w:cs="Times New Roman"/>
          <w:i/>
          <w:sz w:val="24"/>
          <w:szCs w:val="24"/>
          <w:lang w:val="en-US"/>
        </w:rPr>
        <w:t>Haemoproteus</w:t>
      </w:r>
      <w:r w:rsidRPr="00A37F7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D63A7">
        <w:rPr>
          <w:rFonts w:ascii="Times New Roman" w:hAnsi="Times New Roman" w:cs="Times New Roman"/>
          <w:i/>
          <w:sz w:val="24"/>
          <w:szCs w:val="24"/>
          <w:lang w:val="en-US"/>
        </w:rPr>
        <w:t>Plasmodium</w:t>
      </w:r>
      <w:r w:rsidR="00827C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27C53">
        <w:rPr>
          <w:rFonts w:ascii="Times New Roman" w:hAnsi="Times New Roman" w:cs="Times New Roman"/>
          <w:sz w:val="24"/>
          <w:szCs w:val="24"/>
          <w:lang w:val="en-US"/>
        </w:rPr>
        <w:t>(i.e. mixed-genera infection)</w:t>
      </w:r>
      <w:r w:rsidRPr="00A37F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45A6">
        <w:rPr>
          <w:rFonts w:ascii="Times New Roman" w:hAnsi="Times New Roman" w:cs="Times New Roman"/>
          <w:sz w:val="24"/>
          <w:szCs w:val="24"/>
          <w:lang w:val="en-US"/>
        </w:rPr>
        <w:t xml:space="preserve"> We re-amplified and re-sequenced all samples for which the chromatograph could not reliably identify the parasite sequences.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 Birds not infected by any parasites were classified as “not infected”, birds infected with a single parasite genus were classified as “single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>infect</w:t>
      </w:r>
      <w:r w:rsidR="00827C53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>” and those infected with at least two different genera as “</w:t>
      </w:r>
      <w:r w:rsidR="00827C53">
        <w:rPr>
          <w:rFonts w:ascii="Times New Roman" w:hAnsi="Times New Roman" w:cs="Times New Roman"/>
          <w:sz w:val="24"/>
          <w:szCs w:val="24"/>
          <w:lang w:val="en-US"/>
        </w:rPr>
        <w:t>mixed-genera infection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75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8F8">
        <w:rPr>
          <w:rFonts w:ascii="Times New Roman" w:hAnsi="Times New Roman" w:cs="Times New Roman"/>
          <w:sz w:val="24"/>
        </w:rPr>
        <w:t>(Pigeault et al., 2018)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5F0B9E" w14:textId="77777777" w:rsidR="00046004" w:rsidRPr="00081826" w:rsidRDefault="00046004" w:rsidP="00CA79CE">
      <w:pPr>
        <w:spacing w:after="100" w:afterAutospacing="1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37FBE4" w14:textId="16275391" w:rsidR="00F70695" w:rsidRPr="00345595" w:rsidRDefault="00046004" w:rsidP="00F70695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455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2. </w:t>
      </w:r>
      <w:r w:rsidR="00F70695" w:rsidRPr="003455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Species attributes</w:t>
      </w:r>
    </w:p>
    <w:p w14:paraId="63C7238E" w14:textId="091DCC35" w:rsidR="00E03C31" w:rsidRPr="00345595" w:rsidRDefault="00046004" w:rsidP="00345595">
      <w:pPr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4559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2.1. </w:t>
      </w:r>
      <w:r w:rsidR="00060179" w:rsidRPr="00345595">
        <w:rPr>
          <w:rFonts w:ascii="Times New Roman" w:hAnsi="Times New Roman" w:cs="Times New Roman"/>
          <w:bCs/>
          <w:i/>
          <w:sz w:val="24"/>
          <w:szCs w:val="24"/>
          <w:lang w:val="en-US"/>
        </w:rPr>
        <w:t>Species position along the slow-fast continuum of life-history variation</w:t>
      </w:r>
    </w:p>
    <w:p w14:paraId="69ABF499" w14:textId="7BDD7AA8" w:rsidR="00F70695" w:rsidRDefault="00E03C31" w:rsidP="0034559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F70695" w:rsidRPr="00E03C31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Pr="00E03C31">
        <w:rPr>
          <w:rFonts w:ascii="Times New Roman" w:hAnsi="Times New Roman" w:cs="Times New Roman"/>
          <w:sz w:val="24"/>
          <w:szCs w:val="24"/>
          <w:lang w:val="en-US"/>
        </w:rPr>
        <w:t xml:space="preserve">along the slow-fast continuum of life-history variation </w:t>
      </w:r>
      <w:r w:rsidR="00F70695" w:rsidRPr="00E03C31">
        <w:rPr>
          <w:rFonts w:ascii="Times New Roman" w:hAnsi="Times New Roman" w:cs="Times New Roman"/>
          <w:sz w:val="24"/>
          <w:szCs w:val="24"/>
          <w:lang w:val="en-US"/>
        </w:rPr>
        <w:t>was represented by the first axis of a principal component analysis (PCA) performed on nine variables descr</w:t>
      </w:r>
      <w:r w:rsidR="00CA79CE">
        <w:rPr>
          <w:rFonts w:ascii="Times New Roman" w:hAnsi="Times New Roman" w:cs="Times New Roman"/>
          <w:sz w:val="24"/>
          <w:szCs w:val="24"/>
          <w:lang w:val="en-US"/>
        </w:rPr>
        <w:t>ibing bird reproductive traits (</w:t>
      </w:r>
      <w:r w:rsidR="00F70695" w:rsidRPr="00E03C31">
        <w:rPr>
          <w:rFonts w:ascii="Times New Roman" w:hAnsi="Times New Roman" w:cs="Times New Roman"/>
          <w:sz w:val="24"/>
          <w:szCs w:val="24"/>
          <w:lang w:val="en-US"/>
        </w:rPr>
        <w:t>clutch size, number of broods per year, average length, width and weight of the egg, incubation period, fledging age, age at first breeding and maximum lifespan (</w:t>
      </w:r>
      <w:r w:rsidR="007A414F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F70695" w:rsidRPr="00345595">
        <w:rPr>
          <w:rFonts w:ascii="Times New Roman" w:hAnsi="Times New Roman" w:cs="Times New Roman"/>
          <w:sz w:val="24"/>
          <w:szCs w:val="24"/>
          <w:lang w:val="en-US"/>
        </w:rPr>
        <w:t>Table S1</w:t>
      </w:r>
      <w:r w:rsidR="00F70695" w:rsidRPr="00E03C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A414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0695" w:rsidRPr="00E03C31">
        <w:rPr>
          <w:rFonts w:ascii="Times New Roman" w:hAnsi="Times New Roman" w:cs="Times New Roman"/>
          <w:sz w:val="24"/>
          <w:szCs w:val="24"/>
          <w:lang w:val="en-US"/>
        </w:rPr>
        <w:t xml:space="preserve">. The first axis explained 62.7% of the variability and represented a gradient from fast (negative values) to slow (positive values) life-history </w:t>
      </w:r>
      <w:r w:rsidR="00F70695" w:rsidRPr="00E03C31">
        <w:rPr>
          <w:rFonts w:ascii="Times New Roman" w:hAnsi="Times New Roman" w:cs="Times New Roman"/>
          <w:sz w:val="24"/>
          <w:szCs w:val="24"/>
          <w:lang w:val="en-US"/>
        </w:rPr>
        <w:lastRenderedPageBreak/>
        <w:t>strategies. The variables that contributed most to the construction of this axis were the average length, width and weight of the egg (contributions of the variables: 16.57%, 16.61%, 14.12%</w:t>
      </w:r>
      <w:r w:rsidR="007A41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695" w:rsidRPr="00E03C31">
        <w:rPr>
          <w:rFonts w:ascii="Times New Roman" w:hAnsi="Times New Roman" w:cs="Times New Roman"/>
          <w:sz w:val="24"/>
          <w:szCs w:val="24"/>
          <w:lang w:val="en-US"/>
        </w:rPr>
        <w:t xml:space="preserve"> respectively), the incubation period (14.49%), the fledging age (14.09%) and the age at first breeding (11.29%). </w:t>
      </w:r>
    </w:p>
    <w:p w14:paraId="50474CC0" w14:textId="77777777" w:rsidR="00046004" w:rsidRPr="00CA79CE" w:rsidRDefault="00046004" w:rsidP="00CA79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D36EA6" w14:textId="7D052D96" w:rsidR="00F70695" w:rsidRPr="00345595" w:rsidRDefault="00046004" w:rsidP="0034559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5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2.2. </w:t>
      </w:r>
      <w:r w:rsidR="00F70695" w:rsidRPr="00345595">
        <w:rPr>
          <w:rFonts w:ascii="Times New Roman" w:hAnsi="Times New Roman" w:cs="Times New Roman"/>
          <w:i/>
          <w:sz w:val="24"/>
          <w:szCs w:val="24"/>
          <w:lang w:val="en-US"/>
        </w:rPr>
        <w:t>Climatic niche breadth</w:t>
      </w:r>
      <w:r w:rsidR="00060179" w:rsidRPr="003455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climatic niche position</w:t>
      </w:r>
    </w:p>
    <w:p w14:paraId="3E487A58" w14:textId="3C6135BA" w:rsidR="009A04CD" w:rsidRDefault="00345595" w:rsidP="00345595">
      <w:pPr>
        <w:spacing w:line="480" w:lineRule="auto"/>
        <w:ind w:firstLine="708"/>
        <w:jc w:val="both"/>
      </w:pPr>
      <w:r w:rsidRPr="0034559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E46A6" w:rsidRPr="00345595">
        <w:rPr>
          <w:rFonts w:ascii="Times New Roman" w:hAnsi="Times New Roman" w:cs="Times New Roman"/>
          <w:sz w:val="24"/>
          <w:szCs w:val="24"/>
          <w:lang w:val="en-US"/>
        </w:rPr>
        <w:t>ernel density estimation</w:t>
      </w:r>
      <w:r w:rsidRPr="00345595">
        <w:rPr>
          <w:rFonts w:ascii="Times New Roman" w:hAnsi="Times New Roman" w:cs="Times New Roman"/>
          <w:sz w:val="24"/>
          <w:szCs w:val="24"/>
          <w:lang w:val="en-US"/>
        </w:rPr>
        <w:t xml:space="preserve"> (KDE</w:t>
      </w:r>
      <w:r w:rsidR="009E46A6" w:rsidRPr="0034559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449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>ha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 proved useful to characterize complex and potentially irregular shapes </w:t>
      </w:r>
      <w:r w:rsidR="00F70695" w:rsidRPr="003A48F8">
        <w:rPr>
          <w:rFonts w:ascii="Times New Roman" w:hAnsi="Times New Roman" w:cs="Times New Roman"/>
          <w:sz w:val="24"/>
        </w:rPr>
        <w:t>(Blonder et al., 2014)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>increasingly used to characterize climatic niches (e.g.</w:t>
      </w:r>
      <w:r w:rsidR="00F706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695" w:rsidRPr="003A48F8">
        <w:rPr>
          <w:rFonts w:ascii="Times New Roman" w:hAnsi="Times New Roman" w:cs="Times New Roman"/>
          <w:sz w:val="24"/>
        </w:rPr>
        <w:t>Broennimann et al., 2012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). For each species, the bandwidth of the KDE was estimated from the data using a multivariate generalization of the plug-in bandwidth </w:t>
      </w:r>
      <w:r w:rsidR="00F70695" w:rsidRPr="00345595">
        <w:rPr>
          <w:rFonts w:ascii="Times New Roman" w:hAnsi="Times New Roman" w:cs="Times New Roman"/>
          <w:sz w:val="24"/>
          <w:szCs w:val="24"/>
          <w:lang w:val="en-US"/>
        </w:rPr>
        <w:t xml:space="preserve">selector </w:t>
      </w:r>
      <w:r w:rsidR="00F70695" w:rsidRPr="00345595">
        <w:rPr>
          <w:rFonts w:ascii="Times New Roman" w:hAnsi="Times New Roman" w:cs="Times New Roman"/>
          <w:sz w:val="24"/>
        </w:rPr>
        <w:t>(</w:t>
      </w:r>
      <w:r w:rsidR="009E46A6" w:rsidRPr="00345595">
        <w:rPr>
          <w:rFonts w:ascii="Times New Roman" w:hAnsi="Times New Roman" w:cs="Times New Roman"/>
          <w:sz w:val="24"/>
          <w:szCs w:val="24"/>
          <w:lang w:val="en-US"/>
        </w:rPr>
        <w:t>Hpi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E46A6" w:rsidRPr="00345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695" w:rsidRPr="00345595">
        <w:rPr>
          <w:rFonts w:ascii="Times New Roman" w:hAnsi="Times New Roman" w:cs="Times New Roman"/>
          <w:sz w:val="24"/>
        </w:rPr>
        <w:t>W</w:t>
      </w:r>
      <w:r w:rsidR="009E46A6" w:rsidRPr="00345595">
        <w:rPr>
          <w:rFonts w:ascii="Times New Roman" w:hAnsi="Times New Roman" w:cs="Times New Roman"/>
          <w:sz w:val="24"/>
        </w:rPr>
        <w:t>and</w:t>
      </w:r>
      <w:r w:rsidR="006449BE" w:rsidRPr="00345595">
        <w:rPr>
          <w:rFonts w:ascii="Times New Roman" w:hAnsi="Times New Roman" w:cs="Times New Roman"/>
          <w:sz w:val="24"/>
        </w:rPr>
        <w:t xml:space="preserve"> </w:t>
      </w:r>
      <w:r w:rsidR="00F70695" w:rsidRPr="00345595">
        <w:rPr>
          <w:rFonts w:ascii="Times New Roman" w:hAnsi="Times New Roman" w:cs="Times New Roman"/>
          <w:sz w:val="24"/>
        </w:rPr>
        <w:t>and Jones</w:t>
      </w:r>
      <w:r w:rsidR="00F70695" w:rsidRPr="003A48F8">
        <w:rPr>
          <w:rFonts w:ascii="Times New Roman" w:hAnsi="Times New Roman" w:cs="Times New Roman"/>
          <w:sz w:val="24"/>
        </w:rPr>
        <w:t>, 1994)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>. Envelopes were then defined as the minimum threshold of probability density that included 99% of points</w:t>
      </w:r>
      <w:r w:rsidR="00F70695" w:rsidRPr="00081826">
        <w:rPr>
          <w:lang w:val="en-US"/>
        </w:rPr>
        <w:t xml:space="preserve"> 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(to leave out environmentally atypical occurrences). </w:t>
      </w:r>
      <w:r w:rsidR="00F70695" w:rsidRPr="007054EB">
        <w:rPr>
          <w:rFonts w:ascii="Times New Roman" w:hAnsi="Times New Roman" w:cs="Times New Roman"/>
          <w:sz w:val="24"/>
          <w:szCs w:val="24"/>
          <w:lang w:val="en-US"/>
        </w:rPr>
        <w:t xml:space="preserve">From species climatic envelopes, we extracted </w:t>
      </w:r>
      <w:r w:rsidR="00F706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70695" w:rsidRPr="007054EB">
        <w:rPr>
          <w:rFonts w:ascii="Times New Roman" w:hAnsi="Times New Roman" w:cs="Times New Roman"/>
          <w:sz w:val="24"/>
          <w:szCs w:val="24"/>
          <w:lang w:val="en-US"/>
        </w:rPr>
        <w:t>niche area (i.e. an estimate of niche breadth) and computed the niche centroid as the mean of point coordinates falling inside the delimited niche.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 We then extracted the coordinates of the centroid on each of the two PCA axes (</w:t>
      </w:r>
      <w:r w:rsidR="00F70695" w:rsidRPr="00345595">
        <w:rPr>
          <w:rFonts w:ascii="Times New Roman" w:hAnsi="Times New Roman" w:cs="Times New Roman"/>
          <w:sz w:val="24"/>
          <w:szCs w:val="24"/>
          <w:lang w:val="en-US"/>
        </w:rPr>
        <w:t>Fig. 1</w:t>
      </w:r>
      <w:r w:rsidR="00AA3AF1">
        <w:rPr>
          <w:rFonts w:ascii="Times New Roman" w:hAnsi="Times New Roman" w:cs="Times New Roman"/>
          <w:sz w:val="24"/>
          <w:szCs w:val="24"/>
          <w:lang w:val="en-US"/>
        </w:rPr>
        <w:t xml:space="preserve"> in the main text</w:t>
      </w:r>
      <w:r w:rsidR="00F70695"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70695" w:rsidRPr="007864C0">
        <w:t xml:space="preserve"> </w:t>
      </w:r>
    </w:p>
    <w:p w14:paraId="7D8A69F7" w14:textId="5064F66A" w:rsidR="00060179" w:rsidRDefault="00F70695" w:rsidP="009A04C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64C0">
        <w:rPr>
          <w:rFonts w:ascii="Times New Roman" w:hAnsi="Times New Roman" w:cs="Times New Roman"/>
          <w:sz w:val="24"/>
          <w:szCs w:val="24"/>
          <w:lang w:val="en-US"/>
        </w:rPr>
        <w:t>Subsequently, we also used two other algorithms to delineate the niches realized by the species: convex hulls</w:t>
      </w:r>
      <w:r w:rsidR="000601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179" w:rsidRPr="007054EB">
        <w:rPr>
          <w:rFonts w:ascii="Times New Roman" w:hAnsi="Times New Roman" w:cs="Times New Roman"/>
          <w:sz w:val="24"/>
          <w:szCs w:val="24"/>
          <w:lang w:val="en-US"/>
        </w:rPr>
        <w:t>Chull</w:t>
      </w:r>
      <w:r w:rsidR="000601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64C0">
        <w:rPr>
          <w:rFonts w:ascii="Times New Roman" w:hAnsi="Times New Roman" w:cs="Times New Roman"/>
          <w:sz w:val="24"/>
          <w:szCs w:val="24"/>
          <w:lang w:val="en-US"/>
        </w:rPr>
        <w:t xml:space="preserve"> and alpha hulls</w:t>
      </w:r>
      <w:r w:rsidR="00060179">
        <w:rPr>
          <w:rFonts w:ascii="Times New Roman" w:hAnsi="Times New Roman" w:cs="Times New Roman"/>
          <w:sz w:val="24"/>
          <w:szCs w:val="24"/>
          <w:lang w:val="en-US"/>
        </w:rPr>
        <w:t xml:space="preserve"> (Ahull)</w:t>
      </w:r>
      <w:r w:rsidRPr="007864C0">
        <w:rPr>
          <w:rFonts w:ascii="Times New Roman" w:hAnsi="Times New Roman" w:cs="Times New Roman"/>
          <w:sz w:val="24"/>
          <w:szCs w:val="24"/>
          <w:lang w:val="en-US"/>
        </w:rPr>
        <w:t xml:space="preserve"> to test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we obtained similar results 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(see </w:t>
      </w:r>
      <w:r w:rsidR="00AA3AF1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Pr="00345595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="00AA3AF1" w:rsidRPr="00345595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345595">
        <w:rPr>
          <w:rFonts w:ascii="Times New Roman" w:hAnsi="Times New Roman" w:cs="Times New Roman"/>
          <w:sz w:val="24"/>
          <w:szCs w:val="24"/>
          <w:lang w:val="en-US"/>
        </w:rPr>
        <w:t xml:space="preserve"> S2</w:t>
      </w:r>
      <w:r w:rsidRPr="00AA3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45595">
        <w:rPr>
          <w:rFonts w:ascii="Times New Roman" w:hAnsi="Times New Roman" w:cs="Times New Roman"/>
          <w:sz w:val="24"/>
          <w:szCs w:val="24"/>
          <w:lang w:val="en-US"/>
        </w:rPr>
        <w:t>S3</w:t>
      </w:r>
      <w:r w:rsidRPr="0008182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60179" w:rsidRPr="007054EB">
        <w:rPr>
          <w:rFonts w:ascii="Times New Roman" w:hAnsi="Times New Roman" w:cs="Times New Roman"/>
          <w:sz w:val="24"/>
          <w:szCs w:val="24"/>
          <w:lang w:val="en-US"/>
        </w:rPr>
        <w:t>Chull are defined as the smallest convex set that contains all samples. Ahull and KDE are extensions of Chull where non-convex and irregular shapes are allowed. While Chull are sensitive to outliers, Ahull and KDE are sensitive to the density of points in the environmental space. Chull is parameter-free whereas Ahull and KDE depend on a parameter that controls the shape of the envelope</w:t>
      </w:r>
      <w:r w:rsidR="0006017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60179" w:rsidRPr="007054EB">
        <w:rPr>
          <w:rFonts w:ascii="Times New Roman" w:hAnsi="Times New Roman" w:cs="Times New Roman"/>
          <w:sz w:val="24"/>
          <w:szCs w:val="24"/>
          <w:lang w:val="en-US"/>
        </w:rPr>
        <w:t>the bandwidth</w:t>
      </w:r>
      <w:r w:rsidR="00060179">
        <w:rPr>
          <w:rFonts w:ascii="Times New Roman" w:hAnsi="Times New Roman" w:cs="Times New Roman"/>
          <w:sz w:val="24"/>
          <w:szCs w:val="24"/>
          <w:lang w:val="en-US"/>
        </w:rPr>
        <w:t xml:space="preserve">; see </w:t>
      </w:r>
      <w:r w:rsidR="00AA3AF1" w:rsidRPr="00345595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9E46A6" w:rsidRPr="00345595">
        <w:rPr>
          <w:rFonts w:ascii="Times New Roman" w:hAnsi="Times New Roman" w:cs="Times New Roman"/>
          <w:sz w:val="24"/>
          <w:szCs w:val="24"/>
          <w:lang w:val="en-US"/>
        </w:rPr>
        <w:t>2.2.2</w:t>
      </w:r>
      <w:r w:rsidR="00AA3AF1" w:rsidRPr="00345595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060179" w:rsidRPr="00345595">
        <w:rPr>
          <w:rFonts w:ascii="Times New Roman" w:hAnsi="Times New Roman" w:cs="Times New Roman"/>
          <w:sz w:val="24"/>
          <w:szCs w:val="24"/>
          <w:lang w:val="en-US"/>
        </w:rPr>
        <w:t>main text). For the Ahull, we adopted an iterative procedure star</w:t>
      </w:r>
      <w:r w:rsidR="00AA3AF1" w:rsidRPr="003455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60179" w:rsidRPr="00345595">
        <w:rPr>
          <w:rFonts w:ascii="Times New Roman" w:hAnsi="Times New Roman" w:cs="Times New Roman"/>
          <w:sz w:val="24"/>
          <w:szCs w:val="24"/>
          <w:lang w:val="en-US"/>
        </w:rPr>
        <w:t>ing with an</w:t>
      </w:r>
      <w:r w:rsidR="00060179" w:rsidRPr="007054EB">
        <w:rPr>
          <w:rFonts w:ascii="Times New Roman" w:hAnsi="Times New Roman" w:cs="Times New Roman"/>
          <w:sz w:val="24"/>
          <w:szCs w:val="24"/>
          <w:lang w:val="en-US"/>
        </w:rPr>
        <w:t xml:space="preserve"> alpha value of one </w:t>
      </w:r>
      <w:r w:rsidR="00060179" w:rsidRPr="007054EB">
        <w:rPr>
          <w:rFonts w:ascii="Times New Roman" w:hAnsi="Times New Roman" w:cs="Times New Roman"/>
          <w:sz w:val="24"/>
          <w:szCs w:val="24"/>
          <w:lang w:val="en-US"/>
        </w:rPr>
        <w:lastRenderedPageBreak/>
        <w:t>and then incrementing the value of the parameter by steps of 0.2 until 99% of points were included in the envelope.</w:t>
      </w:r>
    </w:p>
    <w:p w14:paraId="42102D6E" w14:textId="77777777" w:rsidR="004B1D24" w:rsidRDefault="004B1D24" w:rsidP="004B1D2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ABA2D1" w14:textId="390A358F" w:rsidR="00F70695" w:rsidRPr="00C953CA" w:rsidRDefault="00046004" w:rsidP="00F706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de-CH"/>
        </w:rPr>
      </w:pPr>
      <w:r w:rsidRPr="00C953CA">
        <w:rPr>
          <w:rFonts w:ascii="Times New Roman" w:hAnsi="Times New Roman" w:cs="Times New Roman"/>
          <w:b/>
          <w:sz w:val="24"/>
          <w:szCs w:val="24"/>
          <w:lang w:val="de-CH"/>
        </w:rPr>
        <w:t>References</w:t>
      </w:r>
    </w:p>
    <w:p w14:paraId="3091D4D7" w14:textId="7411BA82" w:rsidR="009A04CD" w:rsidRPr="00345595" w:rsidRDefault="009A04CD" w:rsidP="009A04CD">
      <w:pPr>
        <w:pStyle w:val="Bibliography"/>
        <w:rPr>
          <w:rFonts w:ascii="Times New Roman" w:hAnsi="Times New Roman" w:cs="Times New Roman"/>
          <w:sz w:val="24"/>
          <w:lang w:val="fr-FR"/>
        </w:rPr>
      </w:pPr>
      <w:r w:rsidRPr="00185D42">
        <w:rPr>
          <w:rFonts w:ascii="Times New Roman" w:hAnsi="Times New Roman" w:cs="Times New Roman"/>
          <w:sz w:val="24"/>
          <w:lang w:val="de-CH"/>
        </w:rPr>
        <w:t>Bensch, S., Hellgren, O., Pérez-Tris, J.</w:t>
      </w:r>
      <w:r w:rsidR="00F74AE4">
        <w:rPr>
          <w:rFonts w:ascii="Times New Roman" w:hAnsi="Times New Roman" w:cs="Times New Roman"/>
          <w:sz w:val="24"/>
          <w:lang w:val="de-CH"/>
        </w:rPr>
        <w:t>,</w:t>
      </w:r>
      <w:r w:rsidRPr="00185D42">
        <w:rPr>
          <w:rFonts w:ascii="Times New Roman" w:hAnsi="Times New Roman" w:cs="Times New Roman"/>
          <w:sz w:val="24"/>
          <w:lang w:val="de-CH"/>
        </w:rPr>
        <w:t xml:space="preserve"> 2009. </w:t>
      </w:r>
      <w:r w:rsidRPr="009A04CD">
        <w:rPr>
          <w:rFonts w:ascii="Times New Roman" w:hAnsi="Times New Roman" w:cs="Times New Roman"/>
          <w:sz w:val="24"/>
        </w:rPr>
        <w:t xml:space="preserve">MalAvi: A public database of malaria parasites and related haemosporidians in avian hosts based on mitochondrial cytochrome b lineages. </w:t>
      </w:r>
      <w:r w:rsidRPr="00345595">
        <w:rPr>
          <w:rFonts w:ascii="Times New Roman" w:hAnsi="Times New Roman" w:cs="Times New Roman"/>
          <w:sz w:val="24"/>
          <w:lang w:val="fr-FR"/>
        </w:rPr>
        <w:t>Mol</w:t>
      </w:r>
      <w:r w:rsidR="00F74AE4" w:rsidRPr="00345595">
        <w:rPr>
          <w:rFonts w:ascii="Times New Roman" w:hAnsi="Times New Roman" w:cs="Times New Roman"/>
          <w:sz w:val="24"/>
          <w:lang w:val="fr-FR"/>
        </w:rPr>
        <w:t>.</w:t>
      </w:r>
      <w:r w:rsidRPr="00345595">
        <w:rPr>
          <w:rFonts w:ascii="Times New Roman" w:hAnsi="Times New Roman" w:cs="Times New Roman"/>
          <w:sz w:val="24"/>
          <w:lang w:val="fr-FR"/>
        </w:rPr>
        <w:t xml:space="preserve"> Ecol</w:t>
      </w:r>
      <w:r w:rsidR="00F74AE4" w:rsidRPr="00345595">
        <w:rPr>
          <w:rFonts w:ascii="Times New Roman" w:hAnsi="Times New Roman" w:cs="Times New Roman"/>
          <w:sz w:val="24"/>
          <w:lang w:val="fr-FR"/>
        </w:rPr>
        <w:t>.</w:t>
      </w:r>
      <w:r w:rsidRPr="00345595">
        <w:rPr>
          <w:rFonts w:ascii="Times New Roman" w:hAnsi="Times New Roman" w:cs="Times New Roman"/>
          <w:sz w:val="24"/>
          <w:lang w:val="fr-FR"/>
        </w:rPr>
        <w:t xml:space="preserve"> Res</w:t>
      </w:r>
      <w:r w:rsidR="00F74AE4" w:rsidRPr="00345595">
        <w:rPr>
          <w:rFonts w:ascii="Times New Roman" w:hAnsi="Times New Roman" w:cs="Times New Roman"/>
          <w:sz w:val="24"/>
          <w:lang w:val="fr-FR"/>
        </w:rPr>
        <w:t>.</w:t>
      </w:r>
      <w:r w:rsidRPr="00345595">
        <w:rPr>
          <w:rFonts w:ascii="Times New Roman" w:hAnsi="Times New Roman" w:cs="Times New Roman"/>
          <w:sz w:val="24"/>
          <w:lang w:val="fr-FR"/>
        </w:rPr>
        <w:t>, 9(5), 1353–1358. https://doi.org/10.1111/j.1755-0998.2009.02692.x</w:t>
      </w:r>
    </w:p>
    <w:p w14:paraId="659EF653" w14:textId="41BB7074" w:rsidR="009A04CD" w:rsidRPr="009A04CD" w:rsidRDefault="009A04CD" w:rsidP="009A04CD">
      <w:pPr>
        <w:pStyle w:val="Bibliography"/>
        <w:rPr>
          <w:rFonts w:ascii="Times New Roman" w:hAnsi="Times New Roman" w:cs="Times New Roman"/>
          <w:sz w:val="24"/>
        </w:rPr>
      </w:pPr>
      <w:r w:rsidRPr="00345595">
        <w:rPr>
          <w:rFonts w:ascii="Times New Roman" w:hAnsi="Times New Roman" w:cs="Times New Roman"/>
          <w:sz w:val="24"/>
          <w:lang w:val="fr-FR"/>
        </w:rPr>
        <w:t>Blonder, B., Lamanna, C., Violle, C., Enquist, B. J.</w:t>
      </w:r>
      <w:r w:rsidR="00F74AE4" w:rsidRPr="00345595">
        <w:rPr>
          <w:rFonts w:ascii="Times New Roman" w:hAnsi="Times New Roman" w:cs="Times New Roman"/>
          <w:sz w:val="24"/>
          <w:lang w:val="fr-FR"/>
        </w:rPr>
        <w:t>,</w:t>
      </w:r>
      <w:r w:rsidRPr="00345595">
        <w:rPr>
          <w:rFonts w:ascii="Times New Roman" w:hAnsi="Times New Roman" w:cs="Times New Roman"/>
          <w:sz w:val="24"/>
          <w:lang w:val="fr-FR"/>
        </w:rPr>
        <w:t xml:space="preserve"> 2014. </w:t>
      </w:r>
      <w:r w:rsidRPr="009A04CD">
        <w:rPr>
          <w:rFonts w:ascii="Times New Roman" w:hAnsi="Times New Roman" w:cs="Times New Roman"/>
          <w:sz w:val="24"/>
        </w:rPr>
        <w:t xml:space="preserve">The n-dimensional hypervolume. </w:t>
      </w:r>
      <w:r w:rsidRPr="00345595">
        <w:rPr>
          <w:rFonts w:ascii="Times New Roman" w:hAnsi="Times New Roman" w:cs="Times New Roman"/>
          <w:sz w:val="24"/>
        </w:rPr>
        <w:t>Global Ecol</w:t>
      </w:r>
      <w:r w:rsidR="00F74AE4">
        <w:rPr>
          <w:rFonts w:ascii="Times New Roman" w:hAnsi="Times New Roman" w:cs="Times New Roman"/>
          <w:sz w:val="24"/>
        </w:rPr>
        <w:t>.</w:t>
      </w:r>
      <w:r w:rsidRPr="00345595">
        <w:rPr>
          <w:rFonts w:ascii="Times New Roman" w:hAnsi="Times New Roman" w:cs="Times New Roman"/>
          <w:sz w:val="24"/>
        </w:rPr>
        <w:t xml:space="preserve"> Biogeograph</w:t>
      </w:r>
      <w:r w:rsidR="00F74AE4">
        <w:rPr>
          <w:rFonts w:ascii="Times New Roman" w:hAnsi="Times New Roman" w:cs="Times New Roman"/>
          <w:sz w:val="24"/>
        </w:rPr>
        <w:t>.</w:t>
      </w:r>
      <w:r w:rsidRPr="00F74AE4">
        <w:rPr>
          <w:rFonts w:ascii="Times New Roman" w:hAnsi="Times New Roman" w:cs="Times New Roman"/>
          <w:sz w:val="24"/>
        </w:rPr>
        <w:t xml:space="preserve">, </w:t>
      </w:r>
      <w:r w:rsidRPr="00345595">
        <w:rPr>
          <w:rFonts w:ascii="Times New Roman" w:hAnsi="Times New Roman" w:cs="Times New Roman"/>
          <w:sz w:val="24"/>
        </w:rPr>
        <w:t>23</w:t>
      </w:r>
      <w:r w:rsidRPr="009A04CD">
        <w:rPr>
          <w:rFonts w:ascii="Times New Roman" w:hAnsi="Times New Roman" w:cs="Times New Roman"/>
          <w:sz w:val="24"/>
        </w:rPr>
        <w:t>(5), 595–609. https://doi.org/10.1111/geb.12146</w:t>
      </w:r>
    </w:p>
    <w:p w14:paraId="1E5CC42B" w14:textId="35B0AA1E" w:rsidR="009A04CD" w:rsidRPr="009A04CD" w:rsidRDefault="009A04CD" w:rsidP="009A04CD">
      <w:pPr>
        <w:pStyle w:val="Bibliography"/>
        <w:rPr>
          <w:rFonts w:ascii="Times New Roman" w:hAnsi="Times New Roman" w:cs="Times New Roman"/>
          <w:sz w:val="24"/>
        </w:rPr>
      </w:pPr>
      <w:r w:rsidRPr="009A04CD">
        <w:rPr>
          <w:rFonts w:ascii="Times New Roman" w:hAnsi="Times New Roman" w:cs="Times New Roman"/>
          <w:sz w:val="24"/>
        </w:rPr>
        <w:t>Broennimann, O., Fitzpatrick, M. C., Pearman, P. B., Petitpierre, B., Pellissier, L., Yoccoz, N. G., Thuiller, W., Fortin, M.-J., Randin, C., Zimmermann, N. E., Graham, C. H., Guisan, A.</w:t>
      </w:r>
      <w:r w:rsidR="00F74AE4">
        <w:rPr>
          <w:rFonts w:ascii="Times New Roman" w:hAnsi="Times New Roman" w:cs="Times New Roman"/>
          <w:sz w:val="24"/>
        </w:rPr>
        <w:t>,</w:t>
      </w:r>
      <w:r w:rsidRPr="009A04CD">
        <w:rPr>
          <w:rFonts w:ascii="Times New Roman" w:hAnsi="Times New Roman" w:cs="Times New Roman"/>
          <w:sz w:val="24"/>
        </w:rPr>
        <w:t xml:space="preserve"> 2012. Measuring ecological niche overlap from occurrence and spatial environmental data. </w:t>
      </w:r>
      <w:r w:rsidRPr="00345595">
        <w:rPr>
          <w:rFonts w:ascii="Times New Roman" w:hAnsi="Times New Roman" w:cs="Times New Roman"/>
          <w:sz w:val="24"/>
        </w:rPr>
        <w:t>Global Ecol</w:t>
      </w:r>
      <w:r w:rsidR="00F74AE4">
        <w:rPr>
          <w:rFonts w:ascii="Times New Roman" w:hAnsi="Times New Roman" w:cs="Times New Roman"/>
          <w:sz w:val="24"/>
        </w:rPr>
        <w:t>.</w:t>
      </w:r>
      <w:r w:rsidRPr="00345595">
        <w:rPr>
          <w:rFonts w:ascii="Times New Roman" w:hAnsi="Times New Roman" w:cs="Times New Roman"/>
          <w:sz w:val="24"/>
        </w:rPr>
        <w:t xml:space="preserve"> Biogeograph</w:t>
      </w:r>
      <w:r w:rsidR="00F74AE4">
        <w:rPr>
          <w:rFonts w:ascii="Times New Roman" w:hAnsi="Times New Roman" w:cs="Times New Roman"/>
          <w:sz w:val="24"/>
        </w:rPr>
        <w:t>.</w:t>
      </w:r>
      <w:r w:rsidRPr="00F74AE4">
        <w:rPr>
          <w:rFonts w:ascii="Times New Roman" w:hAnsi="Times New Roman" w:cs="Times New Roman"/>
          <w:sz w:val="24"/>
        </w:rPr>
        <w:t xml:space="preserve">, </w:t>
      </w:r>
      <w:r w:rsidRPr="00345595">
        <w:rPr>
          <w:rFonts w:ascii="Times New Roman" w:hAnsi="Times New Roman" w:cs="Times New Roman"/>
          <w:sz w:val="24"/>
        </w:rPr>
        <w:t>21</w:t>
      </w:r>
      <w:r w:rsidRPr="009A04CD">
        <w:rPr>
          <w:rFonts w:ascii="Times New Roman" w:hAnsi="Times New Roman" w:cs="Times New Roman"/>
          <w:sz w:val="24"/>
        </w:rPr>
        <w:t>(4), 481–497. https://doi.org/10.1111/j.1466-8238.2011.00698.x</w:t>
      </w:r>
    </w:p>
    <w:p w14:paraId="67DE5C51" w14:textId="2448A0DD" w:rsidR="009A04CD" w:rsidRPr="009A04CD" w:rsidRDefault="009A04CD" w:rsidP="009A04CD">
      <w:pPr>
        <w:pStyle w:val="Bibliography"/>
        <w:rPr>
          <w:rFonts w:ascii="Times New Roman" w:hAnsi="Times New Roman" w:cs="Times New Roman"/>
          <w:sz w:val="24"/>
        </w:rPr>
      </w:pPr>
      <w:r w:rsidRPr="009A04CD">
        <w:rPr>
          <w:rFonts w:ascii="Times New Roman" w:hAnsi="Times New Roman" w:cs="Times New Roman"/>
          <w:sz w:val="24"/>
        </w:rPr>
        <w:t>Hellgren, O., Waldenström, J., Bensch, S.</w:t>
      </w:r>
      <w:r w:rsidR="00F74AE4">
        <w:rPr>
          <w:rFonts w:ascii="Times New Roman" w:hAnsi="Times New Roman" w:cs="Times New Roman"/>
          <w:sz w:val="24"/>
        </w:rPr>
        <w:t>,</w:t>
      </w:r>
      <w:r w:rsidRPr="009A04CD">
        <w:rPr>
          <w:rFonts w:ascii="Times New Roman" w:hAnsi="Times New Roman" w:cs="Times New Roman"/>
          <w:sz w:val="24"/>
        </w:rPr>
        <w:t xml:space="preserve"> 2004. A new pcr assay for simultaneous studies of </w:t>
      </w:r>
      <w:r w:rsidR="00F74AE4" w:rsidRPr="00345595">
        <w:rPr>
          <w:rFonts w:ascii="Times New Roman" w:hAnsi="Times New Roman" w:cs="Times New Roman"/>
          <w:i/>
          <w:iCs/>
          <w:sz w:val="24"/>
        </w:rPr>
        <w:t>L</w:t>
      </w:r>
      <w:r w:rsidRPr="00345595">
        <w:rPr>
          <w:rFonts w:ascii="Times New Roman" w:hAnsi="Times New Roman" w:cs="Times New Roman"/>
          <w:i/>
          <w:iCs/>
          <w:sz w:val="24"/>
        </w:rPr>
        <w:t>eucocytozoon</w:t>
      </w:r>
      <w:r w:rsidRPr="009A04CD">
        <w:rPr>
          <w:rFonts w:ascii="Times New Roman" w:hAnsi="Times New Roman" w:cs="Times New Roman"/>
          <w:sz w:val="24"/>
        </w:rPr>
        <w:t xml:space="preserve">, </w:t>
      </w:r>
      <w:r w:rsidR="00F74AE4" w:rsidRPr="00345595">
        <w:rPr>
          <w:rFonts w:ascii="Times New Roman" w:hAnsi="Times New Roman" w:cs="Times New Roman"/>
          <w:i/>
          <w:iCs/>
          <w:sz w:val="24"/>
        </w:rPr>
        <w:t>P</w:t>
      </w:r>
      <w:r w:rsidRPr="00345595">
        <w:rPr>
          <w:rFonts w:ascii="Times New Roman" w:hAnsi="Times New Roman" w:cs="Times New Roman"/>
          <w:i/>
          <w:iCs/>
          <w:sz w:val="24"/>
        </w:rPr>
        <w:t>lasmodium</w:t>
      </w:r>
      <w:r w:rsidRPr="009A04CD">
        <w:rPr>
          <w:rFonts w:ascii="Times New Roman" w:hAnsi="Times New Roman" w:cs="Times New Roman"/>
          <w:sz w:val="24"/>
        </w:rPr>
        <w:t xml:space="preserve">, and </w:t>
      </w:r>
      <w:r w:rsidR="00F74AE4" w:rsidRPr="00345595">
        <w:rPr>
          <w:rFonts w:ascii="Times New Roman" w:hAnsi="Times New Roman" w:cs="Times New Roman"/>
          <w:i/>
          <w:iCs/>
          <w:sz w:val="24"/>
        </w:rPr>
        <w:t>H</w:t>
      </w:r>
      <w:r w:rsidRPr="00345595">
        <w:rPr>
          <w:rFonts w:ascii="Times New Roman" w:hAnsi="Times New Roman" w:cs="Times New Roman"/>
          <w:i/>
          <w:iCs/>
          <w:sz w:val="24"/>
        </w:rPr>
        <w:t>aemoproteus</w:t>
      </w:r>
      <w:r w:rsidRPr="009A04CD">
        <w:rPr>
          <w:rFonts w:ascii="Times New Roman" w:hAnsi="Times New Roman" w:cs="Times New Roman"/>
          <w:sz w:val="24"/>
        </w:rPr>
        <w:t xml:space="preserve"> from avian blood. </w:t>
      </w:r>
      <w:r w:rsidRPr="00345595">
        <w:rPr>
          <w:rFonts w:ascii="Times New Roman" w:hAnsi="Times New Roman" w:cs="Times New Roman"/>
          <w:sz w:val="24"/>
        </w:rPr>
        <w:t>J</w:t>
      </w:r>
      <w:r w:rsidR="00F74AE4">
        <w:rPr>
          <w:rFonts w:ascii="Times New Roman" w:hAnsi="Times New Roman" w:cs="Times New Roman"/>
          <w:sz w:val="24"/>
        </w:rPr>
        <w:t>.</w:t>
      </w:r>
      <w:r w:rsidRPr="00345595">
        <w:rPr>
          <w:rFonts w:ascii="Times New Roman" w:hAnsi="Times New Roman" w:cs="Times New Roman"/>
          <w:sz w:val="24"/>
        </w:rPr>
        <w:t xml:space="preserve"> Parasitol</w:t>
      </w:r>
      <w:r w:rsidR="00F74AE4">
        <w:rPr>
          <w:rFonts w:ascii="Times New Roman" w:hAnsi="Times New Roman" w:cs="Times New Roman"/>
          <w:sz w:val="24"/>
        </w:rPr>
        <w:t>.</w:t>
      </w:r>
      <w:r w:rsidRPr="00F74AE4">
        <w:rPr>
          <w:rFonts w:ascii="Times New Roman" w:hAnsi="Times New Roman" w:cs="Times New Roman"/>
          <w:sz w:val="24"/>
        </w:rPr>
        <w:t xml:space="preserve">, </w:t>
      </w:r>
      <w:r w:rsidRPr="00345595">
        <w:rPr>
          <w:rFonts w:ascii="Times New Roman" w:hAnsi="Times New Roman" w:cs="Times New Roman"/>
          <w:sz w:val="24"/>
        </w:rPr>
        <w:t>90</w:t>
      </w:r>
      <w:r w:rsidRPr="009A04CD">
        <w:rPr>
          <w:rFonts w:ascii="Times New Roman" w:hAnsi="Times New Roman" w:cs="Times New Roman"/>
          <w:sz w:val="24"/>
        </w:rPr>
        <w:t>(4), 797–802. https://doi.org/10.1645/GE-184R1</w:t>
      </w:r>
    </w:p>
    <w:p w14:paraId="58888031" w14:textId="43785756" w:rsidR="009A04CD" w:rsidRPr="009A04CD" w:rsidRDefault="009A04CD" w:rsidP="009A04CD">
      <w:pPr>
        <w:pStyle w:val="Bibliography"/>
        <w:rPr>
          <w:rFonts w:ascii="Times New Roman" w:hAnsi="Times New Roman" w:cs="Times New Roman"/>
          <w:sz w:val="24"/>
        </w:rPr>
      </w:pPr>
      <w:r w:rsidRPr="009A04CD">
        <w:rPr>
          <w:rFonts w:ascii="Times New Roman" w:hAnsi="Times New Roman" w:cs="Times New Roman"/>
          <w:sz w:val="24"/>
        </w:rPr>
        <w:t>Pigeault, R., Cozzarolo, C.-S., Choquet, R., Strehler, M., Jenkins, T., Delhaye, J., Bovet, L., Wassef, J., Glaizot, O., Christe, P.</w:t>
      </w:r>
      <w:r w:rsidR="00F74AE4">
        <w:rPr>
          <w:rFonts w:ascii="Times New Roman" w:hAnsi="Times New Roman" w:cs="Times New Roman"/>
          <w:sz w:val="24"/>
        </w:rPr>
        <w:t>,</w:t>
      </w:r>
      <w:r w:rsidRPr="009A04CD">
        <w:rPr>
          <w:rFonts w:ascii="Times New Roman" w:hAnsi="Times New Roman" w:cs="Times New Roman"/>
          <w:sz w:val="24"/>
        </w:rPr>
        <w:t xml:space="preserve"> 2018. Haemosporidian infection and co-infection affect host survival and reproduction in wild populations of great tits. </w:t>
      </w:r>
      <w:r w:rsidRPr="00345595">
        <w:rPr>
          <w:rFonts w:ascii="Times New Roman" w:hAnsi="Times New Roman" w:cs="Times New Roman"/>
          <w:sz w:val="24"/>
        </w:rPr>
        <w:t>Int</w:t>
      </w:r>
      <w:r w:rsidR="000B1647">
        <w:rPr>
          <w:rFonts w:ascii="Times New Roman" w:hAnsi="Times New Roman" w:cs="Times New Roman"/>
          <w:sz w:val="24"/>
        </w:rPr>
        <w:t>.</w:t>
      </w:r>
      <w:r w:rsidRPr="00345595">
        <w:rPr>
          <w:rFonts w:ascii="Times New Roman" w:hAnsi="Times New Roman" w:cs="Times New Roman"/>
          <w:sz w:val="24"/>
        </w:rPr>
        <w:t xml:space="preserve"> J</w:t>
      </w:r>
      <w:r w:rsidR="000B1647">
        <w:rPr>
          <w:rFonts w:ascii="Times New Roman" w:hAnsi="Times New Roman" w:cs="Times New Roman"/>
          <w:sz w:val="24"/>
        </w:rPr>
        <w:t>.</w:t>
      </w:r>
      <w:r w:rsidRPr="00345595">
        <w:rPr>
          <w:rFonts w:ascii="Times New Roman" w:hAnsi="Times New Roman" w:cs="Times New Roman"/>
          <w:sz w:val="24"/>
        </w:rPr>
        <w:t xml:space="preserve"> Parasitol</w:t>
      </w:r>
      <w:r w:rsidR="000B1647">
        <w:rPr>
          <w:rFonts w:ascii="Times New Roman" w:hAnsi="Times New Roman" w:cs="Times New Roman"/>
          <w:sz w:val="24"/>
        </w:rPr>
        <w:t>.</w:t>
      </w:r>
      <w:r w:rsidRPr="00F74AE4">
        <w:rPr>
          <w:rFonts w:ascii="Times New Roman" w:hAnsi="Times New Roman" w:cs="Times New Roman"/>
          <w:sz w:val="24"/>
        </w:rPr>
        <w:t xml:space="preserve">, </w:t>
      </w:r>
      <w:r w:rsidRPr="00345595">
        <w:rPr>
          <w:rFonts w:ascii="Times New Roman" w:hAnsi="Times New Roman" w:cs="Times New Roman"/>
          <w:sz w:val="24"/>
        </w:rPr>
        <w:t>48</w:t>
      </w:r>
      <w:r w:rsidRPr="009A04CD">
        <w:rPr>
          <w:rFonts w:ascii="Times New Roman" w:hAnsi="Times New Roman" w:cs="Times New Roman"/>
          <w:sz w:val="24"/>
        </w:rPr>
        <w:t>(14), 1079–1087. https://doi.org/10.1016/j.ijpara.2018.06.007</w:t>
      </w:r>
    </w:p>
    <w:p w14:paraId="07AABFCE" w14:textId="31B6AB76" w:rsidR="009A04CD" w:rsidRPr="009A04CD" w:rsidRDefault="009A04CD" w:rsidP="009A04CD">
      <w:pPr>
        <w:pStyle w:val="Bibliography"/>
        <w:rPr>
          <w:rFonts w:ascii="Times New Roman" w:hAnsi="Times New Roman" w:cs="Times New Roman"/>
          <w:sz w:val="24"/>
          <w:lang w:val="fr-FR"/>
        </w:rPr>
      </w:pPr>
      <w:r w:rsidRPr="009A04CD">
        <w:rPr>
          <w:rFonts w:ascii="Times New Roman" w:hAnsi="Times New Roman" w:cs="Times New Roman"/>
          <w:sz w:val="24"/>
        </w:rPr>
        <w:t>Rooyen, J. van, Lalubin, F., Glaizot, O., Christe, P.</w:t>
      </w:r>
      <w:r w:rsidR="000B1647">
        <w:rPr>
          <w:rFonts w:ascii="Times New Roman" w:hAnsi="Times New Roman" w:cs="Times New Roman"/>
          <w:sz w:val="24"/>
        </w:rPr>
        <w:t>,</w:t>
      </w:r>
      <w:r w:rsidRPr="009A04CD">
        <w:rPr>
          <w:rFonts w:ascii="Times New Roman" w:hAnsi="Times New Roman" w:cs="Times New Roman"/>
          <w:sz w:val="24"/>
        </w:rPr>
        <w:t xml:space="preserve"> 2013. Avian haemosporidian persistence and co-infection in great tits at the individual level. </w:t>
      </w:r>
      <w:r w:rsidRPr="00345595">
        <w:rPr>
          <w:rFonts w:ascii="Times New Roman" w:hAnsi="Times New Roman" w:cs="Times New Roman"/>
          <w:sz w:val="24"/>
          <w:lang w:val="fr-FR"/>
        </w:rPr>
        <w:t>Malaria J</w:t>
      </w:r>
      <w:r w:rsidR="000B1647">
        <w:rPr>
          <w:rFonts w:ascii="Times New Roman" w:hAnsi="Times New Roman" w:cs="Times New Roman"/>
          <w:sz w:val="24"/>
          <w:lang w:val="fr-FR"/>
        </w:rPr>
        <w:t>.</w:t>
      </w:r>
      <w:r w:rsidRPr="000B1647">
        <w:rPr>
          <w:rFonts w:ascii="Times New Roman" w:hAnsi="Times New Roman" w:cs="Times New Roman"/>
          <w:sz w:val="24"/>
          <w:lang w:val="fr-FR"/>
        </w:rPr>
        <w:t xml:space="preserve">, </w:t>
      </w:r>
      <w:r w:rsidRPr="00345595">
        <w:rPr>
          <w:rFonts w:ascii="Times New Roman" w:hAnsi="Times New Roman" w:cs="Times New Roman"/>
          <w:sz w:val="24"/>
          <w:lang w:val="fr-FR"/>
        </w:rPr>
        <w:t>12</w:t>
      </w:r>
      <w:r w:rsidRPr="009A04CD">
        <w:rPr>
          <w:rFonts w:ascii="Times New Roman" w:hAnsi="Times New Roman" w:cs="Times New Roman"/>
          <w:sz w:val="24"/>
          <w:lang w:val="fr-FR"/>
        </w:rPr>
        <w:t>(1), 40. https://doi.org/10.1186/1475-2875-12-40</w:t>
      </w:r>
    </w:p>
    <w:p w14:paraId="3C8CF9CF" w14:textId="372170AA" w:rsidR="009A04CD" w:rsidRPr="009A04CD" w:rsidRDefault="009A04CD" w:rsidP="009A04CD">
      <w:pPr>
        <w:pStyle w:val="Bibliography"/>
        <w:rPr>
          <w:rFonts w:ascii="Times New Roman" w:hAnsi="Times New Roman" w:cs="Times New Roman"/>
          <w:sz w:val="24"/>
        </w:rPr>
      </w:pPr>
      <w:r w:rsidRPr="009A04CD">
        <w:rPr>
          <w:rFonts w:ascii="Times New Roman" w:hAnsi="Times New Roman" w:cs="Times New Roman"/>
          <w:sz w:val="24"/>
          <w:lang w:val="fr-FR"/>
        </w:rPr>
        <w:lastRenderedPageBreak/>
        <w:t>Wand, M. P., Jones, M. C.</w:t>
      </w:r>
      <w:r w:rsidR="000B1647">
        <w:rPr>
          <w:rFonts w:ascii="Times New Roman" w:hAnsi="Times New Roman" w:cs="Times New Roman"/>
          <w:sz w:val="24"/>
          <w:lang w:val="fr-FR"/>
        </w:rPr>
        <w:t>,</w:t>
      </w:r>
      <w:r w:rsidRPr="009A04CD">
        <w:rPr>
          <w:rFonts w:ascii="Times New Roman" w:hAnsi="Times New Roman" w:cs="Times New Roman"/>
          <w:sz w:val="24"/>
          <w:lang w:val="fr-FR"/>
        </w:rPr>
        <w:t xml:space="preserve"> 1994. </w:t>
      </w:r>
      <w:r w:rsidRPr="00345595">
        <w:rPr>
          <w:rFonts w:ascii="Times New Roman" w:hAnsi="Times New Roman" w:cs="Times New Roman"/>
          <w:sz w:val="24"/>
        </w:rPr>
        <w:t>Kernel Smoothing</w:t>
      </w:r>
      <w:r w:rsidRPr="000B1647">
        <w:rPr>
          <w:rFonts w:ascii="Times New Roman" w:hAnsi="Times New Roman" w:cs="Times New Roman"/>
          <w:sz w:val="24"/>
        </w:rPr>
        <w:t>.</w:t>
      </w:r>
      <w:r w:rsidRPr="009A04CD">
        <w:rPr>
          <w:rFonts w:ascii="Times New Roman" w:hAnsi="Times New Roman" w:cs="Times New Roman"/>
          <w:sz w:val="24"/>
        </w:rPr>
        <w:t xml:space="preserve"> CRC Press</w:t>
      </w:r>
      <w:r w:rsidR="000B1647">
        <w:rPr>
          <w:rFonts w:ascii="Times New Roman" w:hAnsi="Times New Roman" w:cs="Times New Roman"/>
          <w:sz w:val="24"/>
        </w:rPr>
        <w:t xml:space="preserve">, </w:t>
      </w:r>
      <w:r w:rsidR="009E46A6" w:rsidRPr="009E46A6">
        <w:t xml:space="preserve"> </w:t>
      </w:r>
      <w:r w:rsidR="009E46A6" w:rsidRPr="009E46A6">
        <w:rPr>
          <w:rFonts w:ascii="Times New Roman" w:hAnsi="Times New Roman" w:cs="Times New Roman"/>
          <w:sz w:val="24"/>
        </w:rPr>
        <w:t>New York</w:t>
      </w:r>
      <w:r w:rsidRPr="009A04CD">
        <w:rPr>
          <w:rFonts w:ascii="Times New Roman" w:hAnsi="Times New Roman" w:cs="Times New Roman"/>
          <w:sz w:val="24"/>
        </w:rPr>
        <w:t>.</w:t>
      </w:r>
    </w:p>
    <w:p w14:paraId="5B675254" w14:textId="77777777" w:rsidR="00A72E7B" w:rsidRPr="00F70695" w:rsidRDefault="00A72E7B">
      <w:pPr>
        <w:rPr>
          <w:lang w:val="en-US"/>
        </w:rPr>
      </w:pPr>
    </w:p>
    <w:sectPr w:rsidR="00A72E7B" w:rsidRPr="00F7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029"/>
    <w:multiLevelType w:val="hybridMultilevel"/>
    <w:tmpl w:val="CA72F056"/>
    <w:lvl w:ilvl="0" w:tplc="A87C18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2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95"/>
    <w:rsid w:val="00046004"/>
    <w:rsid w:val="00060179"/>
    <w:rsid w:val="000752FF"/>
    <w:rsid w:val="00097C89"/>
    <w:rsid w:val="000B1647"/>
    <w:rsid w:val="00140794"/>
    <w:rsid w:val="00185D42"/>
    <w:rsid w:val="00345595"/>
    <w:rsid w:val="003B4060"/>
    <w:rsid w:val="004B1D24"/>
    <w:rsid w:val="00537443"/>
    <w:rsid w:val="005C0360"/>
    <w:rsid w:val="006449BE"/>
    <w:rsid w:val="00703430"/>
    <w:rsid w:val="00723359"/>
    <w:rsid w:val="007238CE"/>
    <w:rsid w:val="007A414F"/>
    <w:rsid w:val="007A79F2"/>
    <w:rsid w:val="007B06AF"/>
    <w:rsid w:val="00827C53"/>
    <w:rsid w:val="00845329"/>
    <w:rsid w:val="008B6FDA"/>
    <w:rsid w:val="009A04CD"/>
    <w:rsid w:val="009E46A6"/>
    <w:rsid w:val="00A72E7B"/>
    <w:rsid w:val="00AA3AF1"/>
    <w:rsid w:val="00C953CA"/>
    <w:rsid w:val="00CA79CE"/>
    <w:rsid w:val="00D77BFF"/>
    <w:rsid w:val="00E03C31"/>
    <w:rsid w:val="00F2578D"/>
    <w:rsid w:val="00F70695"/>
    <w:rsid w:val="00F74AE4"/>
    <w:rsid w:val="00F93FEC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7E73"/>
  <w15:chartTrackingRefBased/>
  <w15:docId w15:val="{899C89DD-F858-421A-A33F-1808B1D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9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F70695"/>
    <w:pPr>
      <w:spacing w:after="0" w:line="480" w:lineRule="auto"/>
      <w:ind w:left="720" w:hanging="720"/>
    </w:pPr>
  </w:style>
  <w:style w:type="paragraph" w:styleId="Revision">
    <w:name w:val="Revision"/>
    <w:hidden/>
    <w:uiPriority w:val="99"/>
    <w:semiHidden/>
    <w:rsid w:val="00F93FEC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A6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9E4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SFA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Meuleman</cp:lastModifiedBy>
  <cp:revision>3</cp:revision>
  <dcterms:created xsi:type="dcterms:W3CDTF">2022-06-13T13:02:00Z</dcterms:created>
  <dcterms:modified xsi:type="dcterms:W3CDTF">2022-06-17T05:30:00Z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id="c3I3AdNE"/&gt;&lt;style id="http://www.zotero.org/styles/journal-of-animal-ecology" hasBibliography="1" bibliographyStyleHasBeenSet="1"/&gt;&lt;prefs&gt;&lt;pref name="fieldType" value="Field"/&gt;&lt;/prefs&gt;&lt;/data&gt;</vt:lpwstr>
  </property>
</Properties>
</file>