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148D" w14:textId="77777777" w:rsidR="008C587A" w:rsidRPr="00B862EA" w:rsidRDefault="008C587A" w:rsidP="008C5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B862EA">
        <w:rPr>
          <w:rFonts w:ascii="Times New Roman" w:hAnsi="Times New Roman" w:cs="Times New Roman"/>
          <w:b/>
          <w:bCs/>
          <w:sz w:val="32"/>
          <w:szCs w:val="32"/>
          <w:lang w:val="en-US"/>
        </w:rPr>
        <w:t>Determinants of haemosporidian single- and co-infection risks in western Palearctic birds</w:t>
      </w:r>
    </w:p>
    <w:p w14:paraId="4D930CE7" w14:textId="77777777" w:rsidR="00C01193" w:rsidRPr="001B2656" w:rsidRDefault="00C01193" w:rsidP="00C0119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</w:pP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 xml:space="preserve">Romain </w:t>
      </w:r>
      <w:proofErr w:type="gramStart"/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Pigeault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a,b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,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,*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Mathieu Chevalier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a,c,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1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Camille-Sophie Cozzarolo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d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Molly Baur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Mathilde Arlettaz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Alice Cibois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e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André Keiser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f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Antoine Guisan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Philippe Christe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a,2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>, Olivier Glaizot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f,2</w:t>
      </w:r>
    </w:p>
    <w:p w14:paraId="1D62EB23" w14:textId="77777777" w:rsidR="00C01193" w:rsidRPr="001B2656" w:rsidRDefault="00C01193" w:rsidP="00C0119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Department of Ecology and Evolution, CH-1015 Lausanne, Switzerland</w:t>
      </w:r>
    </w:p>
    <w:p w14:paraId="76E362CC" w14:textId="77777777" w:rsidR="00C01193" w:rsidRPr="001B2656" w:rsidRDefault="00C01193" w:rsidP="00C0119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FR"/>
        </w:rPr>
        <w:t>b</w:t>
      </w:r>
      <w:proofErr w:type="gramEnd"/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  <w:t>Laboratoire EBI, Equipe EES, UMR CNRS 7267, 86000 Poitiers, France</w:t>
      </w:r>
    </w:p>
    <w:p w14:paraId="0C521816" w14:textId="77777777" w:rsidR="00C01193" w:rsidRPr="001B2656" w:rsidRDefault="00C01193" w:rsidP="00C0119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FR"/>
        </w:rPr>
        <w:t>c</w:t>
      </w:r>
      <w:proofErr w:type="gramEnd"/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  <w:t>Ifremer, Centre de Bretagne, DYNECO-LEBCO, CS 10070, 29280 Plouzané, France</w:t>
      </w:r>
    </w:p>
    <w:p w14:paraId="4472ADBA" w14:textId="77777777" w:rsidR="00C01193" w:rsidRPr="001B2656" w:rsidRDefault="00C01193" w:rsidP="00C0119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FR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>d</w:t>
      </w:r>
      <w:proofErr w:type="gramEnd"/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CH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  <w:t>Biogéosciences, UMR 6282 CNRS, université Bourgogne Franche-Comté, 6 boulevard Gabriel, 21000 Dijon, France</w:t>
      </w:r>
    </w:p>
    <w:p w14:paraId="7E7F9913" w14:textId="77777777" w:rsidR="00C01193" w:rsidRPr="005466EA" w:rsidRDefault="00C01193" w:rsidP="00C01193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Natural History Museum of Geneva, C.P. 6434, CH-1211 Genève 6, Switzerland</w:t>
      </w:r>
    </w:p>
    <w:p w14:paraId="00206C50" w14:textId="77777777" w:rsidR="00C01193" w:rsidRPr="005466EA" w:rsidRDefault="00C01193" w:rsidP="00C01193">
      <w:pPr>
        <w:spacing w:after="0"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fr-FR"/>
        </w:rPr>
        <w:t>f</w:t>
      </w:r>
      <w:proofErr w:type="gramEnd"/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fr-CH"/>
        </w:rPr>
        <w:t xml:space="preserve">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  <w:t xml:space="preserve">Musée cantonal de zoologie,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FR"/>
        </w:rPr>
        <w:t xml:space="preserve">CH-1014 </w:t>
      </w: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fr-CH"/>
        </w:rPr>
        <w:t>Lausanne, Switzerland</w:t>
      </w:r>
    </w:p>
    <w:p w14:paraId="76E7D6A8" w14:textId="77777777" w:rsidR="00C01193" w:rsidRPr="001B2656" w:rsidRDefault="00C01193" w:rsidP="00C01193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CH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1B26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CH"/>
        </w:rPr>
        <w:t>These authors contributed equally to this work</w:t>
      </w:r>
    </w:p>
    <w:p w14:paraId="3722E192" w14:textId="77777777" w:rsidR="00C01193" w:rsidRPr="001B2656" w:rsidRDefault="00C01193" w:rsidP="00C0119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66E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</w:rPr>
        <w:t>These authors share senior authorship</w:t>
      </w:r>
    </w:p>
    <w:p w14:paraId="50346D8A" w14:textId="77777777" w:rsidR="00C01193" w:rsidRDefault="00C01193" w:rsidP="00C0119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466EA">
        <w:rPr>
          <w:rFonts w:eastAsia="Times New Roman" w:cs="Arial"/>
          <w:bCs/>
          <w:color w:val="000000" w:themeColor="text1"/>
          <w:sz w:val="24"/>
          <w:szCs w:val="24"/>
          <w:lang w:eastAsia="fr-CH"/>
        </w:rPr>
        <w:t>*Corresponding author.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Romain Pigeault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 </w:t>
      </w:r>
    </w:p>
    <w:p w14:paraId="065B1643" w14:textId="77777777" w:rsidR="00C01193" w:rsidRDefault="00C01193" w:rsidP="00C0119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+33 (0)5 49 45 37 30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Fax: +33 (0)5 49 45 40 15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6F71B49F" w14:textId="77777777" w:rsidR="00C01193" w:rsidRPr="001B2656" w:rsidRDefault="00C01193" w:rsidP="00C0119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466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E-mail address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Pr="001B2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7" w:history="1">
        <w:r w:rsidRPr="001B2656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romain.pigeault@univ-poitiers.fr</w:t>
        </w:r>
      </w:hyperlink>
    </w:p>
    <w:p w14:paraId="44BDF7FD" w14:textId="1C18EEF1" w:rsidR="00565A0C" w:rsidRDefault="003D5E4E" w:rsidP="00D2504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565A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08D26D3" w14:textId="7F206D60" w:rsidR="00565A0C" w:rsidRPr="00565A0C" w:rsidRDefault="00565A0C" w:rsidP="00565A0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A10FF9A" wp14:editId="44AB2D13">
            <wp:extent cx="6832396" cy="4831515"/>
            <wp:effectExtent l="0" t="0" r="698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120" cy="48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035A" w14:textId="3D62866D" w:rsidR="007E3675" w:rsidRDefault="00E46AA1" w:rsidP="00565A0C">
      <w:pPr>
        <w:rPr>
          <w:rFonts w:ascii="Times New Roman" w:hAnsi="Times New Roman" w:cs="Times New Roman"/>
          <w:sz w:val="24"/>
          <w:szCs w:val="24"/>
          <w:lang w:val="en-US"/>
        </w:rPr>
        <w:sectPr w:rsidR="007E3675" w:rsidSect="00565A0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AF238D" w:rsidRPr="00AF238D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F238D" w:rsidRPr="00AF238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S1. </w:t>
      </w:r>
      <w:r w:rsidR="00AF238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Map of the studied zone (</w:t>
      </w:r>
      <w:proofErr w:type="gramStart"/>
      <w:r w:rsidR="00AF238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i.e.</w:t>
      </w:r>
      <w:proofErr w:type="gramEnd"/>
      <w:r w:rsidR="00AF238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Lake Geneva region).</w:t>
      </w:r>
      <w:r w:rsidR="00AF238D" w:rsidRPr="00AF238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F238D" w:rsidRPr="00AF238D">
        <w:rPr>
          <w:rFonts w:ascii="Times New Roman" w:hAnsi="Times New Roman" w:cs="Times New Roman"/>
          <w:sz w:val="24"/>
          <w:szCs w:val="24"/>
          <w:lang w:val="en-US"/>
        </w:rPr>
        <w:t>The concave envelope area (red hatched area) is 6642km². It includes the set of sampling points for which GPS coordinates were available in the museum databases (</w:t>
      </w:r>
      <w:r w:rsidR="00AF238D" w:rsidRPr="00334712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AF238D" w:rsidRPr="00AF238D">
        <w:rPr>
          <w:rFonts w:ascii="Times New Roman" w:hAnsi="Times New Roman" w:cs="Times New Roman"/>
          <w:sz w:val="24"/>
          <w:szCs w:val="24"/>
          <w:lang w:val="en-US"/>
        </w:rPr>
        <w:t>=1289</w:t>
      </w:r>
      <w:r w:rsidR="00EC1F78">
        <w:rPr>
          <w:rFonts w:ascii="Times New Roman" w:hAnsi="Times New Roman" w:cs="Times New Roman"/>
          <w:sz w:val="24"/>
          <w:szCs w:val="24"/>
          <w:lang w:val="en-US"/>
        </w:rPr>
        <w:t>/1361</w:t>
      </w:r>
      <w:r w:rsidR="00AF238D" w:rsidRPr="00AF238D">
        <w:rPr>
          <w:rFonts w:ascii="Times New Roman" w:hAnsi="Times New Roman" w:cs="Times New Roman"/>
          <w:sz w:val="24"/>
          <w:szCs w:val="24"/>
          <w:lang w:val="en-US"/>
        </w:rPr>
        <w:t xml:space="preserve">). The concave envelope, calculated with an alpha shape model and a threshold of 0.1, excluded </w:t>
      </w:r>
      <w:r>
        <w:rPr>
          <w:rFonts w:ascii="Times New Roman" w:hAnsi="Times New Roman" w:cs="Times New Roman"/>
          <w:sz w:val="24"/>
          <w:szCs w:val="24"/>
          <w:lang w:val="en-US"/>
        </w:rPr>
        <w:t>four</w:t>
      </w:r>
      <w:r w:rsidRPr="00AF23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238D" w:rsidRPr="00AF238D">
        <w:rPr>
          <w:rFonts w:ascii="Times New Roman" w:hAnsi="Times New Roman" w:cs="Times New Roman"/>
          <w:sz w:val="24"/>
          <w:szCs w:val="24"/>
          <w:lang w:val="en-US"/>
        </w:rPr>
        <w:t>points. The map and the estimation of the sampling envelope area were made using QGIS 3.20.2.</w:t>
      </w:r>
    </w:p>
    <w:p w14:paraId="7AA90F96" w14:textId="17B5F2A8" w:rsidR="007E3675" w:rsidRDefault="007E3675" w:rsidP="007E367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5B62D64" wp14:editId="38BCDEB2">
            <wp:extent cx="6525490" cy="4614485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portion maps Museu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926" cy="462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03F2" w14:textId="30BEDD19" w:rsidR="007E3675" w:rsidRDefault="00E46AA1" w:rsidP="007E36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E3675" w:rsidRPr="00B83183"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  <w:t>Fig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  <w:t>.</w:t>
      </w:r>
      <w:r w:rsidR="007E3675" w:rsidRPr="00B83183"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  <w:t xml:space="preserve"> </w:t>
      </w:r>
      <w:r w:rsidR="007E3675"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  <w:t>S2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  <w:t>.</w:t>
      </w:r>
      <w:r w:rsidR="007E367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="007E3675" w:rsidRPr="0033471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Geographic distribution of infection and co-infection patterns.</w:t>
      </w:r>
      <w:r w:rsidR="007E3675" w:rsidRPr="00B8318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="007E3675" w:rsidRPr="007E367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The study area, characterized by a concave envelope, calculated with an alpha shape model and a threshold of 0.1, was divided into 5km square areas. Within each of these areas we calculated the number of birds collected and the ratio</w:t>
      </w:r>
      <w:r w:rsidR="00EF655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</w:t>
      </w:r>
      <w:r w:rsidR="007E3675" w:rsidRPr="007E367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of uninfected, infected and co-infected birds.</w:t>
      </w:r>
    </w:p>
    <w:p w14:paraId="078CBEBB" w14:textId="3D7DB8BE" w:rsidR="00036A48" w:rsidRPr="007E3675" w:rsidRDefault="007E3675" w:rsidP="007E3675">
      <w:pPr>
        <w:tabs>
          <w:tab w:val="left" w:pos="5152"/>
        </w:tabs>
        <w:rPr>
          <w:rFonts w:ascii="Times New Roman" w:hAnsi="Times New Roman" w:cs="Times New Roman"/>
          <w:sz w:val="24"/>
          <w:szCs w:val="24"/>
          <w:lang w:val="en-US"/>
        </w:rPr>
        <w:sectPr w:rsidR="00036A48" w:rsidRPr="007E3675" w:rsidSect="00565A0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E4FE24F" w14:textId="1072EBC9" w:rsidR="00036A48" w:rsidRDefault="00F05AAA" w:rsidP="00036A4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3CC4115" wp14:editId="33DDCDEA">
            <wp:extent cx="8571507" cy="5053938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" r="170" b="1168"/>
                    <a:stretch/>
                  </pic:blipFill>
                  <pic:spPr bwMode="auto">
                    <a:xfrm>
                      <a:off x="0" y="0"/>
                      <a:ext cx="8604715" cy="507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9C884" w14:textId="7658334F" w:rsidR="00036A48" w:rsidRDefault="00E46AA1" w:rsidP="00036A4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Cs w:val="24"/>
          <w:lang w:val="en-US"/>
        </w:rPr>
        <w:sectPr w:rsidR="00036A48" w:rsidSect="00036A4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Sensitivity analyses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the removal of migratory species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. Owing to the difficulty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characteriz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the climatic niche of migratory species, the analyses presented in the main text (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3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) were repeated with full and facultative migrant species excluded. Analyses were conducted on 401 individuals of 45 species.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We here report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the posterior mean and associated 95% credible intervals of predictors and random effects (</w:t>
      </w:r>
      <w:proofErr w:type="gramStart"/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i.e.</w:t>
      </w:r>
      <w:proofErr w:type="gramEnd"/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phylogeny and host species) as estimated by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multinomial phylogenetic </w:t>
      </w:r>
      <w:r w:rsidR="007A059A" w:rsidRPr="007054EB">
        <w:rPr>
          <w:rFonts w:ascii="Times New Roman" w:hAnsi="Times New Roman" w:cs="Times New Roman"/>
          <w:i/>
          <w:sz w:val="24"/>
          <w:szCs w:val="24"/>
          <w:lang w:val="en-US"/>
        </w:rPr>
        <w:t>brms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models with infection status (i.e</w:t>
      </w:r>
      <w:r w:rsidR="007A059A" w:rsidRPr="007054EB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uninfected, infected, co-infected) as the response variable.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odel with climatic niche breadth and climatic niche position </w:t>
      </w:r>
      <w:r w:rsidR="00EF6558">
        <w:rPr>
          <w:rFonts w:ascii="Times New Roman" w:hAnsi="Times New Roman" w:cs="Times New Roman"/>
          <w:sz w:val="24"/>
          <w:szCs w:val="24"/>
          <w:lang w:val="en-US"/>
        </w:rPr>
        <w:t xml:space="preserve">estimated with a kernel density estimator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(KDE) as predictors. (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odel with geographic range size as predictor</w:t>
      </w:r>
      <w:r w:rsidR="00EF6558">
        <w:rPr>
          <w:rFonts w:ascii="Times New Roman" w:hAnsi="Times New Roman" w:cs="Times New Roman"/>
          <w:sz w:val="24"/>
          <w:szCs w:val="24"/>
          <w:lang w:val="en-US"/>
        </w:rPr>
        <w:t xml:space="preserve"> instead of niche breadth and niche po</w:t>
      </w:r>
      <w:r w:rsidR="0033537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F6558">
        <w:rPr>
          <w:rFonts w:ascii="Times New Roman" w:hAnsi="Times New Roman" w:cs="Times New Roman"/>
          <w:sz w:val="24"/>
          <w:szCs w:val="24"/>
          <w:lang w:val="en-US"/>
        </w:rPr>
        <w:t>ition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odel with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A059A" w:rsidRPr="00A81582">
        <w:rPr>
          <w:rFonts w:ascii="Times New Roman" w:hAnsi="Times New Roman" w:cs="Times New Roman"/>
          <w:sz w:val="24"/>
          <w:szCs w:val="24"/>
          <w:lang w:val="en-US"/>
        </w:rPr>
        <w:t>rophic niche - OA1</w:t>
      </w:r>
      <w:r w:rsidR="00B902C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902CE" w:rsidRPr="00334712">
        <w:rPr>
          <w:rFonts w:ascii="Times New Roman" w:hAnsi="Times New Roman" w:cs="Times New Roman"/>
          <w:sz w:val="24"/>
          <w:szCs w:val="24"/>
          <w:lang w:val="en-US"/>
        </w:rPr>
        <w:t>structure of the foraging environment)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>fitted as predictor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instead of species position </w:t>
      </w:r>
      <w:r w:rsidR="00EF655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EF655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the slow-f</w:t>
      </w:r>
      <w:r w:rsidR="007A059A" w:rsidRPr="00A81582">
        <w:rPr>
          <w:rFonts w:ascii="Times New Roman" w:hAnsi="Times New Roman" w:cs="Times New Roman"/>
          <w:sz w:val="24"/>
          <w:szCs w:val="24"/>
          <w:lang w:val="en-US"/>
        </w:rPr>
        <w:t>ast life history continuum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For further details see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main text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36A48" w:rsidRPr="00036A48">
        <w:rPr>
          <w:rFonts w:ascii="Times New Roman" w:hAnsi="Times New Roman" w:cs="Times New Roman"/>
          <w:szCs w:val="24"/>
          <w:lang w:val="en-US"/>
        </w:rPr>
        <w:t xml:space="preserve"> </w:t>
      </w:r>
    </w:p>
    <w:p w14:paraId="117E454D" w14:textId="30B54973" w:rsidR="00036A48" w:rsidRPr="00036A48" w:rsidRDefault="00F52308" w:rsidP="00036A4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inline distT="0" distB="0" distL="0" distR="0" wp14:anchorId="4314801A" wp14:editId="5D638E6C">
            <wp:extent cx="6645216" cy="6230652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16" cy="62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54A2E" w14:textId="77777777" w:rsidR="00036A48" w:rsidRDefault="00036A48" w:rsidP="00036A48">
      <w:pPr>
        <w:spacing w:line="276" w:lineRule="auto"/>
        <w:jc w:val="both"/>
        <w:rPr>
          <w:rFonts w:ascii="Times New Roman" w:hAnsi="Times New Roman" w:cs="Times New Roman"/>
          <w:b/>
          <w:szCs w:val="24"/>
          <w:lang w:val="en-US"/>
        </w:rPr>
      </w:pPr>
    </w:p>
    <w:p w14:paraId="39799C7C" w14:textId="4ED13CFC" w:rsidR="007A059A" w:rsidRPr="007054EB" w:rsidRDefault="00F8294C" w:rsidP="007A059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Sensitivity analyses of the effect of niche breadth and niche position on single- and co-infection rates according to the use of three different algorithms to quantify climatic niches.</w:t>
      </w:r>
      <w:r w:rsidR="007A05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>) Analyses carr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ied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out on the full data set and </w:t>
      </w:r>
      <w:r w:rsidR="007A059A" w:rsidRPr="00F8294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A059A" w:rsidRPr="0033471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>) on the data set where full and facultative migrant species were excluded.</w:t>
      </w:r>
      <w:r w:rsidR="007A059A" w:rsidRPr="00FA70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>For each dataset, three models were run with climatic niche predictors (niche breadth and niche position</w:t>
      </w:r>
      <w:r w:rsidR="00EF6558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 along the two </w:t>
      </w:r>
      <w:r w:rsidR="00F52308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principal component analysis </w:t>
      </w:r>
      <w:r w:rsidR="00FA70F4">
        <w:rPr>
          <w:rFonts w:ascii="Times New Roman" w:hAnsi="Times New Roman" w:cs="Times New Roman"/>
          <w:sz w:val="24"/>
          <w:szCs w:val="24"/>
          <w:lang w:val="en-US"/>
        </w:rPr>
        <w:t>(PCA)</w:t>
      </w:r>
      <w:r w:rsidR="00F52308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6558" w:rsidRPr="00FA70F4">
        <w:rPr>
          <w:rFonts w:ascii="Times New Roman" w:hAnsi="Times New Roman" w:cs="Times New Roman"/>
          <w:sz w:val="24"/>
          <w:szCs w:val="24"/>
          <w:lang w:val="en-US"/>
        </w:rPr>
        <w:t>axes</w:t>
      </w:r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) estimated using three different algorithms: kernel density estimators (KDE) presented in the main text, convex hull (Chull) and alpha hull (Ahull). Chull </w:t>
      </w:r>
      <w:r w:rsidR="00EF6558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defined as the smallest convex set that contains all samples. Ahull and KDE are extensions of Chull where non-convex and irregular shapes are allowed. While Chull </w:t>
      </w:r>
      <w:proofErr w:type="gramStart"/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 sensitive to outliers, Ahull and KDE are sensitive to the density of points in the environmental space. Chull is parameter-free whereas </w:t>
      </w:r>
      <w:proofErr w:type="gramStart"/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>Ahull</w:t>
      </w:r>
      <w:proofErr w:type="gramEnd"/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 and KDE depend on a parameter that controls the shape of the envelope (the bandwidth; see </w:t>
      </w:r>
      <w:r w:rsidR="00565F1D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Section </w:t>
      </w:r>
      <w:r w:rsidR="00F52308" w:rsidRPr="00334712">
        <w:rPr>
          <w:rFonts w:ascii="Times New Roman" w:hAnsi="Times New Roman" w:cs="Times New Roman"/>
          <w:sz w:val="24"/>
          <w:szCs w:val="24"/>
          <w:lang w:val="en-US"/>
        </w:rPr>
        <w:t>2.2.2</w:t>
      </w:r>
      <w:r w:rsidR="00565F1D" w:rsidRPr="00FA70F4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7A059A" w:rsidRPr="00FA70F4">
        <w:rPr>
          <w:rFonts w:ascii="Times New Roman" w:hAnsi="Times New Roman" w:cs="Times New Roman"/>
          <w:sz w:val="24"/>
          <w:szCs w:val="24"/>
          <w:lang w:val="en-US"/>
        </w:rPr>
        <w:t>main text). For Ahull, we adopted an iterative procedure staring with an alpha value of one and then incrementing the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value of the parameter by steps of 0.2 until 99% of points were included in the envelope. Posterior mean estimates of geographic </w:t>
      </w:r>
      <w:r w:rsidR="00565F1D">
        <w:rPr>
          <w:rFonts w:ascii="Times New Roman" w:hAnsi="Times New Roman" w:cs="Times New Roman"/>
          <w:sz w:val="24"/>
          <w:szCs w:val="24"/>
          <w:lang w:val="en-US"/>
        </w:rPr>
        <w:t xml:space="preserve">(Geo.)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range size on infection </w:t>
      </w:r>
      <w:r w:rsidR="00565F1D">
        <w:rPr>
          <w:rFonts w:ascii="Times New Roman" w:hAnsi="Times New Roman" w:cs="Times New Roman"/>
          <w:sz w:val="24"/>
          <w:szCs w:val="24"/>
          <w:lang w:val="en-US"/>
        </w:rPr>
        <w:t xml:space="preserve">(inf) 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and co-infection status was also plotted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the figure.</w:t>
      </w:r>
    </w:p>
    <w:p w14:paraId="7B6B8AD1" w14:textId="3879F35A" w:rsidR="00036A48" w:rsidRPr="00036A48" w:rsidRDefault="00036A48" w:rsidP="00036A48">
      <w:pPr>
        <w:spacing w:line="276" w:lineRule="auto"/>
        <w:jc w:val="both"/>
        <w:rPr>
          <w:rFonts w:ascii="Times New Roman" w:hAnsi="Times New Roman" w:cs="Times New Roman"/>
          <w:b/>
          <w:szCs w:val="24"/>
          <w:lang w:val="en-US"/>
        </w:rPr>
      </w:pPr>
    </w:p>
    <w:p w14:paraId="67B97866" w14:textId="4C1D5FCB" w:rsidR="00036A48" w:rsidRDefault="00036A48" w:rsidP="00036A48">
      <w:pPr>
        <w:jc w:val="center"/>
        <w:rPr>
          <w:rFonts w:ascii="Times New Roman" w:hAnsi="Times New Roman" w:cs="Times New Roman"/>
          <w:sz w:val="24"/>
          <w:lang w:val="en-US"/>
        </w:rPr>
      </w:pPr>
    </w:p>
    <w:p w14:paraId="7D904AB0" w14:textId="6519D623" w:rsidR="00F52308" w:rsidRPr="006E6A15" w:rsidRDefault="00F52308" w:rsidP="00036A48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2B38DF19" wp14:editId="3128FFE7">
            <wp:extent cx="5474682" cy="760237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682" cy="76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7556" w14:textId="3974CC2D" w:rsidR="007A059A" w:rsidRDefault="00565F1D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Sensitivity analyses of the effect of niche breadth and niche position on infection risk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for</w:t>
      </w:r>
      <w:r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each </w:t>
      </w:r>
      <w:r w:rsidR="0029154B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parasite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genus according to the use of three different algorithms to quantify climatic niches.</w:t>
      </w:r>
      <w:r w:rsidR="007A059A" w:rsidRPr="00565F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further details see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4</w:t>
      </w:r>
      <w:r w:rsidR="007A059A" w:rsidRPr="00565F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 the main text </w:t>
      </w:r>
      <w:r w:rsidR="007A059A" w:rsidRPr="00565F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Supplementary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S</w:t>
      </w:r>
      <w:r w:rsidR="00EF6558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55B218A" w14:textId="6E5B8DEA" w:rsidR="001812BE" w:rsidRPr="00334712" w:rsidRDefault="001812BE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68948F8" w14:textId="1501C449" w:rsidR="00D2504D" w:rsidRDefault="003D5E4E" w:rsidP="00036A48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7FD3D7B1" w14:textId="253D836B" w:rsidR="00D2504D" w:rsidRDefault="00D2504D">
      <w:pPr>
        <w:rPr>
          <w:rFonts w:ascii="Times New Roman" w:hAnsi="Times New Roman" w:cs="Times New Roman"/>
          <w:sz w:val="24"/>
          <w:lang w:val="en-US"/>
        </w:rPr>
      </w:pPr>
    </w:p>
    <w:p w14:paraId="65C4D086" w14:textId="77777777" w:rsidR="00D2504D" w:rsidRDefault="00D2504D" w:rsidP="00D2504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2B8757E" w14:textId="76469CA9" w:rsidR="00D2504D" w:rsidRDefault="00D2504D" w:rsidP="00E5070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6DE97A7" wp14:editId="1A66D6AE">
            <wp:simplePos x="1300480" y="944880"/>
            <wp:positionH relativeFrom="column">
              <wp:posOffset>1300480</wp:posOffset>
            </wp:positionH>
            <wp:positionV relativeFrom="paragraph">
              <wp:align>top</wp:align>
            </wp:positionV>
            <wp:extent cx="4962381" cy="7455535"/>
            <wp:effectExtent l="0" t="0" r="381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2_06.09.21 ancienne version_Page_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/>
                    <a:stretch/>
                  </pic:blipFill>
                  <pic:spPr bwMode="auto">
                    <a:xfrm>
                      <a:off x="0" y="0"/>
                      <a:ext cx="4962381" cy="745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070A">
        <w:rPr>
          <w:rFonts w:ascii="Times New Roman" w:hAnsi="Times New Roman" w:cs="Times New Roman"/>
          <w:b/>
          <w:sz w:val="24"/>
          <w:szCs w:val="24"/>
          <w:lang w:val="en-US"/>
        </w:rPr>
        <w:br w:type="textWrapping" w:clear="all"/>
      </w:r>
    </w:p>
    <w:p w14:paraId="424CBD2A" w14:textId="204915EA" w:rsidR="003D5E4E" w:rsidRPr="0072156D" w:rsidRDefault="00114147" w:rsidP="00D2504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D2504D" w:rsidRPr="00081826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2504D" w:rsidRPr="000818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2504D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D2504D" w:rsidRPr="000818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D2504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Haemosporidian infection </w:t>
      </w:r>
      <w:r w:rsidR="00EF6558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co-infection rates </w:t>
      </w:r>
      <w:r w:rsidR="00D2504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across the avian phylogeny</w:t>
      </w:r>
      <w:r w:rsidR="00D2504D" w:rsidRPr="0011414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D2504D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 xml:space="preserve">overall </w:t>
      </w:r>
      <w:r w:rsidR="00D2504D" w:rsidRPr="00081826">
        <w:rPr>
          <w:rFonts w:ascii="Times New Roman" w:hAnsi="Times New Roman" w:cs="Times New Roman"/>
          <w:sz w:val="24"/>
          <w:szCs w:val="24"/>
          <w:lang w:val="en-US"/>
        </w:rPr>
        <w:t>proportion of infected individuals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 xml:space="preserve"> (single and co-infected)</w:t>
      </w:r>
      <w:r w:rsidR="00D2504D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, for each bird species for which at least five individuals were sampled, was mapped as a continuous trait. The consensus tree was generated from 1000 phylogenies obtained from </w:t>
      </w:r>
      <w:r w:rsidR="00D2504D" w:rsidRPr="00334712">
        <w:rPr>
          <w:rFonts w:ascii="Times New Roman" w:hAnsi="Times New Roman" w:cs="Times New Roman"/>
          <w:sz w:val="24"/>
          <w:szCs w:val="24"/>
          <w:u w:val="single"/>
          <w:lang w:val="en-US"/>
        </w:rPr>
        <w:t>BirdTree.org</w:t>
      </w:r>
      <w:r w:rsidR="00D2504D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504D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The bar plot represents the proportion of co-infected individuals 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 xml:space="preserve">among </w:t>
      </w:r>
      <w:r w:rsidR="00D2504D" w:rsidRPr="007054EB">
        <w:rPr>
          <w:rFonts w:ascii="Times New Roman" w:hAnsi="Times New Roman" w:cs="Times New Roman"/>
          <w:sz w:val="24"/>
          <w:szCs w:val="24"/>
          <w:lang w:val="en-US"/>
        </w:rPr>
        <w:t>infected individual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504D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504D" w:rsidRPr="00E52F50">
        <w:rPr>
          <w:rFonts w:ascii="Times New Roman" w:hAnsi="Times New Roman" w:cs="Times New Roman"/>
          <w:sz w:val="24"/>
          <w:szCs w:val="24"/>
          <w:lang w:val="en-US"/>
        </w:rPr>
        <w:t>The number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504D" w:rsidRPr="00E52F50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sz w:val="24"/>
          <w:szCs w:val="24"/>
          <w:lang w:val="en-US"/>
        </w:rPr>
        <w:t>parentheses</w:t>
      </w:r>
      <w:r w:rsidRPr="00E52F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04D" w:rsidRPr="00E52F50">
        <w:rPr>
          <w:rFonts w:ascii="Times New Roman" w:hAnsi="Times New Roman" w:cs="Times New Roman"/>
          <w:sz w:val="24"/>
          <w:szCs w:val="24"/>
          <w:lang w:val="en-US"/>
        </w:rPr>
        <w:t>correspond to the sample size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504D" w:rsidRPr="00E52F50">
        <w:rPr>
          <w:rFonts w:ascii="Times New Roman" w:hAnsi="Times New Roman" w:cs="Times New Roman"/>
          <w:sz w:val="24"/>
          <w:szCs w:val="24"/>
          <w:lang w:val="en-US"/>
        </w:rPr>
        <w:t xml:space="preserve"> per species. 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D2504D" w:rsidRPr="007054EB">
        <w:rPr>
          <w:rFonts w:ascii="Times New Roman" w:hAnsi="Times New Roman" w:cs="Times New Roman"/>
          <w:sz w:val="24"/>
          <w:szCs w:val="24"/>
          <w:lang w:val="en-US"/>
        </w:rPr>
        <w:t>etter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504D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(from A to O) correspond to bird order</w:t>
      </w:r>
      <w:r w:rsidR="00D2504D">
        <w:rPr>
          <w:rFonts w:ascii="Times New Roman" w:hAnsi="Times New Roman" w:cs="Times New Roman"/>
          <w:sz w:val="24"/>
          <w:szCs w:val="24"/>
          <w:lang w:val="en-US"/>
        </w:rPr>
        <w:t>s.</w:t>
      </w:r>
      <w:r w:rsidR="00D2504D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04D" w:rsidRPr="0072156D">
        <w:rPr>
          <w:rFonts w:ascii="Times New Roman" w:hAnsi="Times New Roman" w:cs="Times New Roman"/>
          <w:sz w:val="24"/>
          <w:szCs w:val="24"/>
          <w:lang w:val="en-US"/>
        </w:rPr>
        <w:t>A: Galliforme, B: Anseriformes, C: Columbiformes, D: Ciconiiformes, E: Podicepediformes, F: Gruiformes, G: Charadriiformes, H: Cuculiformes, I: Apodiformes, J: Accipitriformes, K: Strigiformes, L: Coraciiformes, M: Piciformes, N: Falconiformes, O: Passeriformes</w:t>
      </w:r>
    </w:p>
    <w:p w14:paraId="35F8F541" w14:textId="2AE583D9" w:rsidR="003D5E4E" w:rsidRPr="0072156D" w:rsidRDefault="003D5E4E" w:rsidP="00036A48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3EB723CE" w14:textId="77777777" w:rsidR="00036A48" w:rsidRDefault="00036A48" w:rsidP="00036A48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fr-FR" w:eastAsia="fr-FR"/>
        </w:rPr>
        <w:drawing>
          <wp:inline distT="0" distB="0" distL="0" distR="0" wp14:anchorId="28083243" wp14:editId="5D7D0F4D">
            <wp:extent cx="6873240" cy="681990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333" cy="68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01C2" w14:textId="0B405A0D" w:rsidR="007A059A" w:rsidRDefault="00114147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Infection rate by each </w:t>
      </w:r>
      <w:r w:rsidR="0011426A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aemosporidian genus across the avian phylogeny</w:t>
      </w:r>
      <w:r w:rsidR="007A059A" w:rsidRPr="0011426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The proportion of individuals infected by each parasite genera for each well-sampled host species (≥ 5 individuals) was mapped as a continuous trait. The consensus tree was generated from 1000 phylogenies obtained fro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="007A059A" w:rsidRPr="00334712">
        <w:rPr>
          <w:rFonts w:ascii="Times New Roman" w:hAnsi="Times New Roman" w:cs="Times New Roman"/>
          <w:sz w:val="24"/>
          <w:szCs w:val="24"/>
          <w:u w:val="single"/>
          <w:lang w:val="en-US"/>
        </w:rPr>
        <w:t>BirdTree.org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A059A" w:rsidRPr="00012869">
        <w:rPr>
          <w:rFonts w:ascii="Times New Roman" w:hAnsi="Times New Roman" w:cs="Times New Roman"/>
          <w:sz w:val="24"/>
          <w:szCs w:val="24"/>
          <w:lang w:val="en-US"/>
        </w:rPr>
        <w:t>backbone tree from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059A" w:rsidRPr="00140042">
        <w:rPr>
          <w:rFonts w:ascii="Times New Roman" w:hAnsi="Times New Roman" w:cs="Times New Roman"/>
          <w:sz w:val="24"/>
          <w:szCs w:val="24"/>
        </w:rPr>
        <w:t xml:space="preserve">Hackett </w:t>
      </w:r>
      <w:r w:rsidR="007A059A" w:rsidRPr="00334712">
        <w:rPr>
          <w:rFonts w:ascii="Times New Roman" w:hAnsi="Times New Roman" w:cs="Times New Roman"/>
          <w:sz w:val="24"/>
          <w:szCs w:val="24"/>
        </w:rPr>
        <w:t>et al.</w:t>
      </w:r>
      <w:r w:rsidR="007A059A" w:rsidRPr="00140042">
        <w:rPr>
          <w:rFonts w:ascii="Times New Roman" w:hAnsi="Times New Roman" w:cs="Times New Roman"/>
          <w:sz w:val="24"/>
          <w:szCs w:val="24"/>
        </w:rPr>
        <w:t xml:space="preserve"> 2008)</w:t>
      </w:r>
      <w:r w:rsidR="007A059A" w:rsidRPr="0008182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7199113" w14:textId="77777777" w:rsidR="0011426A" w:rsidRDefault="0011426A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63CED1" w14:textId="386038E5" w:rsidR="0011426A" w:rsidRPr="00334712" w:rsidRDefault="0011426A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4712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</w:t>
      </w:r>
    </w:p>
    <w:p w14:paraId="4B8B6CD7" w14:textId="77777777" w:rsidR="00F52308" w:rsidRPr="001B2656" w:rsidRDefault="00F52308" w:rsidP="00F52308">
      <w:pPr>
        <w:pStyle w:val="Bibliography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B2656">
        <w:rPr>
          <w:rFonts w:ascii="Times New Roman" w:hAnsi="Times New Roman" w:cs="Times New Roman"/>
          <w:color w:val="000000" w:themeColor="text1"/>
          <w:sz w:val="24"/>
        </w:rPr>
        <w:t>Hackett, S.J., Kimball, R.T., Reddy, S., Bowie, R.C.K., Braun, E.L., Braun, M.J., Chojnowski, J.L., Cox, W.A., Han, K.-L., Harshman, J., Huddleston, C.J., Marks, B.D., Miglia, K.J., Moore, W.S., Sheldon, F.H., Steadman, D.W., Witt, C.C., Yuri, T., 2008. A Phylogenomic study of birds reveals their evolutionary history. Science 320, 1763–1768. https://doi.org/10.1126/science.1157704</w:t>
      </w:r>
    </w:p>
    <w:p w14:paraId="0387993A" w14:textId="77777777" w:rsidR="0061629C" w:rsidRDefault="0061629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040DF847" w14:textId="6E434C01" w:rsidR="00036A48" w:rsidRDefault="002A683E" w:rsidP="00036A4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26C7C424" wp14:editId="668428D3">
            <wp:extent cx="6645910" cy="5694680"/>
            <wp:effectExtent l="0" t="0" r="254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5384" w14:textId="19907360" w:rsidR="007A059A" w:rsidRPr="007054EB" w:rsidRDefault="00D90EDA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Sensitivity analyses to the inclusion of geographic range size and OA1</w:t>
      </w:r>
      <w:r w:rsidR="00B902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B902CE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structure of the foraging environment</w:t>
      </w:r>
      <w:r w:rsidR="00B902CE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single-and co-infection probabilit</w:t>
      </w:r>
      <w:r w:rsidR="00B44EF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ies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replacement of predictors they were correlated with (life-history strategy and climatic niche breadth).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 xml:space="preserve">For further details see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main text</w:t>
      </w:r>
      <w:r w:rsidR="007A059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D0CFA7" w14:textId="77777777" w:rsidR="0061629C" w:rsidRDefault="0061629C" w:rsidP="00036A48">
      <w:pPr>
        <w:ind w:firstLine="708"/>
        <w:rPr>
          <w:rFonts w:ascii="Times New Roman" w:hAnsi="Times New Roman" w:cs="Times New Roman"/>
          <w:sz w:val="24"/>
          <w:lang w:val="en-US"/>
        </w:rPr>
        <w:sectPr w:rsidR="0061629C" w:rsidSect="00036A4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B7CD3B2" w14:textId="55A6E84A" w:rsidR="00B13287" w:rsidRDefault="00B13287" w:rsidP="00A3560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14:paraId="5BBB27E3" w14:textId="55C2DF26" w:rsidR="0061629C" w:rsidRDefault="00B13287" w:rsidP="00A3560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2FF7AB58" wp14:editId="6D965CBA">
            <wp:extent cx="6645910" cy="501396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29C">
        <w:rPr>
          <w:rFonts w:ascii="Times New Roman" w:hAnsi="Times New Roman" w:cs="Times New Roman"/>
          <w:sz w:val="24"/>
          <w:lang w:val="en-US"/>
        </w:rPr>
        <w:br w:type="textWrapping" w:clear="all"/>
      </w:r>
    </w:p>
    <w:p w14:paraId="0C86BB2E" w14:textId="287EA57B" w:rsidR="007A059A" w:rsidRPr="00334712" w:rsidRDefault="00584FEC" w:rsidP="007A05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7A059A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Sensitivity analyses to the inclusion of geographic range size and OA1 </w:t>
      </w:r>
      <w:r w:rsidR="00B902CE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B902CE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structure of the foraging environment</w:t>
      </w:r>
      <w:r w:rsidR="00B902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on </w:t>
      </w:r>
      <w:r w:rsidR="00B44EF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inflection probability by each </w:t>
      </w:r>
      <w:r w:rsidR="0029154B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parasite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genus in replacement of predictors they were correlated with (life-history strategy and climatic niche breadth).</w:t>
      </w:r>
      <w:r w:rsidR="007A059A" w:rsidRPr="00584FE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further details see 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7A059A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. 3</w:t>
      </w:r>
      <w:r w:rsidR="003D42A2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D42A2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main text</w:t>
      </w:r>
      <w:r w:rsidR="007A059A" w:rsidRPr="00584FE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79B4210" w14:textId="77777777" w:rsidR="00B87C86" w:rsidRDefault="00B87C8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4A425DEB" w14:textId="2F2E8FEA" w:rsidR="00B87C86" w:rsidRDefault="002610E3" w:rsidP="00B87C86">
      <w:pPr>
        <w:tabs>
          <w:tab w:val="left" w:pos="1305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2853C0C7" wp14:editId="0A55CCEB">
            <wp:extent cx="5391150" cy="682161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84" cy="68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CEBE" w14:textId="53B2F39A" w:rsidR="00B87C86" w:rsidRDefault="00D604B1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>.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 xml:space="preserve"> S</w:t>
      </w:r>
      <w:r w:rsidR="007E3675">
        <w:rPr>
          <w:rFonts w:ascii="Times New Roman" w:hAnsi="Times New Roman" w:cs="Times New Roman"/>
          <w:b/>
          <w:sz w:val="24"/>
          <w:lang w:val="en-US"/>
        </w:rPr>
        <w:t>10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>.</w:t>
      </w:r>
      <w:r w:rsidR="00B87C86">
        <w:rPr>
          <w:rFonts w:ascii="Times New Roman" w:hAnsi="Times New Roman" w:cs="Times New Roman"/>
          <w:sz w:val="24"/>
          <w:lang w:val="en-US"/>
        </w:rPr>
        <w:t xml:space="preserve"> 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Sensitivity analyses to the inclusion of sampling month and year on single-and co-infection probabilit</w:t>
      </w:r>
      <w:r w:rsidR="00B44EF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ies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B87C86" w:rsidRPr="0029154B">
        <w:rPr>
          <w:rFonts w:ascii="Times New Roman" w:hAnsi="Times New Roman" w:cs="Times New Roman"/>
          <w:sz w:val="24"/>
          <w:szCs w:val="24"/>
          <w:lang w:val="en-US"/>
        </w:rPr>
        <w:t xml:space="preserve">The analysis was conducted on </w:t>
      </w:r>
      <w:r w:rsidR="00B87C86" w:rsidRPr="00280F84">
        <w:rPr>
          <w:rFonts w:ascii="Times New Roman" w:hAnsi="Times New Roman" w:cs="Times New Roman"/>
          <w:sz w:val="24"/>
          <w:szCs w:val="24"/>
          <w:lang w:val="en-US"/>
        </w:rPr>
        <w:t>1162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EFD">
        <w:rPr>
          <w:rFonts w:ascii="Times New Roman" w:hAnsi="Times New Roman" w:cs="Times New Roman"/>
          <w:sz w:val="24"/>
          <w:szCs w:val="24"/>
          <w:lang w:val="en-US"/>
        </w:rPr>
        <w:t xml:space="preserve">individuals </w:t>
      </w:r>
      <w:r w:rsidR="00B87C86" w:rsidRPr="0029154B">
        <w:rPr>
          <w:rFonts w:ascii="Times New Roman" w:hAnsi="Times New Roman" w:cs="Times New Roman"/>
          <w:sz w:val="24"/>
          <w:szCs w:val="24"/>
          <w:lang w:val="en-US"/>
        </w:rPr>
        <w:t xml:space="preserve">for which the collection date was available. 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 xml:space="preserve">For further details see 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main text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3065">
        <w:rPr>
          <w:rFonts w:ascii="Times New Roman" w:hAnsi="Times New Roman" w:cs="Times New Roman"/>
          <w:sz w:val="24"/>
          <w:szCs w:val="24"/>
          <w:lang w:val="en-US"/>
        </w:rPr>
        <w:t>KDE</w:t>
      </w:r>
      <w:r w:rsidR="00CD3065" w:rsidRPr="003347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902CE" w:rsidRPr="003347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3065" w:rsidRPr="0033471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902CE" w:rsidRPr="00334712">
        <w:rPr>
          <w:rFonts w:ascii="Times New Roman" w:hAnsi="Times New Roman" w:cs="Times New Roman"/>
          <w:sz w:val="24"/>
          <w:szCs w:val="24"/>
          <w:lang w:val="en-US"/>
        </w:rPr>
        <w:t xml:space="preserve">ernel density estimation </w:t>
      </w:r>
    </w:p>
    <w:p w14:paraId="4C1D4F13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1B6F7614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1E119F81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2520E138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796CF483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63ED3741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1E6DA796" w14:textId="77777777" w:rsidR="00B87C86" w:rsidRDefault="00B87C86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6FC2D957" w14:textId="133849FE" w:rsidR="00B87C86" w:rsidRDefault="00B87C86" w:rsidP="00B87C86">
      <w:pPr>
        <w:tabs>
          <w:tab w:val="left" w:pos="1305"/>
        </w:tabs>
        <w:jc w:val="center"/>
        <w:rPr>
          <w:rFonts w:ascii="Times New Roman" w:hAnsi="Times New Roman" w:cs="Times New Roman"/>
          <w:sz w:val="24"/>
          <w:lang w:val="en-US"/>
        </w:rPr>
      </w:pPr>
    </w:p>
    <w:p w14:paraId="2CC58DC8" w14:textId="272EA9C4" w:rsidR="00B902CE" w:rsidRDefault="00B902CE" w:rsidP="00B87C86">
      <w:pPr>
        <w:tabs>
          <w:tab w:val="left" w:pos="1305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44337BE0" wp14:editId="31D2245F">
            <wp:extent cx="5608806" cy="701710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70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D31F" w14:textId="74E72103" w:rsidR="00B87C86" w:rsidRDefault="00D604B1" w:rsidP="00B87C86">
      <w:pPr>
        <w:tabs>
          <w:tab w:val="left" w:pos="13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>.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 xml:space="preserve"> S</w:t>
      </w:r>
      <w:r w:rsidR="00D2504D">
        <w:rPr>
          <w:rFonts w:ascii="Times New Roman" w:hAnsi="Times New Roman" w:cs="Times New Roman"/>
          <w:b/>
          <w:sz w:val="24"/>
          <w:lang w:val="en-US"/>
        </w:rPr>
        <w:t>1</w:t>
      </w:r>
      <w:r w:rsidR="007E3675">
        <w:rPr>
          <w:rFonts w:ascii="Times New Roman" w:hAnsi="Times New Roman" w:cs="Times New Roman"/>
          <w:b/>
          <w:sz w:val="24"/>
          <w:lang w:val="en-US"/>
        </w:rPr>
        <w:t>1</w:t>
      </w:r>
      <w:r w:rsidR="00B87C86" w:rsidRPr="009B6E99">
        <w:rPr>
          <w:rFonts w:ascii="Times New Roman" w:hAnsi="Times New Roman" w:cs="Times New Roman"/>
          <w:b/>
          <w:sz w:val="24"/>
          <w:lang w:val="en-US"/>
        </w:rPr>
        <w:t>.</w:t>
      </w:r>
      <w:r w:rsidR="00B87C86">
        <w:rPr>
          <w:rFonts w:ascii="Times New Roman" w:hAnsi="Times New Roman" w:cs="Times New Roman"/>
          <w:sz w:val="24"/>
          <w:lang w:val="en-US"/>
        </w:rPr>
        <w:t xml:space="preserve"> 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Sensitivity analyses to the inclusion of sampling month and year on</w:t>
      </w:r>
      <w:r w:rsidR="00B44EFD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inflection probability by each parasite genus.</w:t>
      </w:r>
      <w:r w:rsidR="00B87C86" w:rsidRPr="007054E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87C86" w:rsidRPr="0029154B">
        <w:rPr>
          <w:rFonts w:ascii="Times New Roman" w:hAnsi="Times New Roman" w:cs="Times New Roman"/>
          <w:sz w:val="24"/>
          <w:szCs w:val="24"/>
          <w:lang w:val="en-US"/>
        </w:rPr>
        <w:t xml:space="preserve">The analysis was conducted on </w:t>
      </w:r>
      <w:r w:rsidR="00B87C86" w:rsidRPr="00280F84">
        <w:rPr>
          <w:rFonts w:ascii="Times New Roman" w:hAnsi="Times New Roman" w:cs="Times New Roman"/>
          <w:sz w:val="24"/>
          <w:szCs w:val="24"/>
          <w:lang w:val="en-US"/>
        </w:rPr>
        <w:t>1162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EFD">
        <w:rPr>
          <w:rFonts w:ascii="Times New Roman" w:hAnsi="Times New Roman" w:cs="Times New Roman"/>
          <w:sz w:val="24"/>
          <w:szCs w:val="24"/>
          <w:lang w:val="en-US"/>
        </w:rPr>
        <w:t xml:space="preserve">individuals </w:t>
      </w:r>
      <w:r w:rsidR="00B87C86" w:rsidRPr="0029154B">
        <w:rPr>
          <w:rFonts w:ascii="Times New Roman" w:hAnsi="Times New Roman" w:cs="Times New Roman"/>
          <w:sz w:val="24"/>
          <w:szCs w:val="24"/>
          <w:lang w:val="en-US"/>
        </w:rPr>
        <w:t xml:space="preserve">for which the collection date was available. 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 xml:space="preserve">For further details see </w:t>
      </w:r>
      <w:r w:rsidR="00B87C86" w:rsidRPr="00334712">
        <w:rPr>
          <w:rFonts w:ascii="Times New Roman" w:hAnsi="Times New Roman" w:cs="Times New Roman"/>
          <w:bCs/>
          <w:sz w:val="24"/>
          <w:szCs w:val="24"/>
          <w:lang w:val="en-US"/>
        </w:rPr>
        <w:t>Fig.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the main text</w:t>
      </w:r>
      <w:r w:rsidR="00B87C8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EFD36D" w14:textId="687F311F" w:rsidR="001812BE" w:rsidRDefault="001812BE" w:rsidP="00B87C86">
      <w:pPr>
        <w:tabs>
          <w:tab w:val="left" w:pos="1305"/>
        </w:tabs>
        <w:rPr>
          <w:rFonts w:ascii="Times New Roman" w:hAnsi="Times New Roman" w:cs="Times New Roman"/>
          <w:sz w:val="24"/>
          <w:lang w:val="en-US"/>
        </w:rPr>
      </w:pPr>
    </w:p>
    <w:p w14:paraId="5068111F" w14:textId="611F8BDF" w:rsidR="003D42A2" w:rsidRDefault="003D42A2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1245E679" w14:textId="23CD2099" w:rsidR="00B87C86" w:rsidRDefault="00335373" w:rsidP="003D42A2">
      <w:pPr>
        <w:tabs>
          <w:tab w:val="left" w:pos="1305"/>
        </w:tabs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332D26E6" wp14:editId="5BDC5981">
            <wp:extent cx="4865030" cy="705368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30" cy="70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EDAC" w14:textId="1D593B42" w:rsidR="003D42A2" w:rsidRPr="00D604B1" w:rsidRDefault="00D604B1" w:rsidP="003D4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3D42A2" w:rsidRPr="009B6E99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>.</w:t>
      </w:r>
      <w:r w:rsidR="003D42A2" w:rsidRPr="009B6E99">
        <w:rPr>
          <w:rFonts w:ascii="Times New Roman" w:hAnsi="Times New Roman" w:cs="Times New Roman"/>
          <w:b/>
          <w:sz w:val="24"/>
          <w:lang w:val="en-US"/>
        </w:rPr>
        <w:t xml:space="preserve"> S</w:t>
      </w:r>
      <w:r w:rsidR="003D42A2">
        <w:rPr>
          <w:rFonts w:ascii="Times New Roman" w:hAnsi="Times New Roman" w:cs="Times New Roman"/>
          <w:b/>
          <w:sz w:val="24"/>
          <w:lang w:val="en-US"/>
        </w:rPr>
        <w:t>1</w:t>
      </w:r>
      <w:r w:rsidR="007E3675">
        <w:rPr>
          <w:rFonts w:ascii="Times New Roman" w:hAnsi="Times New Roman" w:cs="Times New Roman"/>
          <w:b/>
          <w:sz w:val="24"/>
          <w:lang w:val="en-US"/>
        </w:rPr>
        <w:t>2</w:t>
      </w:r>
      <w:r w:rsidR="003D42A2" w:rsidRPr="009B6E99">
        <w:rPr>
          <w:rFonts w:ascii="Times New Roman" w:hAnsi="Times New Roman" w:cs="Times New Roman"/>
          <w:b/>
          <w:sz w:val="24"/>
          <w:lang w:val="en-US"/>
        </w:rPr>
        <w:t>.</w:t>
      </w:r>
      <w:r w:rsidR="003D42A2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3D42A2" w:rsidRPr="00334712">
        <w:rPr>
          <w:rFonts w:ascii="Times New Roman" w:hAnsi="Times New Roman" w:cs="Times New Roman"/>
          <w:sz w:val="24"/>
          <w:szCs w:val="24"/>
        </w:rPr>
        <w:t>Posterior mean and associated 95% credible intervals of fixed and random effects (</w:t>
      </w:r>
      <w:proofErr w:type="gramStart"/>
      <w:r w:rsidR="003D42A2" w:rsidRPr="00334712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="003D42A2" w:rsidRPr="00334712">
        <w:rPr>
          <w:rFonts w:ascii="Times New Roman" w:hAnsi="Times New Roman" w:cs="Times New Roman"/>
          <w:sz w:val="24"/>
          <w:szCs w:val="24"/>
        </w:rPr>
        <w:t xml:space="preserve"> phylogeny and host species) as estimated by </w:t>
      </w:r>
      <w:r w:rsidR="006A60B0" w:rsidRPr="00334712">
        <w:rPr>
          <w:rFonts w:ascii="Times New Roman" w:hAnsi="Times New Roman" w:cs="Times New Roman"/>
          <w:sz w:val="24"/>
          <w:szCs w:val="24"/>
        </w:rPr>
        <w:t xml:space="preserve">a </w:t>
      </w:r>
      <w:r w:rsidR="003D42A2" w:rsidRPr="00334712">
        <w:rPr>
          <w:rFonts w:ascii="Times New Roman" w:hAnsi="Times New Roman" w:cs="Times New Roman"/>
          <w:sz w:val="24"/>
          <w:szCs w:val="24"/>
        </w:rPr>
        <w:t xml:space="preserve">multinomial phylogenetic </w:t>
      </w:r>
      <w:r w:rsidR="003D42A2" w:rsidRPr="00334712">
        <w:rPr>
          <w:rFonts w:ascii="Times New Roman" w:hAnsi="Times New Roman" w:cs="Times New Roman"/>
          <w:i/>
          <w:iCs/>
          <w:sz w:val="24"/>
          <w:szCs w:val="24"/>
        </w:rPr>
        <w:t xml:space="preserve">brms </w:t>
      </w:r>
      <w:r w:rsidR="003D42A2" w:rsidRPr="00334712">
        <w:rPr>
          <w:rFonts w:ascii="Times New Roman" w:hAnsi="Times New Roman" w:cs="Times New Roman"/>
          <w:sz w:val="24"/>
          <w:szCs w:val="24"/>
        </w:rPr>
        <w:t>model with four infection status</w:t>
      </w:r>
      <w:r>
        <w:rPr>
          <w:rFonts w:ascii="Times New Roman" w:hAnsi="Times New Roman" w:cs="Times New Roman"/>
          <w:sz w:val="24"/>
          <w:szCs w:val="24"/>
        </w:rPr>
        <w:t>es</w:t>
      </w:r>
      <w:r w:rsidR="003D42A2" w:rsidRPr="00334712">
        <w:rPr>
          <w:rFonts w:ascii="Times New Roman" w:hAnsi="Times New Roman" w:cs="Times New Roman"/>
          <w:sz w:val="24"/>
          <w:szCs w:val="24"/>
        </w:rPr>
        <w:t xml:space="preserve"> (i.e. uninfected, 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 xml:space="preserve">single </w:t>
      </w:r>
      <w:r w:rsidR="003D42A2" w:rsidRPr="00334712">
        <w:rPr>
          <w:rFonts w:ascii="Times New Roman" w:hAnsi="Times New Roman" w:cs="Times New Roman"/>
          <w:sz w:val="24"/>
          <w:szCs w:val="24"/>
        </w:rPr>
        <w:t>infect</w:t>
      </w:r>
      <w:r w:rsidR="00F05AAA" w:rsidRPr="00334712">
        <w:rPr>
          <w:rFonts w:ascii="Times New Roman" w:hAnsi="Times New Roman" w:cs="Times New Roman"/>
          <w:sz w:val="24"/>
          <w:szCs w:val="24"/>
        </w:rPr>
        <w:t>ed</w:t>
      </w:r>
      <w:r w:rsidR="003D42A2" w:rsidRPr="00334712">
        <w:rPr>
          <w:rFonts w:ascii="Times New Roman" w:hAnsi="Times New Roman" w:cs="Times New Roman"/>
          <w:sz w:val="24"/>
          <w:szCs w:val="24"/>
        </w:rPr>
        <w:t xml:space="preserve">, 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>mixed</w:t>
      </w:r>
      <w:r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>lineage infect</w:t>
      </w:r>
      <w:r w:rsidR="00F05AAA" w:rsidRPr="00334712">
        <w:rPr>
          <w:rFonts w:ascii="TimesNewRomanPS-BoldMT" w:hAnsi="TimesNewRomanPS-BoldMT" w:cs="TimesNewRomanPS-BoldMT"/>
          <w:sz w:val="24"/>
          <w:szCs w:val="24"/>
        </w:rPr>
        <w:t>ed</w:t>
      </w:r>
      <w:r w:rsidR="00634544" w:rsidRPr="00334712">
        <w:rPr>
          <w:rFonts w:ascii="TimesNewRomanPS-BoldMT" w:hAnsi="TimesNewRomanPS-BoldMT" w:cs="TimesNewRomanPS-BoldMT"/>
          <w:sz w:val="24"/>
          <w:szCs w:val="24"/>
        </w:rPr>
        <w:t xml:space="preserve"> – i.e. </w:t>
      </w:r>
      <w:r w:rsidR="00634544" w:rsidRPr="00334712">
        <w:rPr>
          <w:rFonts w:ascii="Times New Roman" w:hAnsi="Times New Roman" w:cs="Times New Roman"/>
          <w:sz w:val="24"/>
          <w:szCs w:val="24"/>
          <w:lang w:val="en-US"/>
        </w:rPr>
        <w:t>birds infected by several lineages of parasite belonging to the same haemosporidian genus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 xml:space="preserve">, </w:t>
      </w:r>
      <w:r w:rsidR="00F05AAA" w:rsidRPr="00334712">
        <w:rPr>
          <w:rFonts w:ascii="TimesNewRomanPS-BoldMT" w:hAnsi="TimesNewRomanPS-BoldMT" w:cs="TimesNewRomanPS-BoldMT"/>
          <w:sz w:val="24"/>
          <w:szCs w:val="24"/>
        </w:rPr>
        <w:t>co-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>infect</w:t>
      </w:r>
      <w:r w:rsidR="00F05AAA" w:rsidRPr="00334712">
        <w:rPr>
          <w:rFonts w:ascii="TimesNewRomanPS-BoldMT" w:hAnsi="TimesNewRomanPS-BoldMT" w:cs="TimesNewRomanPS-BoldMT"/>
          <w:sz w:val="24"/>
          <w:szCs w:val="24"/>
        </w:rPr>
        <w:t>ed</w:t>
      </w:r>
      <w:r w:rsidR="003D42A2" w:rsidRPr="00334712">
        <w:rPr>
          <w:rFonts w:ascii="TimesNewRomanPS-BoldMT" w:hAnsi="TimesNewRomanPS-BoldMT" w:cs="TimesNewRomanPS-BoldMT"/>
          <w:sz w:val="24"/>
          <w:szCs w:val="24"/>
        </w:rPr>
        <w:t xml:space="preserve">) </w:t>
      </w:r>
      <w:r w:rsidR="003D42A2" w:rsidRPr="00334712">
        <w:rPr>
          <w:rFonts w:ascii="Times New Roman" w:hAnsi="Times New Roman" w:cs="Times New Roman"/>
          <w:sz w:val="24"/>
          <w:szCs w:val="24"/>
        </w:rPr>
        <w:t>as the response variable.</w:t>
      </w:r>
      <w:r w:rsidR="003D42A2" w:rsidRPr="00D604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5AAA" w:rsidRPr="00D604B1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 xml:space="preserve">Since OA1 </w:t>
      </w:r>
      <w:r w:rsidR="00B902C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902CE" w:rsidRPr="00334712">
        <w:rPr>
          <w:rFonts w:ascii="Times New Roman" w:hAnsi="Times New Roman" w:cs="Times New Roman"/>
          <w:sz w:val="24"/>
          <w:szCs w:val="24"/>
          <w:lang w:val="en-US"/>
        </w:rPr>
        <w:t>structure of the foraging environment</w:t>
      </w:r>
      <w:r w:rsidR="00B902C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>and the geographic range size were strongly correlated with</w:t>
      </w:r>
      <w:r w:rsidR="00F05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>bird life-</w:t>
      </w:r>
      <w:r w:rsidR="00F05AAA" w:rsidRPr="00A7108C">
        <w:rPr>
          <w:rFonts w:ascii="TimesNewRomanPSMT" w:hAnsi="TimesNewRomanPSMT" w:cs="TimesNewRomanPSMT"/>
          <w:sz w:val="24"/>
          <w:szCs w:val="24"/>
          <w:lang w:val="en-US"/>
        </w:rPr>
        <w:t xml:space="preserve">history </w:t>
      </w:r>
      <w:r w:rsidR="00F05AAA" w:rsidRPr="00CD3065">
        <w:rPr>
          <w:rFonts w:ascii="TimesNewRomanPSMT" w:hAnsi="TimesNewRomanPSMT" w:cs="TimesNewRomanPSMT"/>
          <w:sz w:val="24"/>
          <w:szCs w:val="24"/>
          <w:lang w:val="en-US"/>
        </w:rPr>
        <w:t>strategies (</w:t>
      </w:r>
      <w:r w:rsidR="00F05AAA" w:rsidRPr="00CD3065">
        <w:rPr>
          <w:rFonts w:ascii="TimesNewRomanPSMT" w:hAnsi="TimesNewRomanPSMT" w:cs="TimesNewRomanPSMT"/>
          <w:sz w:val="24"/>
          <w:szCs w:val="24"/>
          <w:lang w:val="fr-FR"/>
        </w:rPr>
        <w:t>ρ</w:t>
      </w:r>
      <w:r w:rsidR="00F05AAA" w:rsidRPr="00CD3065">
        <w:rPr>
          <w:rFonts w:ascii="TimesNewRomanPSMT" w:hAnsi="TimesNewRomanPSMT" w:cs="TimesNewRomanPSMT"/>
          <w:sz w:val="24"/>
          <w:szCs w:val="24"/>
          <w:lang w:val="en-US"/>
        </w:rPr>
        <w:t xml:space="preserve"> = </w:t>
      </w:r>
      <w:r w:rsidR="00F05AAA" w:rsidRPr="00CD3065">
        <w:rPr>
          <w:rFonts w:ascii="Times New Roman" w:hAnsi="Times New Roman" w:cs="Times New Roman"/>
          <w:sz w:val="24"/>
          <w:szCs w:val="24"/>
          <w:lang w:val="en-US"/>
        </w:rPr>
        <w:t xml:space="preserve">-0.81) </w:t>
      </w:r>
      <w:r w:rsidR="00F05AAA" w:rsidRPr="00CD3065">
        <w:rPr>
          <w:rFonts w:ascii="TimesNewRomanPSMT" w:hAnsi="TimesNewRomanPSMT" w:cs="TimesNewRomanPSMT"/>
          <w:sz w:val="24"/>
          <w:szCs w:val="24"/>
          <w:lang w:val="en-US"/>
        </w:rPr>
        <w:t>and the climatic niche breadth (</w:t>
      </w:r>
      <w:r w:rsidR="00F05AAA" w:rsidRPr="00CD3065">
        <w:rPr>
          <w:rFonts w:ascii="TimesNewRomanPSMT" w:hAnsi="TimesNewRomanPSMT" w:cs="TimesNewRomanPSMT"/>
          <w:sz w:val="24"/>
          <w:szCs w:val="24"/>
          <w:lang w:val="fr-FR"/>
        </w:rPr>
        <w:t>ρ</w:t>
      </w:r>
      <w:r w:rsidR="00F05AAA" w:rsidRPr="00CD3065">
        <w:rPr>
          <w:rFonts w:ascii="TimesNewRomanPSMT" w:hAnsi="TimesNewRomanPSMT" w:cs="TimesNewRomanPSMT"/>
          <w:sz w:val="24"/>
          <w:szCs w:val="24"/>
          <w:lang w:val="en-US"/>
        </w:rPr>
        <w:t xml:space="preserve"> = 0.76), respectively, the posterior </w:t>
      </w:r>
      <w:proofErr w:type="gramStart"/>
      <w:r w:rsidR="00F05AAA" w:rsidRPr="00CD3065">
        <w:rPr>
          <w:rFonts w:ascii="Times New Roman" w:hAnsi="Times New Roman" w:cs="Times New Roman"/>
          <w:sz w:val="24"/>
          <w:szCs w:val="24"/>
          <w:lang w:val="en-US"/>
        </w:rPr>
        <w:t>mean</w:t>
      </w:r>
      <w:proofErr w:type="gramEnd"/>
      <w:r w:rsidR="00F05AAA" w:rsidRPr="00CD3065">
        <w:rPr>
          <w:rFonts w:ascii="Times New Roman" w:hAnsi="Times New Roman" w:cs="Times New Roman"/>
          <w:sz w:val="24"/>
          <w:szCs w:val="24"/>
          <w:lang w:val="en-US"/>
        </w:rPr>
        <w:t xml:space="preserve"> of OA1 and geographic range size presented here was estimated from two other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5AAA" w:rsidRPr="00A710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brms 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>model where they replaced the variables they were correlated</w:t>
      </w:r>
      <w:r w:rsidR="00F05A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5AAA" w:rsidRPr="00A7108C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35373">
        <w:rPr>
          <w:rFonts w:ascii="Times New Roman" w:hAnsi="Times New Roman" w:cs="Times New Roman"/>
          <w:sz w:val="24"/>
          <w:szCs w:val="24"/>
          <w:lang w:val="en-US"/>
        </w:rPr>
        <w:t>.</w:t>
      </w:r>
      <w:commentRangeStart w:id="0"/>
      <w:commentRangeEnd w:id="0"/>
      <w:r w:rsidR="00335373">
        <w:rPr>
          <w:rStyle w:val="CommentReference"/>
        </w:rPr>
        <w:commentReference w:id="0"/>
      </w:r>
    </w:p>
    <w:p w14:paraId="2D51FDD1" w14:textId="77777777" w:rsidR="00036A48" w:rsidRPr="00036A48" w:rsidRDefault="00036A48" w:rsidP="0061629C">
      <w:pPr>
        <w:ind w:firstLine="708"/>
        <w:rPr>
          <w:rFonts w:ascii="Times New Roman" w:hAnsi="Times New Roman" w:cs="Times New Roman"/>
          <w:sz w:val="24"/>
          <w:lang w:val="en-US"/>
        </w:rPr>
      </w:pPr>
    </w:p>
    <w:sectPr w:rsidR="00036A48" w:rsidRPr="00036A48" w:rsidSect="00036A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omain Pigeault" w:date="2022-06-13T15:37:00Z" w:initials="RP">
    <w:p w14:paraId="0CC03D05" w14:textId="6CA0CA6D" w:rsidR="00335373" w:rsidRDefault="00335373">
      <w:pPr>
        <w:pStyle w:val="CommentText"/>
      </w:pPr>
      <w:r>
        <w:rPr>
          <w:rStyle w:val="CommentReference"/>
        </w:rPr>
        <w:annotationRef/>
      </w:r>
      <w:r w:rsidRPr="00335373">
        <w:t>ρ is the correlation coefficient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C03D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C03D05" w16cid:durableId="2651D8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B2C74" w14:textId="77777777" w:rsidR="00656151" w:rsidRDefault="00656151" w:rsidP="007E3675">
      <w:pPr>
        <w:spacing w:after="0" w:line="240" w:lineRule="auto"/>
      </w:pPr>
      <w:r>
        <w:separator/>
      </w:r>
    </w:p>
  </w:endnote>
  <w:endnote w:type="continuationSeparator" w:id="0">
    <w:p w14:paraId="57F9BEC0" w14:textId="77777777" w:rsidR="00656151" w:rsidRDefault="00656151" w:rsidP="007E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C0F6C" w14:textId="77777777" w:rsidR="00656151" w:rsidRDefault="00656151" w:rsidP="007E3675">
      <w:pPr>
        <w:spacing w:after="0" w:line="240" w:lineRule="auto"/>
      </w:pPr>
      <w:r>
        <w:separator/>
      </w:r>
    </w:p>
  </w:footnote>
  <w:footnote w:type="continuationSeparator" w:id="0">
    <w:p w14:paraId="3D8F81A4" w14:textId="77777777" w:rsidR="00656151" w:rsidRDefault="00656151" w:rsidP="007E367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main Pigeault">
    <w15:presenceInfo w15:providerId="AD" w15:userId="S-1-5-21-3292652117-3587914799-1922161406-10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CH" w:vendorID="64" w:dllVersion="4096" w:nlCheck="1" w:checkStyle="0"/>
  <w:activeWritingStyle w:appName="MSWord" w:lang="fr-FR" w:vendorID="64" w:dllVersion="4096" w:nlCheck="1" w:checkStyle="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A48"/>
    <w:rsid w:val="00036A48"/>
    <w:rsid w:val="00045BD4"/>
    <w:rsid w:val="00114147"/>
    <w:rsid w:val="0011426A"/>
    <w:rsid w:val="001812BE"/>
    <w:rsid w:val="001E56C6"/>
    <w:rsid w:val="0022510F"/>
    <w:rsid w:val="002610E3"/>
    <w:rsid w:val="0029154B"/>
    <w:rsid w:val="00295EC6"/>
    <w:rsid w:val="002A683E"/>
    <w:rsid w:val="002D3D76"/>
    <w:rsid w:val="002F3EB2"/>
    <w:rsid w:val="003176AF"/>
    <w:rsid w:val="00334712"/>
    <w:rsid w:val="00335373"/>
    <w:rsid w:val="003B5A56"/>
    <w:rsid w:val="003D42A2"/>
    <w:rsid w:val="003D5E4E"/>
    <w:rsid w:val="00463AF5"/>
    <w:rsid w:val="00492067"/>
    <w:rsid w:val="004F25F3"/>
    <w:rsid w:val="00565A0C"/>
    <w:rsid w:val="00565F1D"/>
    <w:rsid w:val="00584FEC"/>
    <w:rsid w:val="0061629C"/>
    <w:rsid w:val="0062064A"/>
    <w:rsid w:val="00630E96"/>
    <w:rsid w:val="006334FE"/>
    <w:rsid w:val="00634544"/>
    <w:rsid w:val="00656151"/>
    <w:rsid w:val="006958B0"/>
    <w:rsid w:val="006A60B0"/>
    <w:rsid w:val="006E6A15"/>
    <w:rsid w:val="006F1F88"/>
    <w:rsid w:val="006F5345"/>
    <w:rsid w:val="0072156D"/>
    <w:rsid w:val="00733EA6"/>
    <w:rsid w:val="007402F0"/>
    <w:rsid w:val="007811D1"/>
    <w:rsid w:val="007A059A"/>
    <w:rsid w:val="007B2C96"/>
    <w:rsid w:val="007B5C16"/>
    <w:rsid w:val="007E3675"/>
    <w:rsid w:val="008C587A"/>
    <w:rsid w:val="009B6E99"/>
    <w:rsid w:val="009D73A0"/>
    <w:rsid w:val="009F5649"/>
    <w:rsid w:val="00A10D09"/>
    <w:rsid w:val="00A13079"/>
    <w:rsid w:val="00A3560B"/>
    <w:rsid w:val="00AB6E05"/>
    <w:rsid w:val="00AF238D"/>
    <w:rsid w:val="00B13287"/>
    <w:rsid w:val="00B44EFD"/>
    <w:rsid w:val="00B50B7D"/>
    <w:rsid w:val="00B53A1E"/>
    <w:rsid w:val="00B60DFA"/>
    <w:rsid w:val="00B87C86"/>
    <w:rsid w:val="00B902CE"/>
    <w:rsid w:val="00B95D2C"/>
    <w:rsid w:val="00BC7A37"/>
    <w:rsid w:val="00C01193"/>
    <w:rsid w:val="00C25559"/>
    <w:rsid w:val="00C37252"/>
    <w:rsid w:val="00C7691C"/>
    <w:rsid w:val="00CD3065"/>
    <w:rsid w:val="00CD4038"/>
    <w:rsid w:val="00D2504D"/>
    <w:rsid w:val="00D4492F"/>
    <w:rsid w:val="00D604B1"/>
    <w:rsid w:val="00D90EDA"/>
    <w:rsid w:val="00DC53F1"/>
    <w:rsid w:val="00DD3855"/>
    <w:rsid w:val="00DE6998"/>
    <w:rsid w:val="00E46AA1"/>
    <w:rsid w:val="00E5070A"/>
    <w:rsid w:val="00E60175"/>
    <w:rsid w:val="00E96E21"/>
    <w:rsid w:val="00EC1F78"/>
    <w:rsid w:val="00EC6926"/>
    <w:rsid w:val="00EF6558"/>
    <w:rsid w:val="00F05AAA"/>
    <w:rsid w:val="00F52308"/>
    <w:rsid w:val="00F8294C"/>
    <w:rsid w:val="00FA70F4"/>
    <w:rsid w:val="00F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2F44C"/>
  <w15:chartTrackingRefBased/>
  <w15:docId w15:val="{BBF95EE3-9021-488F-8450-3848FC63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A4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FE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E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6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67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65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5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55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5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558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01193"/>
    <w:pPr>
      <w:spacing w:after="0" w:line="240" w:lineRule="auto"/>
    </w:pPr>
    <w:rPr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F5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11/relationships/commentsExtended" Target="commentsExtended.xml"/><Relationship Id="rId7" Type="http://schemas.openxmlformats.org/officeDocument/2006/relationships/hyperlink" Target="mailto:romain.pigeault@univ-poitiers.f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75DF0-CDEA-4D3E-B164-A08C4DD62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1244</Words>
  <Characters>7094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UP SFA</Company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 Meuleman</cp:lastModifiedBy>
  <cp:revision>9</cp:revision>
  <cp:lastPrinted>2021-06-21T15:26:00Z</cp:lastPrinted>
  <dcterms:created xsi:type="dcterms:W3CDTF">2022-06-13T13:39:00Z</dcterms:created>
  <dcterms:modified xsi:type="dcterms:W3CDTF">2022-06-17T05:36:00Z</dcterms:modified>
</cp:coreProperties>
</file>