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58E6" w14:textId="77777777" w:rsidR="00A80128" w:rsidRPr="00B862EA" w:rsidRDefault="00A80128" w:rsidP="00A80128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B862EA">
        <w:rPr>
          <w:rFonts w:ascii="Times New Roman" w:hAnsi="Times New Roman" w:cs="Times New Roman"/>
          <w:b/>
          <w:bCs/>
          <w:sz w:val="32"/>
          <w:szCs w:val="32"/>
          <w:lang w:val="en-US"/>
        </w:rPr>
        <w:t>Determinants of haemosporidian single- and co-infection risks in western Palearctic birds</w:t>
      </w:r>
    </w:p>
    <w:p w14:paraId="4E002A99" w14:textId="77777777" w:rsidR="00F100B3" w:rsidRPr="001B2656" w:rsidRDefault="00F100B3" w:rsidP="00F100B3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</w:pP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Romain Pigeault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a,b,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,*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Mathieu Chevalier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a,c,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1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Camille-Sophie Cozzarolo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d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Molly Baur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Mathilde Arlettaz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Alice Cibois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e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André Keiser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f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Antoine Guisan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Philippe Christe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a,2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>, Olivier Glaizot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f,2</w:t>
      </w:r>
    </w:p>
    <w:p w14:paraId="776F2032" w14:textId="77777777" w:rsidR="00F100B3" w:rsidRPr="001B2656" w:rsidRDefault="00F100B3" w:rsidP="00F100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a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Department of Ecology and Evolution, CH-1015 Lausanne, Switzerland</w:t>
      </w:r>
    </w:p>
    <w:p w14:paraId="7D331E96" w14:textId="77777777" w:rsidR="00F100B3" w:rsidRPr="001B2656" w:rsidRDefault="00F100B3" w:rsidP="00F100B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b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  <w:t>Laboratoire EBI, Equipe EES, UMR CNRS 7267, 86000 Poitiers, France</w:t>
      </w:r>
    </w:p>
    <w:p w14:paraId="2D296D95" w14:textId="77777777" w:rsidR="00F100B3" w:rsidRPr="001B2656" w:rsidRDefault="00F100B3" w:rsidP="00F100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c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  <w:t>Ifremer, Centre de Bretagne, DYNECO-LEBCO, CS 10070, 29280 Plouzané, France</w:t>
      </w:r>
    </w:p>
    <w:p w14:paraId="295DC82B" w14:textId="77777777" w:rsidR="00F100B3" w:rsidRPr="001B2656" w:rsidRDefault="00F100B3" w:rsidP="00F100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>d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CH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  <w:t>Biogéosciences, UMR 6282 CNRS, université Bourgogne Franche-Comté, 6 boulevard Gabriel, 21000 Dijon, France</w:t>
      </w:r>
    </w:p>
    <w:p w14:paraId="0DD4E7B3" w14:textId="77777777" w:rsidR="00F100B3" w:rsidRPr="005466EA" w:rsidRDefault="00F100B3" w:rsidP="00F100B3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e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Natural History Museum of Geneva, C.P. 6434, CH-1211 Genève 6, Switzerland</w:t>
      </w:r>
    </w:p>
    <w:p w14:paraId="3BC97BD8" w14:textId="77777777" w:rsidR="00F100B3" w:rsidRPr="005466EA" w:rsidRDefault="00F100B3" w:rsidP="00F100B3">
      <w:pPr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fr-FR"/>
        </w:rPr>
        <w:t>f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fr-CH"/>
        </w:rPr>
        <w:t xml:space="preserve">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  <w:t xml:space="preserve">Musée cantonal de zoologie,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CH-1014 </w:t>
      </w: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CH"/>
        </w:rPr>
        <w:t>Lausanne, Switzerland</w:t>
      </w:r>
    </w:p>
    <w:p w14:paraId="3BA0E1B0" w14:textId="77777777" w:rsidR="00F100B3" w:rsidRPr="001B2656" w:rsidRDefault="00F100B3" w:rsidP="00F100B3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1B26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fr-CH"/>
        </w:rPr>
        <w:t>These authors contributed equally to this work</w:t>
      </w:r>
    </w:p>
    <w:p w14:paraId="25FEFD13" w14:textId="77777777" w:rsidR="00F100B3" w:rsidRPr="001B2656" w:rsidRDefault="00F100B3" w:rsidP="00F100B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6E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</w:rPr>
        <w:t>These authors share senior authorship</w:t>
      </w:r>
    </w:p>
    <w:p w14:paraId="423F771A" w14:textId="77777777" w:rsidR="00F100B3" w:rsidRDefault="00F100B3" w:rsidP="00F100B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66EA">
        <w:rPr>
          <w:rFonts w:eastAsia="Times New Roman" w:cs="Arial"/>
          <w:bCs/>
          <w:color w:val="000000" w:themeColor="text1"/>
          <w:sz w:val="24"/>
          <w:szCs w:val="24"/>
          <w:lang w:eastAsia="fr-CH"/>
        </w:rPr>
        <w:t>*Corresponding author.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Romain Pigeault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</w:p>
    <w:p w14:paraId="17C8F8F0" w14:textId="77777777" w:rsidR="00F100B3" w:rsidRDefault="00F100B3" w:rsidP="00F100B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+33 (0)5 49 45 37 30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Fax: +33 (0)5 49 45 40 15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1402D686" w14:textId="77777777" w:rsidR="00F100B3" w:rsidRPr="001B2656" w:rsidRDefault="00F100B3" w:rsidP="00F100B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466E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E-mail address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Pr="001B26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4" w:history="1">
        <w:r w:rsidRPr="001B2656">
          <w:rPr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romain.pigeault@univ-poitiers.fr</w:t>
        </w:r>
      </w:hyperlink>
    </w:p>
    <w:p w14:paraId="6D1A5ED7" w14:textId="77777777" w:rsidR="00195035" w:rsidRPr="0022510F" w:rsidRDefault="00195035" w:rsidP="0019503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8267EC" w14:textId="77777777" w:rsidR="00195035" w:rsidRDefault="00195035" w:rsidP="00195035">
      <w:pPr>
        <w:jc w:val="center"/>
        <w:rPr>
          <w:rFonts w:ascii="Times New Roman" w:hAnsi="Times New Roman" w:cs="Times New Roman"/>
          <w:b/>
          <w:sz w:val="36"/>
        </w:rPr>
      </w:pPr>
    </w:p>
    <w:p w14:paraId="36615E29" w14:textId="0590A285" w:rsidR="00195035" w:rsidRDefault="000905E1" w:rsidP="0019503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195035" w:rsidRPr="00B4015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S1</w:t>
      </w:r>
      <w:r w:rsidR="001950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95035" w:rsidRPr="007F59A9">
        <w:rPr>
          <w:rFonts w:ascii="Times New Roman" w:hAnsi="Times New Roman" w:cs="Times New Roman"/>
          <w:sz w:val="24"/>
          <w:szCs w:val="24"/>
          <w:lang w:val="en-US"/>
        </w:rPr>
        <w:t>Table of avian ecology and life history traits.</w:t>
      </w:r>
      <w:r w:rsidR="001950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t>This table summarizes the number of individuals per species</w:t>
      </w:r>
      <w:r w:rsidR="00113374">
        <w:rPr>
          <w:rFonts w:ascii="Times New Roman" w:hAnsi="Times New Roman" w:cs="Times New Roman"/>
          <w:sz w:val="24"/>
          <w:szCs w:val="24"/>
          <w:lang w:val="en-US"/>
        </w:rPr>
        <w:t xml:space="preserve"> along with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t xml:space="preserve"> the infection prevalence</w:t>
      </w:r>
      <w:r w:rsidR="00113374">
        <w:rPr>
          <w:rFonts w:ascii="Times New Roman" w:hAnsi="Times New Roman" w:cs="Times New Roman"/>
          <w:sz w:val="24"/>
          <w:szCs w:val="24"/>
          <w:lang w:val="en-US"/>
        </w:rPr>
        <w:t xml:space="preserve"> and the co-infection prevalence (within infected individuals) per bird species both globally (i.e. the </w:t>
      </w:r>
      <w:r w:rsidR="00E10096">
        <w:rPr>
          <w:rFonts w:ascii="Times New Roman" w:hAnsi="Times New Roman" w:cs="Times New Roman"/>
          <w:sz w:val="24"/>
          <w:szCs w:val="24"/>
          <w:lang w:val="en-US"/>
        </w:rPr>
        <w:t>three parasite</w:t>
      </w:r>
      <w:r w:rsidR="00113374">
        <w:rPr>
          <w:rFonts w:ascii="Times New Roman" w:hAnsi="Times New Roman" w:cs="Times New Roman"/>
          <w:sz w:val="24"/>
          <w:szCs w:val="24"/>
          <w:lang w:val="en-US"/>
        </w:rPr>
        <w:t xml:space="preserve"> genus confounded) and for each parasite genus. It </w:t>
      </w:r>
      <w:r w:rsidR="00195035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113374">
        <w:rPr>
          <w:rFonts w:ascii="Times New Roman" w:hAnsi="Times New Roman" w:cs="Times New Roman"/>
          <w:sz w:val="24"/>
          <w:szCs w:val="24"/>
          <w:lang w:val="en-US"/>
        </w:rPr>
        <w:t xml:space="preserve"> information on bird characteristics: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t xml:space="preserve"> reproductive traits</w:t>
      </w:r>
      <w:r w:rsidR="00B9423A">
        <w:rPr>
          <w:rFonts w:ascii="Times New Roman" w:hAnsi="Times New Roman" w:cs="Times New Roman"/>
          <w:sz w:val="24"/>
          <w:szCs w:val="24"/>
          <w:lang w:val="en-US"/>
        </w:rPr>
        <w:t xml:space="preserve"> (e.g. incubation period, egg mass)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t xml:space="preserve">, maximum lifespan, 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lastRenderedPageBreak/>
        <w:t>behavioral traits (</w:t>
      </w:r>
      <w:r w:rsidR="00B9423A">
        <w:rPr>
          <w:rFonts w:ascii="Times New Roman" w:hAnsi="Times New Roman" w:cs="Times New Roman"/>
          <w:sz w:val="24"/>
          <w:szCs w:val="24"/>
          <w:lang w:val="en-US"/>
        </w:rPr>
        <w:t xml:space="preserve">e.g. 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t xml:space="preserve">nest type, migration status), climatic niche </w:t>
      </w:r>
      <w:r w:rsidR="00195035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t xml:space="preserve"> and position</w:t>
      </w:r>
      <w:r w:rsidR="0019503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t xml:space="preserve">the coordinates of each species on the </w:t>
      </w:r>
      <w:r w:rsidR="00B9423A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41631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1631D" w:rsidRPr="0041631D">
        <w:rPr>
          <w:rFonts w:ascii="Times New Roman" w:hAnsi="Times New Roman" w:cs="Times New Roman"/>
          <w:sz w:val="24"/>
          <w:szCs w:val="24"/>
          <w:lang w:val="en-US"/>
        </w:rPr>
        <w:t>rincipal component analysis</w:t>
      </w:r>
      <w:r w:rsidR="007F59A9">
        <w:rPr>
          <w:rFonts w:ascii="Times New Roman" w:hAnsi="Times New Roman" w:cs="Times New Roman"/>
          <w:sz w:val="24"/>
          <w:szCs w:val="24"/>
          <w:lang w:val="en-US"/>
        </w:rPr>
        <w:t xml:space="preserve"> (PCA) 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t>axes performed on birds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t xml:space="preserve"> reproductive traits and </w:t>
      </w:r>
      <w:r w:rsidR="0019503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195035" w:rsidRPr="00E83E0F">
        <w:rPr>
          <w:rFonts w:ascii="Times New Roman" w:hAnsi="Times New Roman" w:cs="Times New Roman"/>
          <w:sz w:val="24"/>
          <w:szCs w:val="24"/>
          <w:lang w:val="en-US"/>
        </w:rPr>
        <w:t xml:space="preserve"> coordinates on the axes</w:t>
      </w:r>
      <w:r w:rsidR="00195035">
        <w:rPr>
          <w:rFonts w:ascii="Times New Roman" w:hAnsi="Times New Roman" w:cs="Times New Roman"/>
          <w:sz w:val="24"/>
          <w:szCs w:val="24"/>
          <w:lang w:val="en-US"/>
        </w:rPr>
        <w:t xml:space="preserve"> of the Hill-Smith ordination (trophic niche).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table is available in </w:t>
      </w:r>
      <w:r w:rsidRPr="007F59A9">
        <w:rPr>
          <w:rFonts w:ascii="Times New Roman" w:hAnsi="Times New Roman" w:cs="Times New Roman"/>
          <w:sz w:val="24"/>
          <w:szCs w:val="24"/>
          <w:u w:val="single"/>
          <w:lang w:val="en-US"/>
        </w:rPr>
        <w:t>figshare.com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tgtFrame="_blank" w:history="1">
        <w:r w:rsidR="00BA6923" w:rsidRPr="007F59A9">
          <w:rPr>
            <w:rFonts w:ascii="Times New Roman" w:hAnsi="Times New Roman" w:cs="Times New Roman"/>
            <w:sz w:val="24"/>
            <w:szCs w:val="24"/>
            <w:lang w:val="en-US"/>
          </w:rPr>
          <w:t>10.6084/m9.figshare.17491460</w:t>
        </w:r>
      </w:hyperlink>
      <w:r w:rsidR="00FE31BB" w:rsidRPr="007F59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661EE3" w14:textId="77777777" w:rsidR="00195035" w:rsidRDefault="00195035" w:rsidP="0019503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F2B2B3" w14:textId="39AB1894" w:rsidR="00AA7B45" w:rsidRDefault="000905E1" w:rsidP="00195035">
      <w:pPr>
        <w:autoSpaceDE w:val="0"/>
        <w:autoSpaceDN w:val="0"/>
        <w:adjustRightInd w:val="0"/>
        <w:spacing w:after="0" w:line="480" w:lineRule="auto"/>
        <w:jc w:val="both"/>
        <w:rPr>
          <w:rStyle w:val="Hyperlink"/>
          <w:rFonts w:ascii="Arial" w:hAnsi="Arial" w:cs="Arial"/>
          <w:color w:val="C7404D"/>
          <w:sz w:val="20"/>
          <w:szCs w:val="20"/>
          <w:u w:val="none"/>
        </w:rPr>
        <w:sectPr w:rsidR="00AA7B45" w:rsidSect="001950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</w:t>
      </w:r>
      <w:r w:rsidR="00195035" w:rsidRPr="00B401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S2. </w:t>
      </w:r>
      <w:r w:rsidR="00195035" w:rsidRPr="007F59A9">
        <w:rPr>
          <w:rFonts w:ascii="Times New Roman" w:hAnsi="Times New Roman" w:cs="Times New Roman"/>
          <w:sz w:val="24"/>
          <w:szCs w:val="24"/>
          <w:lang w:val="en-US"/>
        </w:rPr>
        <w:t>Table of avian trophic niche trait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8341E" w:rsidRPr="007F59A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table is available in </w:t>
      </w:r>
      <w:r w:rsidRPr="0078579A">
        <w:rPr>
          <w:rFonts w:ascii="Times New Roman" w:hAnsi="Times New Roman" w:cs="Times New Roman"/>
          <w:sz w:val="24"/>
          <w:szCs w:val="24"/>
          <w:u w:val="single"/>
          <w:lang w:val="en-US"/>
        </w:rPr>
        <w:t>figshare.com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8341E" w:rsidRPr="00195035" w:rsidDel="0018341E">
        <w:rPr>
          <w:rFonts w:ascii="Times New Roman" w:hAnsi="Times New Roman" w:cs="Times New Roman"/>
          <w:b/>
          <w:sz w:val="36"/>
          <w:lang w:val="en-US"/>
        </w:rPr>
        <w:t xml:space="preserve"> </w:t>
      </w:r>
      <w:hyperlink r:id="rId6" w:tgtFrame="_blank" w:history="1">
        <w:r w:rsidR="00BA6923" w:rsidRPr="007F59A9">
          <w:rPr>
            <w:rFonts w:ascii="Times New Roman" w:hAnsi="Times New Roman" w:cs="Times New Roman"/>
            <w:sz w:val="24"/>
            <w:szCs w:val="24"/>
            <w:lang w:val="en-US"/>
          </w:rPr>
          <w:t>10.6084/m9.figshare.17491460</w:t>
        </w:r>
      </w:hyperlink>
      <w:r w:rsidR="00FE31BB" w:rsidRPr="007F59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C5016C" w14:textId="2B0460B8" w:rsidR="00AA7B45" w:rsidRPr="00AA7B45" w:rsidRDefault="00D23AA2" w:rsidP="00AA7B45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Supplementary </w:t>
      </w:r>
      <w:r w:rsidR="00AA7B45" w:rsidRPr="00AA7B45">
        <w:rPr>
          <w:rFonts w:ascii="Times New Roman" w:hAnsi="Times New Roman" w:cs="Times New Roman"/>
          <w:b/>
          <w:i w:val="0"/>
          <w:color w:val="auto"/>
          <w:sz w:val="24"/>
        </w:rPr>
        <w:t xml:space="preserve">Table </w:t>
      </w:r>
      <w:r w:rsidR="00AA7B45">
        <w:rPr>
          <w:rFonts w:ascii="Times New Roman" w:hAnsi="Times New Roman" w:cs="Times New Roman"/>
          <w:b/>
          <w:i w:val="0"/>
          <w:color w:val="auto"/>
          <w:sz w:val="24"/>
        </w:rPr>
        <w:t>S3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AA7B45" w:rsidRPr="00AA7B45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r w:rsidR="00AA7B45" w:rsidRPr="007F59A9">
        <w:rPr>
          <w:rFonts w:ascii="Times New Roman" w:hAnsi="Times New Roman" w:cs="Times New Roman"/>
          <w:bCs/>
          <w:i w:val="0"/>
          <w:color w:val="auto"/>
          <w:sz w:val="24"/>
        </w:rPr>
        <w:t>Prevalence of haemospor</w:t>
      </w:r>
      <w:r w:rsidR="00B4288A" w:rsidRPr="007F59A9">
        <w:rPr>
          <w:rFonts w:ascii="Times New Roman" w:hAnsi="Times New Roman" w:cs="Times New Roman"/>
          <w:bCs/>
          <w:i w:val="0"/>
          <w:color w:val="auto"/>
          <w:sz w:val="24"/>
        </w:rPr>
        <w:t>i</w:t>
      </w:r>
      <w:r w:rsidR="00AA7B45" w:rsidRPr="007F59A9">
        <w:rPr>
          <w:rFonts w:ascii="Times New Roman" w:hAnsi="Times New Roman" w:cs="Times New Roman"/>
          <w:bCs/>
          <w:i w:val="0"/>
          <w:color w:val="auto"/>
          <w:sz w:val="24"/>
        </w:rPr>
        <w:t>dian infection and co-infection.</w:t>
      </w:r>
      <w:r w:rsidR="00AA7B45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</w:p>
    <w:tbl>
      <w:tblPr>
        <w:tblW w:w="88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641"/>
        <w:gridCol w:w="1063"/>
        <w:gridCol w:w="2887"/>
      </w:tblGrid>
      <w:tr w:rsidR="00A9060F" w:rsidRPr="00212CBC" w14:paraId="3446CC61" w14:textId="77777777" w:rsidTr="007E4E49">
        <w:trPr>
          <w:trHeight w:val="306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A5464" w14:textId="51426102" w:rsidR="00A9060F" w:rsidRPr="00212CBC" w:rsidRDefault="00A9060F" w:rsidP="007E4E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Infetion status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C4845A" w14:textId="3ABA2FEB" w:rsidR="00A9060F" w:rsidRPr="00212CBC" w:rsidRDefault="00A9060F" w:rsidP="007E4E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Haemosporidian genus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64CA3" w14:textId="63233BE6" w:rsidR="00A9060F" w:rsidRPr="00212CBC" w:rsidRDefault="00043A61" w:rsidP="007E4E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 of total</w:t>
            </w:r>
            <w:r w:rsidR="00A9060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6B7D1" w14:textId="77777777" w:rsidR="00A9060F" w:rsidRPr="00212CBC" w:rsidRDefault="00A9060F" w:rsidP="007E4E4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A7B45" w:rsidRPr="00212CBC" w14:paraId="421F2436" w14:textId="77777777" w:rsidTr="007E4E49">
        <w:trPr>
          <w:trHeight w:val="306"/>
          <w:jc w:val="center"/>
        </w:trPr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0ECB1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Uninfected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50ECD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5B9C6" w14:textId="61FF29D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64</w:t>
            </w:r>
            <w:r w:rsidR="00A9060F">
              <w:rPr>
                <w:rFonts w:ascii="Calibri" w:hAnsi="Calibri" w:cs="Calibri"/>
                <w:color w:val="000000"/>
              </w:rPr>
              <w:t>.</w:t>
            </w:r>
            <w:r w:rsidRPr="00212CBC"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49899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A7B45" w:rsidRPr="00212CBC" w14:paraId="3B2C0F0D" w14:textId="77777777" w:rsidTr="007E4E49">
        <w:trPr>
          <w:trHeight w:val="475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BD0468" w14:textId="14F50363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Single-i</w:t>
            </w:r>
            <w:r w:rsidRPr="00212CBC">
              <w:rPr>
                <w:rFonts w:ascii="Calibri" w:hAnsi="Calibri" w:cs="Calibri"/>
                <w:color w:val="000000"/>
              </w:rPr>
              <w:t>nfected (28</w:t>
            </w:r>
            <w:r w:rsidR="00A9060F">
              <w:rPr>
                <w:rFonts w:ascii="Calibri" w:hAnsi="Calibri" w:cs="Calibri"/>
                <w:color w:val="000000"/>
              </w:rPr>
              <w:t>.</w:t>
            </w:r>
            <w:r w:rsidRPr="00212CBC">
              <w:rPr>
                <w:rFonts w:ascii="Calibri" w:hAnsi="Calibri" w:cs="Calibri"/>
                <w:color w:val="000000"/>
              </w:rPr>
              <w:t>56%)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ECFC" w14:textId="77777777" w:rsidR="00AA7B45" w:rsidRPr="00212CBC" w:rsidRDefault="00AA7B45" w:rsidP="007E4E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212CBC">
              <w:rPr>
                <w:rFonts w:ascii="Calibri" w:hAnsi="Calibri" w:cs="Calibri"/>
                <w:i/>
                <w:iCs/>
                <w:color w:val="000000"/>
              </w:rPr>
              <w:t>Plasmodium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6C45" w14:textId="168F9E1F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9</w:t>
            </w:r>
            <w:r w:rsidR="00A9060F">
              <w:rPr>
                <w:rFonts w:ascii="Calibri" w:hAnsi="Calibri" w:cs="Calibri"/>
                <w:color w:val="000000"/>
              </w:rPr>
              <w:t>.</w:t>
            </w:r>
            <w:r w:rsidRPr="00212CBC"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5C0D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 xml:space="preserve">34% of </w:t>
            </w:r>
            <w:r>
              <w:rPr>
                <w:rFonts w:ascii="Calibri" w:hAnsi="Calibri" w:cs="Calibri"/>
                <w:color w:val="000000"/>
              </w:rPr>
              <w:t>single-</w:t>
            </w:r>
            <w:r w:rsidRPr="00212CBC">
              <w:rPr>
                <w:rFonts w:ascii="Calibri" w:hAnsi="Calibri" w:cs="Calibri"/>
                <w:color w:val="000000"/>
              </w:rPr>
              <w:t>infected host</w:t>
            </w:r>
          </w:p>
        </w:tc>
      </w:tr>
      <w:tr w:rsidR="00AA7B45" w:rsidRPr="00212CBC" w14:paraId="73694825" w14:textId="77777777" w:rsidTr="007E4E49">
        <w:trPr>
          <w:trHeight w:val="414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4A45A2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1E82" w14:textId="77777777" w:rsidR="00AA7B45" w:rsidRPr="00212CBC" w:rsidRDefault="00AA7B45" w:rsidP="007E4E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212CBC">
              <w:rPr>
                <w:rFonts w:ascii="Calibri" w:hAnsi="Calibri" w:cs="Calibri"/>
                <w:i/>
                <w:iCs/>
                <w:color w:val="000000"/>
              </w:rPr>
              <w:t>Haemoproteus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4614" w14:textId="1EB1C4BC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6</w:t>
            </w:r>
            <w:r w:rsidR="00A9060F">
              <w:rPr>
                <w:rFonts w:ascii="Calibri" w:hAnsi="Calibri" w:cs="Calibri"/>
                <w:color w:val="000000"/>
              </w:rPr>
              <w:t>.</w:t>
            </w:r>
            <w:r w:rsidRPr="00212CBC"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59D6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 xml:space="preserve">22% of </w:t>
            </w:r>
            <w:r>
              <w:rPr>
                <w:rFonts w:ascii="Calibri" w:hAnsi="Calibri" w:cs="Calibri"/>
                <w:color w:val="000000"/>
              </w:rPr>
              <w:t>single-</w:t>
            </w:r>
            <w:r w:rsidRPr="00212CBC">
              <w:rPr>
                <w:rFonts w:ascii="Calibri" w:hAnsi="Calibri" w:cs="Calibri"/>
                <w:color w:val="000000"/>
              </w:rPr>
              <w:t>infected host</w:t>
            </w:r>
          </w:p>
        </w:tc>
      </w:tr>
      <w:tr w:rsidR="00AA7B45" w:rsidRPr="00212CBC" w14:paraId="4F24E0B3" w14:textId="77777777" w:rsidTr="007E4E49">
        <w:trPr>
          <w:trHeight w:val="460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01B8BE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09E5" w14:textId="77777777" w:rsidR="00AA7B45" w:rsidRPr="00212CBC" w:rsidRDefault="00AA7B45" w:rsidP="007E4E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212CBC">
              <w:rPr>
                <w:rFonts w:ascii="Calibri" w:hAnsi="Calibri" w:cs="Calibri"/>
                <w:i/>
                <w:iCs/>
                <w:color w:val="000000"/>
              </w:rPr>
              <w:t>Leucocytozoon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6ADC" w14:textId="24D51FFD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12</w:t>
            </w:r>
            <w:r w:rsidR="00043A61">
              <w:rPr>
                <w:rFonts w:ascii="Calibri" w:hAnsi="Calibri" w:cs="Calibri"/>
                <w:color w:val="000000"/>
              </w:rPr>
              <w:t>.</w:t>
            </w:r>
            <w:r w:rsidRPr="00212CBC">
              <w:rPr>
                <w:rFonts w:ascii="Calibri" w:hAnsi="Calibri" w:cs="Calibri"/>
                <w:color w:val="000000"/>
              </w:rPr>
              <w:t>45%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95D81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 xml:space="preserve">44% of </w:t>
            </w:r>
            <w:r>
              <w:rPr>
                <w:rFonts w:ascii="Calibri" w:hAnsi="Calibri" w:cs="Calibri"/>
                <w:color w:val="000000"/>
              </w:rPr>
              <w:t>single-</w:t>
            </w:r>
            <w:r w:rsidRPr="00212CBC">
              <w:rPr>
                <w:rFonts w:ascii="Calibri" w:hAnsi="Calibri" w:cs="Calibri"/>
                <w:color w:val="000000"/>
              </w:rPr>
              <w:t>infected host</w:t>
            </w:r>
          </w:p>
        </w:tc>
      </w:tr>
      <w:tr w:rsidR="00AA7B45" w:rsidRPr="00212CBC" w14:paraId="06333A5F" w14:textId="77777777" w:rsidTr="007E4E49">
        <w:trPr>
          <w:trHeight w:val="306"/>
          <w:jc w:val="center"/>
        </w:trPr>
        <w:tc>
          <w:tcPr>
            <w:tcW w:w="22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CD0DC4" w14:textId="1F38EF86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Co-infected (7</w:t>
            </w:r>
            <w:r w:rsidR="00A9060F">
              <w:rPr>
                <w:rFonts w:ascii="Calibri" w:hAnsi="Calibri" w:cs="Calibri"/>
                <w:color w:val="000000"/>
              </w:rPr>
              <w:t>.</w:t>
            </w:r>
            <w:r w:rsidRPr="00212CBC">
              <w:rPr>
                <w:rFonts w:ascii="Calibri" w:hAnsi="Calibri" w:cs="Calibri"/>
                <w:color w:val="000000"/>
              </w:rPr>
              <w:t>14%)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F0C4" w14:textId="77777777" w:rsidR="00AA7B45" w:rsidRPr="00212CBC" w:rsidRDefault="00AA7B45" w:rsidP="007E4E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212CBC">
              <w:rPr>
                <w:rFonts w:ascii="Calibri" w:hAnsi="Calibri" w:cs="Calibri"/>
                <w:i/>
                <w:iCs/>
                <w:color w:val="000000"/>
              </w:rPr>
              <w:t>Plasm / Leuco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83DD" w14:textId="6649AD83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3</w:t>
            </w:r>
            <w:r w:rsidR="00A9060F">
              <w:rPr>
                <w:rFonts w:ascii="Calibri" w:hAnsi="Calibri" w:cs="Calibri"/>
                <w:color w:val="000000"/>
              </w:rPr>
              <w:t>.</w:t>
            </w:r>
            <w:r w:rsidRPr="00212CBC"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AE5E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51% of co-infected host</w:t>
            </w:r>
          </w:p>
        </w:tc>
      </w:tr>
      <w:tr w:rsidR="00AA7B45" w:rsidRPr="00212CBC" w14:paraId="147F6CAC" w14:textId="77777777" w:rsidTr="007E4E49">
        <w:trPr>
          <w:trHeight w:val="306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30967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ABC7" w14:textId="77777777" w:rsidR="00AA7B45" w:rsidRPr="00212CBC" w:rsidRDefault="00AA7B45" w:rsidP="007E4E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212CBC">
              <w:rPr>
                <w:rFonts w:ascii="Calibri" w:hAnsi="Calibri" w:cs="Calibri"/>
                <w:i/>
                <w:iCs/>
                <w:color w:val="000000"/>
              </w:rPr>
              <w:t>Haemo / Leuco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D8C6" w14:textId="33925F85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3</w:t>
            </w:r>
            <w:r w:rsidR="00A9060F">
              <w:rPr>
                <w:rFonts w:ascii="Calibri" w:hAnsi="Calibri" w:cs="Calibri"/>
                <w:color w:val="000000"/>
              </w:rPr>
              <w:t>.</w:t>
            </w:r>
            <w:r w:rsidRPr="00212CBC"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D17C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45% of co-infected host</w:t>
            </w:r>
          </w:p>
        </w:tc>
      </w:tr>
      <w:tr w:rsidR="00AA7B45" w:rsidRPr="00212CBC" w14:paraId="3DCC8F09" w14:textId="77777777" w:rsidTr="007E4E49">
        <w:trPr>
          <w:trHeight w:val="306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78C82A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3F09C" w14:textId="77777777" w:rsidR="00AA7B45" w:rsidRPr="00212CBC" w:rsidRDefault="00AA7B45" w:rsidP="007E4E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212CBC">
              <w:rPr>
                <w:rFonts w:ascii="Calibri" w:hAnsi="Calibri" w:cs="Calibri"/>
                <w:i/>
                <w:iCs/>
                <w:color w:val="000000"/>
              </w:rPr>
              <w:t>Plasm / Haemo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8C86" w14:textId="11673E7F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0</w:t>
            </w:r>
            <w:r w:rsidR="00A9060F">
              <w:rPr>
                <w:rFonts w:ascii="Calibri" w:hAnsi="Calibri" w:cs="Calibri"/>
                <w:color w:val="000000"/>
              </w:rPr>
              <w:t>.</w:t>
            </w:r>
            <w:r w:rsidRPr="00212CBC"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5FAA0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3% of co-infected host</w:t>
            </w:r>
          </w:p>
        </w:tc>
      </w:tr>
      <w:tr w:rsidR="00AA7B45" w:rsidRPr="00212CBC" w14:paraId="469F6F31" w14:textId="77777777" w:rsidTr="007E4E49">
        <w:trPr>
          <w:trHeight w:val="306"/>
          <w:jc w:val="center"/>
        </w:trPr>
        <w:tc>
          <w:tcPr>
            <w:tcW w:w="22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982DF9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8A444" w14:textId="77777777" w:rsidR="00AA7B45" w:rsidRPr="00212CBC" w:rsidRDefault="00AA7B45" w:rsidP="007E4E49">
            <w:pPr>
              <w:rPr>
                <w:rFonts w:ascii="Calibri" w:hAnsi="Calibri" w:cs="Calibri"/>
                <w:i/>
                <w:iCs/>
                <w:color w:val="000000"/>
              </w:rPr>
            </w:pPr>
            <w:r w:rsidRPr="00212CBC">
              <w:rPr>
                <w:rFonts w:ascii="Calibri" w:hAnsi="Calibri" w:cs="Calibri"/>
                <w:i/>
                <w:iCs/>
                <w:color w:val="000000"/>
              </w:rPr>
              <w:t>Plasm / Haemo / Leuco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9374" w14:textId="40D5450F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0</w:t>
            </w:r>
            <w:r w:rsidR="00A9060F">
              <w:rPr>
                <w:rFonts w:ascii="Calibri" w:hAnsi="Calibri" w:cs="Calibri"/>
                <w:color w:val="000000"/>
              </w:rPr>
              <w:t>.</w:t>
            </w:r>
            <w:r w:rsidRPr="00212CBC">
              <w:rPr>
                <w:rFonts w:ascii="Calibri" w:hAnsi="Calibri" w:cs="Calibri"/>
                <w:color w:val="000000"/>
              </w:rPr>
              <w:t>07%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F9F4E" w14:textId="77777777" w:rsidR="00AA7B45" w:rsidRPr="00212CBC" w:rsidRDefault="00AA7B45" w:rsidP="007E4E49">
            <w:pPr>
              <w:rPr>
                <w:rFonts w:ascii="Calibri" w:hAnsi="Calibri" w:cs="Calibri"/>
                <w:color w:val="000000"/>
              </w:rPr>
            </w:pPr>
            <w:r w:rsidRPr="00212CBC">
              <w:rPr>
                <w:rFonts w:ascii="Calibri" w:hAnsi="Calibri" w:cs="Calibri"/>
                <w:color w:val="000000"/>
              </w:rPr>
              <w:t>1% of co-infected host</w:t>
            </w:r>
          </w:p>
        </w:tc>
      </w:tr>
    </w:tbl>
    <w:p w14:paraId="4A926388" w14:textId="770F050C" w:rsidR="00AD099E" w:rsidRDefault="00D23AA2">
      <w:pPr>
        <w:rPr>
          <w:lang w:val="en-US"/>
        </w:rPr>
      </w:pPr>
      <w:r w:rsidRPr="007F59A9">
        <w:rPr>
          <w:rFonts w:ascii="Times New Roman" w:hAnsi="Times New Roman" w:cs="Times New Roman"/>
          <w:i/>
          <w:iCs/>
          <w:color w:val="000000"/>
          <w:sz w:val="24"/>
        </w:rPr>
        <w:t>Plasm</w:t>
      </w:r>
      <w:r w:rsidR="00A9060F">
        <w:rPr>
          <w:rFonts w:ascii="Times New Roman" w:hAnsi="Times New Roman" w:cs="Times New Roman"/>
          <w:color w:val="000000"/>
          <w:sz w:val="24"/>
        </w:rPr>
        <w:t>,</w:t>
      </w:r>
      <w:r w:rsidRPr="00AA7B45">
        <w:rPr>
          <w:rFonts w:ascii="Times New Roman" w:hAnsi="Times New Roman" w:cs="Times New Roman"/>
          <w:color w:val="000000"/>
          <w:sz w:val="24"/>
        </w:rPr>
        <w:t xml:space="preserve"> </w:t>
      </w:r>
      <w:r w:rsidRPr="007F59A9">
        <w:rPr>
          <w:rFonts w:ascii="Times New Roman" w:hAnsi="Times New Roman" w:cs="Times New Roman"/>
          <w:i/>
          <w:iCs/>
          <w:color w:val="000000"/>
          <w:sz w:val="24"/>
        </w:rPr>
        <w:t>Plasmodium</w:t>
      </w:r>
      <w:r w:rsidR="00A9060F">
        <w:rPr>
          <w:rFonts w:ascii="Times New Roman" w:hAnsi="Times New Roman" w:cs="Times New Roman"/>
          <w:color w:val="000000"/>
          <w:sz w:val="24"/>
        </w:rPr>
        <w:t>;</w:t>
      </w:r>
      <w:r w:rsidRPr="00AA7B45">
        <w:rPr>
          <w:rFonts w:ascii="Times New Roman" w:hAnsi="Times New Roman" w:cs="Times New Roman"/>
          <w:color w:val="000000"/>
          <w:sz w:val="24"/>
        </w:rPr>
        <w:t xml:space="preserve"> </w:t>
      </w:r>
      <w:r w:rsidRPr="007F59A9">
        <w:rPr>
          <w:rFonts w:ascii="Times New Roman" w:hAnsi="Times New Roman" w:cs="Times New Roman"/>
          <w:i/>
          <w:iCs/>
          <w:color w:val="000000"/>
          <w:sz w:val="24"/>
        </w:rPr>
        <w:t>Leuco</w:t>
      </w:r>
      <w:r w:rsidR="00A9060F">
        <w:rPr>
          <w:rFonts w:ascii="Times New Roman" w:hAnsi="Times New Roman" w:cs="Times New Roman"/>
          <w:color w:val="000000"/>
          <w:sz w:val="24"/>
        </w:rPr>
        <w:t>,</w:t>
      </w:r>
      <w:r w:rsidRPr="00AA7B45">
        <w:rPr>
          <w:rFonts w:ascii="Times New Roman" w:hAnsi="Times New Roman" w:cs="Times New Roman"/>
          <w:color w:val="000000"/>
          <w:sz w:val="24"/>
        </w:rPr>
        <w:t xml:space="preserve"> </w:t>
      </w:r>
      <w:r w:rsidRPr="007F59A9">
        <w:rPr>
          <w:rFonts w:ascii="Times New Roman" w:hAnsi="Times New Roman" w:cs="Times New Roman"/>
          <w:i/>
          <w:iCs/>
          <w:color w:val="000000"/>
          <w:sz w:val="24"/>
        </w:rPr>
        <w:t>Leucocytozoon</w:t>
      </w:r>
      <w:r w:rsidR="00A9060F">
        <w:rPr>
          <w:rFonts w:ascii="Times New Roman" w:hAnsi="Times New Roman" w:cs="Times New Roman"/>
          <w:color w:val="000000"/>
          <w:sz w:val="24"/>
        </w:rPr>
        <w:t>;</w:t>
      </w:r>
      <w:r w:rsidRPr="00AA7B45">
        <w:rPr>
          <w:rFonts w:ascii="Times New Roman" w:hAnsi="Times New Roman" w:cs="Times New Roman"/>
          <w:color w:val="000000"/>
          <w:sz w:val="24"/>
        </w:rPr>
        <w:t xml:space="preserve"> </w:t>
      </w:r>
      <w:r w:rsidRPr="007F59A9">
        <w:rPr>
          <w:rFonts w:ascii="Times New Roman" w:hAnsi="Times New Roman" w:cs="Times New Roman"/>
          <w:i/>
          <w:iCs/>
          <w:color w:val="000000"/>
          <w:sz w:val="24"/>
        </w:rPr>
        <w:t>Haemo</w:t>
      </w:r>
      <w:r w:rsidR="00A9060F">
        <w:rPr>
          <w:rFonts w:ascii="Times New Roman" w:hAnsi="Times New Roman" w:cs="Times New Roman"/>
          <w:color w:val="000000"/>
          <w:sz w:val="24"/>
        </w:rPr>
        <w:t>,</w:t>
      </w:r>
      <w:r w:rsidRPr="00AA7B45">
        <w:rPr>
          <w:rFonts w:ascii="Times New Roman" w:hAnsi="Times New Roman" w:cs="Times New Roman"/>
          <w:color w:val="000000"/>
          <w:sz w:val="24"/>
        </w:rPr>
        <w:t xml:space="preserve"> </w:t>
      </w:r>
      <w:r w:rsidRPr="007F59A9">
        <w:rPr>
          <w:rFonts w:ascii="Times New Roman" w:hAnsi="Times New Roman" w:cs="Times New Roman"/>
          <w:i/>
          <w:iCs/>
          <w:color w:val="000000"/>
          <w:sz w:val="24"/>
        </w:rPr>
        <w:t>Haemoproteus</w:t>
      </w:r>
      <w:r w:rsidR="00A9060F">
        <w:rPr>
          <w:rFonts w:ascii="Times New Roman" w:hAnsi="Times New Roman" w:cs="Times New Roman"/>
          <w:color w:val="000000"/>
          <w:sz w:val="24"/>
        </w:rPr>
        <w:t>.</w:t>
      </w:r>
    </w:p>
    <w:p w14:paraId="7F0A2BCE" w14:textId="443F7B44" w:rsidR="00D23AA2" w:rsidRDefault="00D23AA2">
      <w:pPr>
        <w:rPr>
          <w:lang w:val="en-US"/>
        </w:rPr>
      </w:pPr>
    </w:p>
    <w:p w14:paraId="5268BC3D" w14:textId="4737E585" w:rsidR="00D23AA2" w:rsidRDefault="00D23AA2">
      <w:pPr>
        <w:rPr>
          <w:lang w:val="en-US"/>
        </w:rPr>
      </w:pPr>
    </w:p>
    <w:p w14:paraId="466D06DE" w14:textId="5FAD4D89" w:rsidR="00D23AA2" w:rsidRDefault="00D23AA2">
      <w:pPr>
        <w:rPr>
          <w:lang w:val="en-US"/>
        </w:rPr>
      </w:pPr>
    </w:p>
    <w:p w14:paraId="16846746" w14:textId="77777777" w:rsidR="00D23AA2" w:rsidRDefault="00D23AA2">
      <w:pPr>
        <w:rPr>
          <w:lang w:val="en-US"/>
        </w:rPr>
      </w:pPr>
    </w:p>
    <w:p w14:paraId="147D167C" w14:textId="20274976" w:rsidR="00B4288A" w:rsidRPr="00B4288A" w:rsidRDefault="00D23AA2" w:rsidP="00B4288A">
      <w:pPr>
        <w:pStyle w:val="Caption"/>
        <w:keepNext/>
        <w:rPr>
          <w:rFonts w:ascii="Times New Roman" w:hAnsi="Times New Roman" w:cs="Times New Roman"/>
          <w:i w:val="0"/>
          <w:color w:val="auto"/>
          <w:sz w:val="24"/>
          <w:lang w:val="en-US"/>
        </w:rPr>
      </w:pPr>
      <w:r>
        <w:rPr>
          <w:rFonts w:ascii="Times New Roman" w:hAnsi="Times New Roman" w:cs="Times New Roman"/>
          <w:b/>
          <w:i w:val="0"/>
          <w:color w:val="auto"/>
          <w:sz w:val="24"/>
        </w:rPr>
        <w:t xml:space="preserve">Supplementary </w:t>
      </w:r>
      <w:r w:rsidR="00B4288A" w:rsidRPr="00AA7B45">
        <w:rPr>
          <w:rFonts w:ascii="Times New Roman" w:hAnsi="Times New Roman" w:cs="Times New Roman"/>
          <w:b/>
          <w:i w:val="0"/>
          <w:color w:val="auto"/>
          <w:sz w:val="24"/>
        </w:rPr>
        <w:t xml:space="preserve">Table </w:t>
      </w:r>
      <w:r w:rsidR="00B4288A">
        <w:rPr>
          <w:rFonts w:ascii="Times New Roman" w:hAnsi="Times New Roman" w:cs="Times New Roman"/>
          <w:b/>
          <w:i w:val="0"/>
          <w:color w:val="auto"/>
          <w:sz w:val="24"/>
        </w:rPr>
        <w:t>S4</w:t>
      </w:r>
      <w:r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B4288A" w:rsidRPr="00AA7B45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r w:rsidR="00B4288A" w:rsidRPr="007F59A9">
        <w:rPr>
          <w:rFonts w:ascii="Times New Roman" w:hAnsi="Times New Roman" w:cs="Times New Roman"/>
          <w:bCs/>
          <w:i w:val="0"/>
          <w:color w:val="auto"/>
          <w:sz w:val="24"/>
        </w:rPr>
        <w:t>Number of haemosporidian lineages detected</w:t>
      </w:r>
      <w:r w:rsidR="00A9060F">
        <w:rPr>
          <w:rFonts w:ascii="Times New Roman" w:hAnsi="Times New Roman" w:cs="Times New Roman"/>
          <w:bCs/>
          <w:i w:val="0"/>
          <w:color w:val="auto"/>
          <w:sz w:val="24"/>
        </w:rPr>
        <w:t>.</w:t>
      </w:r>
    </w:p>
    <w:tbl>
      <w:tblPr>
        <w:tblW w:w="518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7338"/>
      </w:tblGrid>
      <w:tr w:rsidR="00B4288A" w:rsidRPr="00B4288A" w14:paraId="30350551" w14:textId="77777777" w:rsidTr="007F59A9">
        <w:trPr>
          <w:trHeight w:val="315"/>
        </w:trPr>
        <w:tc>
          <w:tcPr>
            <w:tcW w:w="120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04E1" w14:textId="77777777" w:rsidR="00B4288A" w:rsidRPr="00B4288A" w:rsidRDefault="00B4288A" w:rsidP="00B428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B4288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Haemosporidian genus</w:t>
            </w:r>
          </w:p>
        </w:tc>
        <w:tc>
          <w:tcPr>
            <w:tcW w:w="380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70C06" w14:textId="77777777" w:rsidR="00B4288A" w:rsidRPr="00B4288A" w:rsidRDefault="00B4288A" w:rsidP="00B428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B4288A"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 xml:space="preserve">Number of lineages detected </w:t>
            </w:r>
          </w:p>
        </w:tc>
      </w:tr>
      <w:tr w:rsidR="00B4288A" w:rsidRPr="00B4288A" w14:paraId="31E6C269" w14:textId="77777777" w:rsidTr="00B4288A">
        <w:trPr>
          <w:trHeight w:val="315"/>
        </w:trPr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C4AC" w14:textId="77777777" w:rsidR="00B4288A" w:rsidRPr="00B4288A" w:rsidRDefault="00B4288A" w:rsidP="00B428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B4288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Plasmodium</w:t>
            </w:r>
          </w:p>
        </w:tc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E8ED" w14:textId="1E39EDCA" w:rsidR="00B4288A" w:rsidRPr="00B4288A" w:rsidRDefault="00B4288A" w:rsidP="00B4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22 lineages (of which 9 are associated </w:t>
            </w:r>
            <w:r w:rsidR="00A9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with</w:t>
            </w:r>
            <w:r w:rsidR="00A9060F" w:rsidRPr="00B4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B4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 described morpho-species)</w:t>
            </w:r>
          </w:p>
        </w:tc>
      </w:tr>
      <w:tr w:rsidR="00B4288A" w:rsidRPr="00B4288A" w14:paraId="6B690669" w14:textId="77777777" w:rsidTr="007F59A9">
        <w:trPr>
          <w:trHeight w:val="315"/>
        </w:trPr>
        <w:tc>
          <w:tcPr>
            <w:tcW w:w="12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08B6" w14:textId="77777777" w:rsidR="00B4288A" w:rsidRPr="00B4288A" w:rsidRDefault="00B4288A" w:rsidP="00B428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B4288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Haemoproteus</w:t>
            </w:r>
          </w:p>
        </w:tc>
        <w:tc>
          <w:tcPr>
            <w:tcW w:w="38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34C3" w14:textId="2F642185" w:rsidR="00B4288A" w:rsidRPr="00B4288A" w:rsidRDefault="00B4288A" w:rsidP="00B4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37 lineages (of which 19 are associated </w:t>
            </w:r>
            <w:r w:rsidR="00A9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with</w:t>
            </w:r>
            <w:r w:rsidR="00A9060F" w:rsidRPr="00B4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B4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14 described morpho-species) </w:t>
            </w:r>
          </w:p>
        </w:tc>
      </w:tr>
      <w:tr w:rsidR="00B4288A" w:rsidRPr="00B4288A" w14:paraId="0C3F1158" w14:textId="77777777" w:rsidTr="007F59A9">
        <w:trPr>
          <w:trHeight w:val="315"/>
        </w:trPr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E7CD" w14:textId="77777777" w:rsidR="00B4288A" w:rsidRPr="00B4288A" w:rsidRDefault="00B4288A" w:rsidP="00B428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B4288A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Leucocytozoon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46E7B" w14:textId="2F66BB91" w:rsidR="00B4288A" w:rsidRPr="00B4288A" w:rsidRDefault="00B4288A" w:rsidP="00B42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  <w:r w:rsidRPr="00B4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62 lineages (of which 2 are associated </w:t>
            </w:r>
            <w:r w:rsidR="00A90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with</w:t>
            </w:r>
            <w:r w:rsidR="00A9060F" w:rsidRPr="00B4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</w:t>
            </w:r>
            <w:r w:rsidRPr="00B42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 described morpho-species)</w:t>
            </w:r>
          </w:p>
        </w:tc>
      </w:tr>
    </w:tbl>
    <w:p w14:paraId="102C8155" w14:textId="77777777" w:rsidR="00B4288A" w:rsidRPr="00195035" w:rsidRDefault="00B4288A">
      <w:pPr>
        <w:rPr>
          <w:lang w:val="en-US"/>
        </w:rPr>
      </w:pPr>
    </w:p>
    <w:sectPr w:rsidR="00B4288A" w:rsidRPr="00195035" w:rsidSect="00195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35"/>
    <w:rsid w:val="00043A61"/>
    <w:rsid w:val="000905E1"/>
    <w:rsid w:val="00113374"/>
    <w:rsid w:val="0018341E"/>
    <w:rsid w:val="00195035"/>
    <w:rsid w:val="0041631D"/>
    <w:rsid w:val="007F59A9"/>
    <w:rsid w:val="00A80128"/>
    <w:rsid w:val="00A9060F"/>
    <w:rsid w:val="00AA7B45"/>
    <w:rsid w:val="00AD099E"/>
    <w:rsid w:val="00B4288A"/>
    <w:rsid w:val="00B9423A"/>
    <w:rsid w:val="00BA6923"/>
    <w:rsid w:val="00D23AA2"/>
    <w:rsid w:val="00DD0CDC"/>
    <w:rsid w:val="00E10096"/>
    <w:rsid w:val="00EA2A14"/>
    <w:rsid w:val="00F100B3"/>
    <w:rsid w:val="00F81C91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3D50"/>
  <w15:chartTrackingRefBased/>
  <w15:docId w15:val="{92999902-3ABE-4D96-99B4-3226DBCA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3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9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92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A7B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F100B3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1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6084/m9.figshare.17491460" TargetMode="External"/><Relationship Id="rId5" Type="http://schemas.openxmlformats.org/officeDocument/2006/relationships/hyperlink" Target="https://doi.org/10.6084/m9.figshare.17491460" TargetMode="External"/><Relationship Id="rId4" Type="http://schemas.openxmlformats.org/officeDocument/2006/relationships/hyperlink" Target="mailto:romain.pigeault@univ-poitie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Pigeault</dc:creator>
  <cp:keywords/>
  <dc:description/>
  <cp:lastModifiedBy>Maria Meuleman</cp:lastModifiedBy>
  <cp:revision>3</cp:revision>
  <cp:lastPrinted>2021-12-23T13:11:00Z</cp:lastPrinted>
  <dcterms:created xsi:type="dcterms:W3CDTF">2022-06-13T13:42:00Z</dcterms:created>
  <dcterms:modified xsi:type="dcterms:W3CDTF">2022-06-17T05:31:00Z</dcterms:modified>
</cp:coreProperties>
</file>