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0F313" w14:textId="321F3CAB" w:rsidR="00A33E2C" w:rsidRDefault="00A33E2C" w:rsidP="00A33E2C">
      <w:pPr>
        <w:spacing w:after="0"/>
        <w:jc w:val="center"/>
        <w:rPr>
          <w:b/>
          <w:sz w:val="32"/>
        </w:rPr>
      </w:pPr>
      <w:r>
        <w:rPr>
          <w:b/>
          <w:sz w:val="32"/>
        </w:rPr>
        <w:t>Supplementary Information</w:t>
      </w:r>
    </w:p>
    <w:p w14:paraId="0B342362" w14:textId="4685EEC9" w:rsidR="00870A16" w:rsidRDefault="00870A16" w:rsidP="00930ECA">
      <w:pPr>
        <w:spacing w:after="0"/>
        <w:jc w:val="both"/>
        <w:rPr>
          <w:b/>
          <w:sz w:val="32"/>
        </w:rPr>
      </w:pPr>
      <w:r w:rsidRPr="00870A16">
        <w:rPr>
          <w:b/>
          <w:sz w:val="32"/>
        </w:rPr>
        <w:t xml:space="preserve">Studying </w:t>
      </w:r>
      <w:r w:rsidR="00112165">
        <w:rPr>
          <w:b/>
          <w:sz w:val="32"/>
        </w:rPr>
        <w:t xml:space="preserve">the </w:t>
      </w:r>
      <w:r w:rsidRPr="00870A16">
        <w:rPr>
          <w:b/>
          <w:sz w:val="32"/>
        </w:rPr>
        <w:t xml:space="preserve">Parkinson’s </w:t>
      </w:r>
      <w:r w:rsidR="00967B2A">
        <w:rPr>
          <w:b/>
          <w:sz w:val="32"/>
        </w:rPr>
        <w:t>d</w:t>
      </w:r>
      <w:r w:rsidRPr="00870A16">
        <w:rPr>
          <w:b/>
          <w:sz w:val="32"/>
        </w:rPr>
        <w:t>isease metabolome and exposome in biological samples through different analytical and cheminformatics approaches</w:t>
      </w:r>
      <w:r w:rsidR="0009583E" w:rsidRPr="00331826">
        <w:rPr>
          <w:b/>
          <w:sz w:val="32"/>
        </w:rPr>
        <w:t xml:space="preserve">: </w:t>
      </w:r>
      <w:r w:rsidR="00331826" w:rsidRPr="00331826">
        <w:rPr>
          <w:b/>
          <w:sz w:val="32"/>
        </w:rPr>
        <w:t>a</w:t>
      </w:r>
      <w:r w:rsidR="0009583E" w:rsidRPr="00331826">
        <w:rPr>
          <w:b/>
          <w:sz w:val="32"/>
        </w:rPr>
        <w:t xml:space="preserve"> pilot study</w:t>
      </w:r>
      <w:r w:rsidRPr="00870A16">
        <w:rPr>
          <w:b/>
          <w:sz w:val="32"/>
        </w:rPr>
        <w:t> </w:t>
      </w:r>
    </w:p>
    <w:p w14:paraId="6E8BFFA1" w14:textId="77777777" w:rsidR="00870A16" w:rsidRDefault="00870A16" w:rsidP="00930ECA">
      <w:pPr>
        <w:spacing w:after="0"/>
        <w:jc w:val="both"/>
      </w:pPr>
    </w:p>
    <w:p w14:paraId="31E62EA4" w14:textId="77777777" w:rsidR="00A545EC" w:rsidRPr="00702D80" w:rsidRDefault="00A545EC" w:rsidP="00A545EC">
      <w:pPr>
        <w:spacing w:after="0"/>
        <w:jc w:val="both"/>
      </w:pPr>
      <w:proofErr w:type="spellStart"/>
      <w:r w:rsidRPr="00702D80">
        <w:t>Begoña</w:t>
      </w:r>
      <w:proofErr w:type="spellEnd"/>
      <w:r w:rsidRPr="00702D80">
        <w:t xml:space="preserve"> Talavera Andújar</w:t>
      </w:r>
      <w:r w:rsidRPr="00702D80">
        <w:rPr>
          <w:vertAlign w:val="superscript"/>
        </w:rPr>
        <w:t>1</w:t>
      </w:r>
      <w:r>
        <w:rPr>
          <w:vertAlign w:val="superscript"/>
        </w:rPr>
        <w:t>*</w:t>
      </w:r>
      <w:r w:rsidRPr="00702D80">
        <w:t>, Dagny Aurich</w:t>
      </w:r>
      <w:r w:rsidRPr="00702D80">
        <w:rPr>
          <w:vertAlign w:val="superscript"/>
        </w:rPr>
        <w:t>1</w:t>
      </w:r>
      <w:r w:rsidRPr="00702D80">
        <w:t>, Velma</w:t>
      </w:r>
      <w:r>
        <w:t xml:space="preserve"> T.E.</w:t>
      </w:r>
      <w:r w:rsidRPr="00702D80">
        <w:t xml:space="preserve"> Aho</w:t>
      </w:r>
      <w:r w:rsidRPr="00702D80">
        <w:rPr>
          <w:vertAlign w:val="superscript"/>
        </w:rPr>
        <w:t>1</w:t>
      </w:r>
      <w:r w:rsidRPr="00702D80">
        <w:t xml:space="preserve">, Randolph </w:t>
      </w:r>
      <w:r>
        <w:t xml:space="preserve">R. </w:t>
      </w:r>
      <w:r w:rsidRPr="00702D80">
        <w:t>Singh</w:t>
      </w:r>
      <w:r w:rsidRPr="00702D80">
        <w:rPr>
          <w:vertAlign w:val="superscript"/>
        </w:rPr>
        <w:t>1,2</w:t>
      </w:r>
      <w:r w:rsidRPr="00702D80">
        <w:t xml:space="preserve">, </w:t>
      </w:r>
      <w:proofErr w:type="spellStart"/>
      <w:r w:rsidRPr="00702D80">
        <w:t>Tiejun</w:t>
      </w:r>
      <w:proofErr w:type="spellEnd"/>
      <w:r w:rsidRPr="00702D80">
        <w:t xml:space="preserve"> </w:t>
      </w:r>
      <w:r>
        <w:t>Cheng</w:t>
      </w:r>
      <w:r w:rsidRPr="00702D80">
        <w:rPr>
          <w:vertAlign w:val="superscript"/>
        </w:rPr>
        <w:t>3</w:t>
      </w:r>
      <w:r w:rsidRPr="00702D80">
        <w:t>, Leonid Zaslavsky</w:t>
      </w:r>
      <w:r w:rsidRPr="00702D80">
        <w:rPr>
          <w:vertAlign w:val="superscript"/>
        </w:rPr>
        <w:t>3</w:t>
      </w:r>
      <w:r w:rsidRPr="00702D80">
        <w:t>,</w:t>
      </w:r>
      <w:r w:rsidRPr="008327D6">
        <w:t xml:space="preserve"> </w:t>
      </w:r>
      <w:r w:rsidRPr="004B55FB">
        <w:t>Evan E. Bolton</w:t>
      </w:r>
      <w:r w:rsidRPr="004B55FB">
        <w:rPr>
          <w:vertAlign w:val="superscript"/>
        </w:rPr>
        <w:t>3</w:t>
      </w:r>
      <w:r w:rsidRPr="004B55FB">
        <w:t>,</w:t>
      </w:r>
      <w:r w:rsidRPr="00702D80">
        <w:t xml:space="preserve"> </w:t>
      </w:r>
      <w:r>
        <w:t>Brit Mollenhauer</w:t>
      </w:r>
      <w:r w:rsidRPr="00702D80">
        <w:rPr>
          <w:vertAlign w:val="superscript"/>
        </w:rPr>
        <w:t>4</w:t>
      </w:r>
      <w:r>
        <w:rPr>
          <w:vertAlign w:val="superscript"/>
        </w:rPr>
        <w:t>,5</w:t>
      </w:r>
      <w:r>
        <w:t xml:space="preserve">, </w:t>
      </w:r>
      <w:r w:rsidRPr="00B87CBC">
        <w:t>Paul Wilmes</w:t>
      </w:r>
      <w:r w:rsidRPr="00B87CBC">
        <w:rPr>
          <w:vertAlign w:val="superscript"/>
        </w:rPr>
        <w:t>1</w:t>
      </w:r>
      <w:r>
        <w:rPr>
          <w:vertAlign w:val="superscript"/>
        </w:rPr>
        <w:t>,6</w:t>
      </w:r>
      <w:r w:rsidRPr="00B87CBC">
        <w:t xml:space="preserve">, </w:t>
      </w:r>
      <w:r w:rsidRPr="00702D80">
        <w:t>Emma L. Schymanski</w:t>
      </w:r>
      <w:r w:rsidRPr="00702D80">
        <w:rPr>
          <w:vertAlign w:val="superscript"/>
        </w:rPr>
        <w:t>1</w:t>
      </w:r>
      <w:r>
        <w:rPr>
          <w:vertAlign w:val="superscript"/>
        </w:rPr>
        <w:t>*</w:t>
      </w:r>
    </w:p>
    <w:p w14:paraId="669810D5" w14:textId="77777777" w:rsidR="00A545EC" w:rsidRPr="00702D80" w:rsidRDefault="00A545EC" w:rsidP="00A545EC">
      <w:pPr>
        <w:spacing w:after="0"/>
        <w:jc w:val="both"/>
      </w:pPr>
    </w:p>
    <w:p w14:paraId="72CAB19D" w14:textId="77777777" w:rsidR="00A545EC" w:rsidRPr="005443E8" w:rsidRDefault="00A545EC" w:rsidP="00A545EC">
      <w:pPr>
        <w:spacing w:after="0"/>
        <w:jc w:val="both"/>
        <w:rPr>
          <w:sz w:val="20"/>
          <w:lang w:val="en-AU"/>
        </w:rPr>
      </w:pPr>
      <w:r w:rsidRPr="005443E8">
        <w:rPr>
          <w:sz w:val="20"/>
          <w:vertAlign w:val="superscript"/>
          <w:lang w:val="en-AU"/>
        </w:rPr>
        <w:t>1</w:t>
      </w:r>
      <w:r w:rsidRPr="005443E8">
        <w:rPr>
          <w:sz w:val="20"/>
          <w:lang w:val="en-AU"/>
        </w:rPr>
        <w:t xml:space="preserve"> Luxembourg Centre for Systems Biomedicine (LCSB), University of Luxembourg, Avenue du Swing 6, L-4367 </w:t>
      </w:r>
      <w:proofErr w:type="spellStart"/>
      <w:r w:rsidRPr="005443E8">
        <w:rPr>
          <w:sz w:val="20"/>
          <w:lang w:val="en-AU"/>
        </w:rPr>
        <w:t>Belvaux</w:t>
      </w:r>
      <w:proofErr w:type="spellEnd"/>
      <w:r w:rsidRPr="005443E8">
        <w:rPr>
          <w:sz w:val="20"/>
          <w:lang w:val="en-AU"/>
        </w:rPr>
        <w:t>, Luxembourg</w:t>
      </w:r>
    </w:p>
    <w:p w14:paraId="650CC600" w14:textId="77777777" w:rsidR="00A545EC" w:rsidRPr="00992D26" w:rsidRDefault="00A545EC" w:rsidP="00A545EC">
      <w:pPr>
        <w:spacing w:after="0"/>
        <w:jc w:val="both"/>
        <w:rPr>
          <w:sz w:val="20"/>
          <w:lang w:val="fr-LU"/>
        </w:rPr>
      </w:pPr>
      <w:r w:rsidRPr="00992D26">
        <w:rPr>
          <w:sz w:val="20"/>
          <w:vertAlign w:val="superscript"/>
          <w:lang w:val="fr-LU"/>
        </w:rPr>
        <w:t xml:space="preserve">2 </w:t>
      </w:r>
      <w:r w:rsidRPr="00992D26">
        <w:rPr>
          <w:sz w:val="20"/>
          <w:lang w:val="fr-LU"/>
        </w:rPr>
        <w:t xml:space="preserve">IFREMER (Institut </w:t>
      </w:r>
      <w:proofErr w:type="spellStart"/>
      <w:r w:rsidRPr="00992D26">
        <w:rPr>
          <w:sz w:val="20"/>
          <w:lang w:val="fr-LU"/>
        </w:rPr>
        <w:t>Français</w:t>
      </w:r>
      <w:proofErr w:type="spellEnd"/>
      <w:r w:rsidRPr="00992D26">
        <w:rPr>
          <w:sz w:val="20"/>
          <w:lang w:val="fr-LU"/>
        </w:rPr>
        <w:t xml:space="preserve"> de Recherche pour l’Exploitation de la Mer), Unité Contamination Chimique des Ecosystèmes Marins, Nantes, France</w:t>
      </w:r>
    </w:p>
    <w:p w14:paraId="3614D27B" w14:textId="77777777" w:rsidR="00A545EC" w:rsidRPr="00992D26" w:rsidRDefault="00A545EC" w:rsidP="00A545EC">
      <w:pPr>
        <w:spacing w:after="0"/>
        <w:jc w:val="both"/>
        <w:rPr>
          <w:sz w:val="20"/>
        </w:rPr>
      </w:pPr>
      <w:r w:rsidRPr="00992D26">
        <w:rPr>
          <w:sz w:val="20"/>
          <w:vertAlign w:val="superscript"/>
        </w:rPr>
        <w:t>3</w:t>
      </w:r>
      <w:r w:rsidRPr="00992D26">
        <w:rPr>
          <w:sz w:val="20"/>
        </w:rPr>
        <w:t xml:space="preserve"> National Center for Biotechnology Information, National Library of Medicine, National Institutes of Health, Bethesda, MD 20894, USA</w:t>
      </w:r>
    </w:p>
    <w:p w14:paraId="57DB8269" w14:textId="77777777" w:rsidR="00A545EC" w:rsidRPr="00992D26" w:rsidRDefault="00A545EC" w:rsidP="00A545EC">
      <w:pPr>
        <w:spacing w:after="0"/>
        <w:jc w:val="both"/>
        <w:rPr>
          <w:sz w:val="20"/>
        </w:rPr>
      </w:pPr>
      <w:r w:rsidRPr="00992D26">
        <w:rPr>
          <w:sz w:val="20"/>
          <w:vertAlign w:val="superscript"/>
        </w:rPr>
        <w:t xml:space="preserve">4 </w:t>
      </w:r>
      <w:r w:rsidRPr="00992D26">
        <w:rPr>
          <w:sz w:val="20"/>
        </w:rPr>
        <w:t>Department of Neurology, University Medical Center Göttingen, Göttingen, Germany</w:t>
      </w:r>
    </w:p>
    <w:p w14:paraId="1B26EC29" w14:textId="77777777" w:rsidR="00A545EC" w:rsidRPr="00992D26" w:rsidRDefault="00A545EC" w:rsidP="00A545EC">
      <w:pPr>
        <w:spacing w:after="0"/>
        <w:jc w:val="both"/>
        <w:rPr>
          <w:sz w:val="20"/>
        </w:rPr>
      </w:pPr>
      <w:r w:rsidRPr="00992D26">
        <w:rPr>
          <w:sz w:val="20"/>
          <w:vertAlign w:val="superscript"/>
        </w:rPr>
        <w:t>5</w:t>
      </w:r>
      <w:r w:rsidRPr="00992D26">
        <w:rPr>
          <w:sz w:val="20"/>
        </w:rPr>
        <w:t xml:space="preserve"> Paracelsus-Elena-</w:t>
      </w:r>
      <w:proofErr w:type="spellStart"/>
      <w:r w:rsidRPr="00992D26">
        <w:rPr>
          <w:sz w:val="20"/>
        </w:rPr>
        <w:t>Klinik</w:t>
      </w:r>
      <w:proofErr w:type="spellEnd"/>
      <w:r w:rsidRPr="00992D26">
        <w:rPr>
          <w:sz w:val="20"/>
        </w:rPr>
        <w:t>, Kassel, Germany</w:t>
      </w:r>
    </w:p>
    <w:p w14:paraId="3F3E9798" w14:textId="77777777" w:rsidR="00A545EC" w:rsidRDefault="00A545EC" w:rsidP="00A545EC">
      <w:pPr>
        <w:spacing w:after="0"/>
        <w:jc w:val="both"/>
        <w:rPr>
          <w:sz w:val="20"/>
        </w:rPr>
      </w:pPr>
      <w:r w:rsidRPr="00992D26">
        <w:rPr>
          <w:sz w:val="20"/>
          <w:vertAlign w:val="superscript"/>
        </w:rPr>
        <w:t>6</w:t>
      </w:r>
      <w:r w:rsidRPr="00992D26">
        <w:rPr>
          <w:sz w:val="20"/>
        </w:rPr>
        <w:t xml:space="preserve"> Department of Life Sciences and Medicine, Faculty of Science, Technology and Medicine, University of Luxembourg, </w:t>
      </w:r>
      <w:proofErr w:type="spellStart"/>
      <w:r w:rsidRPr="00992D26">
        <w:rPr>
          <w:sz w:val="20"/>
        </w:rPr>
        <w:t>Esch</w:t>
      </w:r>
      <w:proofErr w:type="spellEnd"/>
      <w:r w:rsidRPr="00992D26">
        <w:rPr>
          <w:sz w:val="20"/>
        </w:rPr>
        <w:t>-sur-</w:t>
      </w:r>
      <w:proofErr w:type="spellStart"/>
      <w:r w:rsidRPr="00992D26">
        <w:rPr>
          <w:sz w:val="20"/>
        </w:rPr>
        <w:t>Alzette</w:t>
      </w:r>
      <w:proofErr w:type="spellEnd"/>
      <w:r w:rsidRPr="00992D26">
        <w:rPr>
          <w:sz w:val="20"/>
        </w:rPr>
        <w:t>, Luxembourg</w:t>
      </w:r>
    </w:p>
    <w:p w14:paraId="58847D3A" w14:textId="77777777" w:rsidR="00B0732A" w:rsidRDefault="00B0732A" w:rsidP="00896687">
      <w:pPr>
        <w:rPr>
          <w:sz w:val="20"/>
        </w:rPr>
      </w:pPr>
      <w:bookmarkStart w:id="0" w:name="_Hlk100234596"/>
    </w:p>
    <w:p w14:paraId="38C5B2E9" w14:textId="1F5E6CC0" w:rsidR="00E27634" w:rsidRDefault="00896687" w:rsidP="00E27634">
      <w:r w:rsidRPr="00A33E2C">
        <w:t xml:space="preserve">*Corresponding authors: BTA: </w:t>
      </w:r>
      <w:hyperlink r:id="rId7" w:history="1">
        <w:r w:rsidRPr="00A33E2C">
          <w:rPr>
            <w:rStyle w:val="Hyperlink"/>
          </w:rPr>
          <w:t>begona.talavera@uni.lu</w:t>
        </w:r>
      </w:hyperlink>
      <w:r w:rsidRPr="00A33E2C">
        <w:t xml:space="preserve"> and ELS: </w:t>
      </w:r>
      <w:hyperlink r:id="rId8" w:history="1">
        <w:r w:rsidRPr="00A33E2C">
          <w:rPr>
            <w:rStyle w:val="Hyperlink"/>
          </w:rPr>
          <w:t>emma.schymanski@uni.lu</w:t>
        </w:r>
      </w:hyperlink>
      <w:r w:rsidRPr="00A33E2C">
        <w:t xml:space="preserve"> </w:t>
      </w:r>
      <w:bookmarkEnd w:id="0"/>
    </w:p>
    <w:sdt>
      <w:sdtPr>
        <w:rPr>
          <w:rFonts w:asciiTheme="minorHAnsi" w:eastAsiaTheme="minorHAnsi" w:hAnsiTheme="minorHAnsi" w:cstheme="minorBidi"/>
          <w:color w:val="auto"/>
          <w:sz w:val="22"/>
          <w:szCs w:val="22"/>
        </w:rPr>
        <w:id w:val="-737479326"/>
        <w:docPartObj>
          <w:docPartGallery w:val="Table of Contents"/>
          <w:docPartUnique/>
        </w:docPartObj>
      </w:sdtPr>
      <w:sdtEndPr>
        <w:rPr>
          <w:b/>
          <w:bCs/>
          <w:noProof/>
        </w:rPr>
      </w:sdtEndPr>
      <w:sdtContent>
        <w:p w14:paraId="1FAFD3F8" w14:textId="2BDD1CEB" w:rsidR="006323E0" w:rsidRPr="006323E0" w:rsidRDefault="006323E0">
          <w:pPr>
            <w:pStyle w:val="Inhaltsverzeichnisberschrift"/>
            <w:rPr>
              <w:rFonts w:asciiTheme="minorHAnsi" w:hAnsiTheme="minorHAnsi" w:cstheme="minorHAnsi"/>
              <w:b/>
              <w:color w:val="auto"/>
              <w:sz w:val="28"/>
            </w:rPr>
          </w:pPr>
          <w:r w:rsidRPr="006323E0">
            <w:rPr>
              <w:rFonts w:asciiTheme="minorHAnsi" w:hAnsiTheme="minorHAnsi" w:cstheme="minorHAnsi"/>
              <w:b/>
              <w:color w:val="auto"/>
              <w:sz w:val="28"/>
            </w:rPr>
            <w:t>Contents</w:t>
          </w:r>
        </w:p>
        <w:p w14:paraId="620EDDC8" w14:textId="67588CE3" w:rsidR="0009583E" w:rsidRDefault="006323E0">
          <w:pPr>
            <w:pStyle w:val="Verzeichnis1"/>
            <w:tabs>
              <w:tab w:val="right" w:leader="dot" w:pos="9350"/>
            </w:tabs>
            <w:rPr>
              <w:rFonts w:eastAsiaTheme="minorEastAsia"/>
              <w:noProof/>
            </w:rPr>
          </w:pPr>
          <w:r w:rsidRPr="00331826">
            <w:fldChar w:fldCharType="begin"/>
          </w:r>
          <w:r>
            <w:instrText xml:space="preserve"> TOC \o "1-3" \h \z \u </w:instrText>
          </w:r>
          <w:r w:rsidRPr="00331826">
            <w:fldChar w:fldCharType="separate"/>
          </w:r>
          <w:hyperlink w:anchor="_Toc104824947" w:history="1">
            <w:r w:rsidR="0009583E" w:rsidRPr="00ED034C">
              <w:rPr>
                <w:rStyle w:val="Hyperlink"/>
                <w:rFonts w:cstheme="minorHAnsi"/>
                <w:b/>
                <w:noProof/>
              </w:rPr>
              <w:t>Section 1. Prot</w:t>
            </w:r>
            <w:r w:rsidR="0009583E" w:rsidRPr="00ED034C">
              <w:rPr>
                <w:rStyle w:val="Hyperlink"/>
                <w:rFonts w:cstheme="minorHAnsi"/>
                <w:b/>
                <w:noProof/>
              </w:rPr>
              <w:t>o</w:t>
            </w:r>
            <w:r w:rsidR="0009583E" w:rsidRPr="00ED034C">
              <w:rPr>
                <w:rStyle w:val="Hyperlink"/>
                <w:rFonts w:cstheme="minorHAnsi"/>
                <w:b/>
                <w:noProof/>
              </w:rPr>
              <w:t>col plasma preparation</w:t>
            </w:r>
            <w:r w:rsidR="0009583E">
              <w:rPr>
                <w:noProof/>
                <w:webHidden/>
              </w:rPr>
              <w:tab/>
            </w:r>
            <w:r w:rsidR="0009583E">
              <w:rPr>
                <w:noProof/>
                <w:webHidden/>
              </w:rPr>
              <w:fldChar w:fldCharType="begin"/>
            </w:r>
            <w:r w:rsidR="0009583E">
              <w:rPr>
                <w:noProof/>
                <w:webHidden/>
              </w:rPr>
              <w:instrText xml:space="preserve"> PAGEREF _Toc104824947 \h </w:instrText>
            </w:r>
            <w:r w:rsidR="0009583E">
              <w:rPr>
                <w:noProof/>
                <w:webHidden/>
              </w:rPr>
            </w:r>
            <w:r w:rsidR="0009583E">
              <w:rPr>
                <w:noProof/>
                <w:webHidden/>
              </w:rPr>
              <w:fldChar w:fldCharType="separate"/>
            </w:r>
            <w:r w:rsidR="0009583E">
              <w:rPr>
                <w:noProof/>
                <w:webHidden/>
              </w:rPr>
              <w:t>2</w:t>
            </w:r>
            <w:r w:rsidR="0009583E">
              <w:rPr>
                <w:noProof/>
                <w:webHidden/>
              </w:rPr>
              <w:fldChar w:fldCharType="end"/>
            </w:r>
          </w:hyperlink>
        </w:p>
        <w:p w14:paraId="6F5F1D4A" w14:textId="6EEDE3AC" w:rsidR="0009583E" w:rsidRDefault="000560BE">
          <w:pPr>
            <w:pStyle w:val="Verzeichnis2"/>
            <w:tabs>
              <w:tab w:val="right" w:leader="dot" w:pos="9350"/>
            </w:tabs>
            <w:rPr>
              <w:rFonts w:eastAsiaTheme="minorEastAsia"/>
              <w:noProof/>
            </w:rPr>
          </w:pPr>
          <w:hyperlink w:anchor="_Toc104824948" w:history="1">
            <w:r w:rsidR="0009583E" w:rsidRPr="00ED034C">
              <w:rPr>
                <w:rStyle w:val="Hyperlink"/>
                <w:b/>
                <w:noProof/>
              </w:rPr>
              <w:t>Fig. S1</w:t>
            </w:r>
            <w:r w:rsidR="0009583E" w:rsidRPr="00ED034C">
              <w:rPr>
                <w:rStyle w:val="Hyperlink"/>
                <w:noProof/>
              </w:rPr>
              <w:t>.</w:t>
            </w:r>
            <w:r w:rsidR="0009583E">
              <w:rPr>
                <w:noProof/>
                <w:webHidden/>
              </w:rPr>
              <w:tab/>
            </w:r>
            <w:r w:rsidR="0009583E">
              <w:rPr>
                <w:noProof/>
                <w:webHidden/>
              </w:rPr>
              <w:fldChar w:fldCharType="begin"/>
            </w:r>
            <w:r w:rsidR="0009583E">
              <w:rPr>
                <w:noProof/>
                <w:webHidden/>
              </w:rPr>
              <w:instrText xml:space="preserve"> PAGEREF _Toc104824948 \h </w:instrText>
            </w:r>
            <w:r w:rsidR="0009583E">
              <w:rPr>
                <w:noProof/>
                <w:webHidden/>
              </w:rPr>
            </w:r>
            <w:r w:rsidR="0009583E">
              <w:rPr>
                <w:noProof/>
                <w:webHidden/>
              </w:rPr>
              <w:fldChar w:fldCharType="separate"/>
            </w:r>
            <w:r w:rsidR="0009583E">
              <w:rPr>
                <w:noProof/>
                <w:webHidden/>
              </w:rPr>
              <w:t>3</w:t>
            </w:r>
            <w:r w:rsidR="0009583E">
              <w:rPr>
                <w:noProof/>
                <w:webHidden/>
              </w:rPr>
              <w:fldChar w:fldCharType="end"/>
            </w:r>
          </w:hyperlink>
        </w:p>
        <w:p w14:paraId="2EF3A5B5" w14:textId="5236EDBF" w:rsidR="0009583E" w:rsidRDefault="000560BE">
          <w:pPr>
            <w:pStyle w:val="Verzeichnis1"/>
            <w:tabs>
              <w:tab w:val="right" w:leader="dot" w:pos="9350"/>
            </w:tabs>
            <w:rPr>
              <w:rFonts w:eastAsiaTheme="minorEastAsia"/>
              <w:noProof/>
            </w:rPr>
          </w:pPr>
          <w:hyperlink w:anchor="_Toc104824949" w:history="1">
            <w:r w:rsidR="0009583E" w:rsidRPr="00ED034C">
              <w:rPr>
                <w:rStyle w:val="Hyperlink"/>
                <w:rFonts w:cstheme="minorHAnsi"/>
                <w:b/>
                <w:noProof/>
              </w:rPr>
              <w:t>Section 2. Protocol feces preparation</w:t>
            </w:r>
            <w:r w:rsidR="0009583E">
              <w:rPr>
                <w:noProof/>
                <w:webHidden/>
              </w:rPr>
              <w:tab/>
            </w:r>
            <w:r w:rsidR="0009583E">
              <w:rPr>
                <w:noProof/>
                <w:webHidden/>
              </w:rPr>
              <w:fldChar w:fldCharType="begin"/>
            </w:r>
            <w:r w:rsidR="0009583E">
              <w:rPr>
                <w:noProof/>
                <w:webHidden/>
              </w:rPr>
              <w:instrText xml:space="preserve"> PAGEREF _Toc104824949 \h </w:instrText>
            </w:r>
            <w:r w:rsidR="0009583E">
              <w:rPr>
                <w:noProof/>
                <w:webHidden/>
              </w:rPr>
            </w:r>
            <w:r w:rsidR="0009583E">
              <w:rPr>
                <w:noProof/>
                <w:webHidden/>
              </w:rPr>
              <w:fldChar w:fldCharType="separate"/>
            </w:r>
            <w:r w:rsidR="0009583E">
              <w:rPr>
                <w:noProof/>
                <w:webHidden/>
              </w:rPr>
              <w:t>3</w:t>
            </w:r>
            <w:r w:rsidR="0009583E">
              <w:rPr>
                <w:noProof/>
                <w:webHidden/>
              </w:rPr>
              <w:fldChar w:fldCharType="end"/>
            </w:r>
          </w:hyperlink>
        </w:p>
        <w:p w14:paraId="5428D41D" w14:textId="0C97B946" w:rsidR="0009583E" w:rsidRDefault="000560BE">
          <w:pPr>
            <w:pStyle w:val="Verzeichnis1"/>
            <w:tabs>
              <w:tab w:val="right" w:leader="dot" w:pos="9350"/>
            </w:tabs>
            <w:rPr>
              <w:rFonts w:eastAsiaTheme="minorEastAsia"/>
              <w:noProof/>
            </w:rPr>
          </w:pPr>
          <w:hyperlink w:anchor="_Toc104824950" w:history="1">
            <w:r w:rsidR="0009583E" w:rsidRPr="00ED034C">
              <w:rPr>
                <w:rStyle w:val="Hyperlink"/>
                <w:rFonts w:cstheme="minorHAnsi"/>
                <w:b/>
                <w:noProof/>
                <w:lang w:val="fr-LU"/>
              </w:rPr>
              <w:t>Section 3. Compound annotation</w:t>
            </w:r>
            <w:r w:rsidR="0009583E">
              <w:rPr>
                <w:noProof/>
                <w:webHidden/>
              </w:rPr>
              <w:tab/>
            </w:r>
            <w:r w:rsidR="0009583E">
              <w:rPr>
                <w:noProof/>
                <w:webHidden/>
              </w:rPr>
              <w:fldChar w:fldCharType="begin"/>
            </w:r>
            <w:r w:rsidR="0009583E">
              <w:rPr>
                <w:noProof/>
                <w:webHidden/>
              </w:rPr>
              <w:instrText xml:space="preserve"> PAGEREF _Toc104824950 \h </w:instrText>
            </w:r>
            <w:r w:rsidR="0009583E">
              <w:rPr>
                <w:noProof/>
                <w:webHidden/>
              </w:rPr>
            </w:r>
            <w:r w:rsidR="0009583E">
              <w:rPr>
                <w:noProof/>
                <w:webHidden/>
              </w:rPr>
              <w:fldChar w:fldCharType="separate"/>
            </w:r>
            <w:r w:rsidR="0009583E">
              <w:rPr>
                <w:noProof/>
                <w:webHidden/>
              </w:rPr>
              <w:t>5</w:t>
            </w:r>
            <w:r w:rsidR="0009583E">
              <w:rPr>
                <w:noProof/>
                <w:webHidden/>
              </w:rPr>
              <w:fldChar w:fldCharType="end"/>
            </w:r>
          </w:hyperlink>
        </w:p>
        <w:p w14:paraId="3D5E41B0" w14:textId="0F21125E" w:rsidR="0009583E" w:rsidRDefault="000560BE">
          <w:pPr>
            <w:pStyle w:val="Verzeichnis2"/>
            <w:tabs>
              <w:tab w:val="right" w:leader="dot" w:pos="9350"/>
            </w:tabs>
            <w:rPr>
              <w:rFonts w:eastAsiaTheme="minorEastAsia"/>
              <w:noProof/>
            </w:rPr>
          </w:pPr>
          <w:hyperlink w:anchor="_Toc104824951" w:history="1">
            <w:r w:rsidR="0009583E" w:rsidRPr="00ED034C">
              <w:rPr>
                <w:rStyle w:val="Hyperlink"/>
                <w:b/>
                <w:noProof/>
              </w:rPr>
              <w:t>Fig. S2.</w:t>
            </w:r>
            <w:r w:rsidR="0009583E">
              <w:rPr>
                <w:noProof/>
                <w:webHidden/>
              </w:rPr>
              <w:tab/>
            </w:r>
            <w:r w:rsidR="0009583E">
              <w:rPr>
                <w:noProof/>
                <w:webHidden/>
              </w:rPr>
              <w:fldChar w:fldCharType="begin"/>
            </w:r>
            <w:r w:rsidR="0009583E">
              <w:rPr>
                <w:noProof/>
                <w:webHidden/>
              </w:rPr>
              <w:instrText xml:space="preserve"> PAGEREF _Toc104824951 \h </w:instrText>
            </w:r>
            <w:r w:rsidR="0009583E">
              <w:rPr>
                <w:noProof/>
                <w:webHidden/>
              </w:rPr>
            </w:r>
            <w:r w:rsidR="0009583E">
              <w:rPr>
                <w:noProof/>
                <w:webHidden/>
              </w:rPr>
              <w:fldChar w:fldCharType="separate"/>
            </w:r>
            <w:r w:rsidR="0009583E">
              <w:rPr>
                <w:noProof/>
                <w:webHidden/>
              </w:rPr>
              <w:t>5</w:t>
            </w:r>
            <w:r w:rsidR="0009583E">
              <w:rPr>
                <w:noProof/>
                <w:webHidden/>
              </w:rPr>
              <w:fldChar w:fldCharType="end"/>
            </w:r>
          </w:hyperlink>
        </w:p>
        <w:p w14:paraId="640ADF04" w14:textId="444AF07D" w:rsidR="0009583E" w:rsidRDefault="000560BE">
          <w:pPr>
            <w:pStyle w:val="Verzeichnis2"/>
            <w:tabs>
              <w:tab w:val="right" w:leader="dot" w:pos="9350"/>
            </w:tabs>
            <w:rPr>
              <w:rFonts w:eastAsiaTheme="minorEastAsia"/>
              <w:noProof/>
            </w:rPr>
          </w:pPr>
          <w:hyperlink w:anchor="_Toc104824952" w:history="1">
            <w:r w:rsidR="0009583E" w:rsidRPr="00ED034C">
              <w:rPr>
                <w:rStyle w:val="Hyperlink"/>
                <w:b/>
                <w:noProof/>
              </w:rPr>
              <w:t>Fig. S3</w:t>
            </w:r>
            <w:r w:rsidR="0009583E" w:rsidRPr="00ED034C">
              <w:rPr>
                <w:rStyle w:val="Hyperlink"/>
                <w:noProof/>
              </w:rPr>
              <w:t>..</w:t>
            </w:r>
            <w:r w:rsidR="0009583E">
              <w:rPr>
                <w:noProof/>
                <w:webHidden/>
              </w:rPr>
              <w:tab/>
            </w:r>
            <w:r w:rsidR="0009583E">
              <w:rPr>
                <w:noProof/>
                <w:webHidden/>
              </w:rPr>
              <w:fldChar w:fldCharType="begin"/>
            </w:r>
            <w:r w:rsidR="0009583E">
              <w:rPr>
                <w:noProof/>
                <w:webHidden/>
              </w:rPr>
              <w:instrText xml:space="preserve"> PAGEREF _Toc104824952 \h </w:instrText>
            </w:r>
            <w:r w:rsidR="0009583E">
              <w:rPr>
                <w:noProof/>
                <w:webHidden/>
              </w:rPr>
            </w:r>
            <w:r w:rsidR="0009583E">
              <w:rPr>
                <w:noProof/>
                <w:webHidden/>
              </w:rPr>
              <w:fldChar w:fldCharType="separate"/>
            </w:r>
            <w:r w:rsidR="0009583E">
              <w:rPr>
                <w:noProof/>
                <w:webHidden/>
              </w:rPr>
              <w:t>6</w:t>
            </w:r>
            <w:r w:rsidR="0009583E">
              <w:rPr>
                <w:noProof/>
                <w:webHidden/>
              </w:rPr>
              <w:fldChar w:fldCharType="end"/>
            </w:r>
          </w:hyperlink>
        </w:p>
        <w:p w14:paraId="101A93BE" w14:textId="76554170" w:rsidR="0009583E" w:rsidRDefault="000560BE">
          <w:pPr>
            <w:pStyle w:val="Verzeichnis1"/>
            <w:tabs>
              <w:tab w:val="right" w:leader="dot" w:pos="9350"/>
            </w:tabs>
            <w:rPr>
              <w:rFonts w:eastAsiaTheme="minorEastAsia"/>
              <w:noProof/>
            </w:rPr>
          </w:pPr>
          <w:hyperlink w:anchor="_Toc104824953" w:history="1">
            <w:r w:rsidR="0009583E" w:rsidRPr="00ED034C">
              <w:rPr>
                <w:rStyle w:val="Hyperlink"/>
                <w:rFonts w:cstheme="minorHAnsi"/>
                <w:b/>
                <w:noProof/>
              </w:rPr>
              <w:t>Section 4. Statistics</w:t>
            </w:r>
            <w:r w:rsidR="0009583E">
              <w:rPr>
                <w:noProof/>
                <w:webHidden/>
              </w:rPr>
              <w:tab/>
            </w:r>
            <w:r w:rsidR="0009583E">
              <w:rPr>
                <w:noProof/>
                <w:webHidden/>
              </w:rPr>
              <w:fldChar w:fldCharType="begin"/>
            </w:r>
            <w:r w:rsidR="0009583E">
              <w:rPr>
                <w:noProof/>
                <w:webHidden/>
              </w:rPr>
              <w:instrText xml:space="preserve"> PAGEREF _Toc104824953 \h </w:instrText>
            </w:r>
            <w:r w:rsidR="0009583E">
              <w:rPr>
                <w:noProof/>
                <w:webHidden/>
              </w:rPr>
            </w:r>
            <w:r w:rsidR="0009583E">
              <w:rPr>
                <w:noProof/>
                <w:webHidden/>
              </w:rPr>
              <w:fldChar w:fldCharType="separate"/>
            </w:r>
            <w:r w:rsidR="0009583E">
              <w:rPr>
                <w:noProof/>
                <w:webHidden/>
              </w:rPr>
              <w:t>7</w:t>
            </w:r>
            <w:r w:rsidR="0009583E">
              <w:rPr>
                <w:noProof/>
                <w:webHidden/>
              </w:rPr>
              <w:fldChar w:fldCharType="end"/>
            </w:r>
          </w:hyperlink>
        </w:p>
        <w:p w14:paraId="06FE5BCC" w14:textId="1C016E86" w:rsidR="0009583E" w:rsidRDefault="000560BE" w:rsidP="0009583E">
          <w:pPr>
            <w:pStyle w:val="Verzeichnis2"/>
            <w:tabs>
              <w:tab w:val="right" w:leader="dot" w:pos="9350"/>
            </w:tabs>
            <w:rPr>
              <w:rFonts w:eastAsiaTheme="minorEastAsia"/>
              <w:noProof/>
            </w:rPr>
          </w:pPr>
          <w:hyperlink w:anchor="_Toc104824954" w:history="1">
            <w:r w:rsidR="0009583E" w:rsidRPr="00ED034C">
              <w:rPr>
                <w:rStyle w:val="Hyperlink"/>
                <w:b/>
                <w:noProof/>
              </w:rPr>
              <w:t>Fig. S4.</w:t>
            </w:r>
            <w:r w:rsidR="0009583E" w:rsidRPr="00ED034C">
              <w:rPr>
                <w:rStyle w:val="Hyperlink"/>
                <w:noProof/>
              </w:rPr>
              <w:t>.</w:t>
            </w:r>
            <w:r w:rsidR="0009583E">
              <w:rPr>
                <w:noProof/>
                <w:webHidden/>
              </w:rPr>
              <w:tab/>
            </w:r>
            <w:r w:rsidR="0009583E">
              <w:rPr>
                <w:noProof/>
                <w:webHidden/>
              </w:rPr>
              <w:fldChar w:fldCharType="begin"/>
            </w:r>
            <w:r w:rsidR="0009583E">
              <w:rPr>
                <w:noProof/>
                <w:webHidden/>
              </w:rPr>
              <w:instrText xml:space="preserve"> PAGEREF _Toc104824954 \h </w:instrText>
            </w:r>
            <w:r w:rsidR="0009583E">
              <w:rPr>
                <w:noProof/>
                <w:webHidden/>
              </w:rPr>
            </w:r>
            <w:r w:rsidR="0009583E">
              <w:rPr>
                <w:noProof/>
                <w:webHidden/>
              </w:rPr>
              <w:fldChar w:fldCharType="separate"/>
            </w:r>
            <w:r w:rsidR="0009583E">
              <w:rPr>
                <w:noProof/>
                <w:webHidden/>
              </w:rPr>
              <w:t>7</w:t>
            </w:r>
            <w:r w:rsidR="0009583E">
              <w:rPr>
                <w:noProof/>
                <w:webHidden/>
              </w:rPr>
              <w:fldChar w:fldCharType="end"/>
            </w:r>
          </w:hyperlink>
        </w:p>
        <w:p w14:paraId="671442C0" w14:textId="001DAA70" w:rsidR="0009583E" w:rsidRDefault="000560BE">
          <w:pPr>
            <w:pStyle w:val="Verzeichnis2"/>
            <w:tabs>
              <w:tab w:val="right" w:leader="dot" w:pos="9350"/>
            </w:tabs>
            <w:rPr>
              <w:rFonts w:eastAsiaTheme="minorEastAsia"/>
              <w:noProof/>
            </w:rPr>
          </w:pPr>
          <w:hyperlink w:anchor="_Toc104824956" w:history="1">
            <w:r w:rsidR="0009583E" w:rsidRPr="00ED034C">
              <w:rPr>
                <w:rStyle w:val="Hyperlink"/>
                <w:b/>
                <w:noProof/>
              </w:rPr>
              <w:t>Fig. S5.</w:t>
            </w:r>
            <w:r w:rsidR="0009583E">
              <w:rPr>
                <w:noProof/>
                <w:webHidden/>
              </w:rPr>
              <w:tab/>
            </w:r>
            <w:r w:rsidR="0009583E">
              <w:rPr>
                <w:noProof/>
                <w:webHidden/>
              </w:rPr>
              <w:fldChar w:fldCharType="begin"/>
            </w:r>
            <w:r w:rsidR="0009583E">
              <w:rPr>
                <w:noProof/>
                <w:webHidden/>
              </w:rPr>
              <w:instrText xml:space="preserve"> PAGEREF _Toc104824956 \h </w:instrText>
            </w:r>
            <w:r w:rsidR="0009583E">
              <w:rPr>
                <w:noProof/>
                <w:webHidden/>
              </w:rPr>
            </w:r>
            <w:r w:rsidR="0009583E">
              <w:rPr>
                <w:noProof/>
                <w:webHidden/>
              </w:rPr>
              <w:fldChar w:fldCharType="separate"/>
            </w:r>
            <w:r w:rsidR="0009583E">
              <w:rPr>
                <w:noProof/>
                <w:webHidden/>
              </w:rPr>
              <w:t>8</w:t>
            </w:r>
            <w:r w:rsidR="0009583E">
              <w:rPr>
                <w:noProof/>
                <w:webHidden/>
              </w:rPr>
              <w:fldChar w:fldCharType="end"/>
            </w:r>
          </w:hyperlink>
        </w:p>
        <w:p w14:paraId="0F51AEF2" w14:textId="4347AAE0" w:rsidR="0009583E" w:rsidRDefault="000560BE">
          <w:pPr>
            <w:pStyle w:val="Verzeichnis2"/>
            <w:tabs>
              <w:tab w:val="right" w:leader="dot" w:pos="9350"/>
            </w:tabs>
            <w:rPr>
              <w:rFonts w:eastAsiaTheme="minorEastAsia"/>
              <w:noProof/>
            </w:rPr>
          </w:pPr>
          <w:hyperlink w:anchor="_Toc104824957" w:history="1">
            <w:r w:rsidR="0009583E" w:rsidRPr="00ED034C">
              <w:rPr>
                <w:rStyle w:val="Hyperlink"/>
                <w:b/>
                <w:noProof/>
              </w:rPr>
              <w:t>Fig. S6.</w:t>
            </w:r>
            <w:r w:rsidR="0009583E" w:rsidRPr="00ED034C">
              <w:rPr>
                <w:rStyle w:val="Hyperlink"/>
                <w:noProof/>
              </w:rPr>
              <w:t>.</w:t>
            </w:r>
            <w:r w:rsidR="0009583E">
              <w:rPr>
                <w:noProof/>
                <w:webHidden/>
              </w:rPr>
              <w:tab/>
            </w:r>
            <w:r w:rsidR="0009583E">
              <w:rPr>
                <w:noProof/>
                <w:webHidden/>
              </w:rPr>
              <w:fldChar w:fldCharType="begin"/>
            </w:r>
            <w:r w:rsidR="0009583E">
              <w:rPr>
                <w:noProof/>
                <w:webHidden/>
              </w:rPr>
              <w:instrText xml:space="preserve"> PAGEREF _Toc104824957 \h </w:instrText>
            </w:r>
            <w:r w:rsidR="0009583E">
              <w:rPr>
                <w:noProof/>
                <w:webHidden/>
              </w:rPr>
            </w:r>
            <w:r w:rsidR="0009583E">
              <w:rPr>
                <w:noProof/>
                <w:webHidden/>
              </w:rPr>
              <w:fldChar w:fldCharType="separate"/>
            </w:r>
            <w:r w:rsidR="0009583E">
              <w:rPr>
                <w:noProof/>
                <w:webHidden/>
              </w:rPr>
              <w:t>9</w:t>
            </w:r>
            <w:r w:rsidR="0009583E">
              <w:rPr>
                <w:noProof/>
                <w:webHidden/>
              </w:rPr>
              <w:fldChar w:fldCharType="end"/>
            </w:r>
          </w:hyperlink>
        </w:p>
        <w:p w14:paraId="4BB142AB" w14:textId="0175BBF0" w:rsidR="0009583E" w:rsidRDefault="000560BE">
          <w:pPr>
            <w:pStyle w:val="Verzeichnis2"/>
            <w:tabs>
              <w:tab w:val="right" w:leader="dot" w:pos="9350"/>
            </w:tabs>
            <w:rPr>
              <w:rFonts w:eastAsiaTheme="minorEastAsia"/>
              <w:noProof/>
            </w:rPr>
          </w:pPr>
          <w:hyperlink w:anchor="_Toc104824958" w:history="1">
            <w:r w:rsidR="0009583E" w:rsidRPr="0009583E">
              <w:rPr>
                <w:rStyle w:val="Hyperlink"/>
                <w:rFonts w:cstheme="minorHAnsi"/>
                <w:b/>
                <w:iCs/>
                <w:noProof/>
              </w:rPr>
              <w:t>Fig. S7.</w:t>
            </w:r>
            <w:r w:rsidR="0009583E" w:rsidRPr="0009583E">
              <w:rPr>
                <w:rStyle w:val="Hyperlink"/>
                <w:rFonts w:cstheme="minorHAnsi"/>
                <w:iCs/>
                <w:noProof/>
              </w:rPr>
              <w:t>.</w:t>
            </w:r>
            <w:r w:rsidR="0009583E">
              <w:rPr>
                <w:noProof/>
                <w:webHidden/>
              </w:rPr>
              <w:tab/>
            </w:r>
            <w:r w:rsidR="0009583E">
              <w:rPr>
                <w:noProof/>
                <w:webHidden/>
              </w:rPr>
              <w:fldChar w:fldCharType="begin"/>
            </w:r>
            <w:r w:rsidR="0009583E">
              <w:rPr>
                <w:noProof/>
                <w:webHidden/>
              </w:rPr>
              <w:instrText xml:space="preserve"> PAGEREF _Toc104824958 \h </w:instrText>
            </w:r>
            <w:r w:rsidR="0009583E">
              <w:rPr>
                <w:noProof/>
                <w:webHidden/>
              </w:rPr>
            </w:r>
            <w:r w:rsidR="0009583E">
              <w:rPr>
                <w:noProof/>
                <w:webHidden/>
              </w:rPr>
              <w:fldChar w:fldCharType="separate"/>
            </w:r>
            <w:r w:rsidR="0009583E">
              <w:rPr>
                <w:noProof/>
                <w:webHidden/>
              </w:rPr>
              <w:t>9</w:t>
            </w:r>
            <w:r w:rsidR="0009583E">
              <w:rPr>
                <w:noProof/>
                <w:webHidden/>
              </w:rPr>
              <w:fldChar w:fldCharType="end"/>
            </w:r>
          </w:hyperlink>
        </w:p>
        <w:p w14:paraId="6A578245" w14:textId="5923AEDE" w:rsidR="0009583E" w:rsidRDefault="000560BE">
          <w:pPr>
            <w:pStyle w:val="Verzeichnis2"/>
            <w:tabs>
              <w:tab w:val="right" w:leader="dot" w:pos="9350"/>
            </w:tabs>
            <w:rPr>
              <w:rFonts w:eastAsiaTheme="minorEastAsia"/>
              <w:noProof/>
            </w:rPr>
          </w:pPr>
          <w:hyperlink w:anchor="_Toc104824959" w:history="1">
            <w:r w:rsidR="0009583E" w:rsidRPr="00ED034C">
              <w:rPr>
                <w:rStyle w:val="Hyperlink"/>
                <w:b/>
                <w:noProof/>
              </w:rPr>
              <w:t>Fig. S8.</w:t>
            </w:r>
            <w:r w:rsidR="0009583E">
              <w:rPr>
                <w:noProof/>
                <w:webHidden/>
              </w:rPr>
              <w:tab/>
            </w:r>
            <w:r w:rsidR="0009583E">
              <w:rPr>
                <w:noProof/>
                <w:webHidden/>
              </w:rPr>
              <w:fldChar w:fldCharType="begin"/>
            </w:r>
            <w:r w:rsidR="0009583E">
              <w:rPr>
                <w:noProof/>
                <w:webHidden/>
              </w:rPr>
              <w:instrText xml:space="preserve"> PAGEREF _Toc104824959 \h </w:instrText>
            </w:r>
            <w:r w:rsidR="0009583E">
              <w:rPr>
                <w:noProof/>
                <w:webHidden/>
              </w:rPr>
            </w:r>
            <w:r w:rsidR="0009583E">
              <w:rPr>
                <w:noProof/>
                <w:webHidden/>
              </w:rPr>
              <w:fldChar w:fldCharType="separate"/>
            </w:r>
            <w:r w:rsidR="0009583E">
              <w:rPr>
                <w:noProof/>
                <w:webHidden/>
              </w:rPr>
              <w:t>10</w:t>
            </w:r>
            <w:r w:rsidR="0009583E">
              <w:rPr>
                <w:noProof/>
                <w:webHidden/>
              </w:rPr>
              <w:fldChar w:fldCharType="end"/>
            </w:r>
          </w:hyperlink>
        </w:p>
        <w:p w14:paraId="3D908DD6" w14:textId="6C3CC72B" w:rsidR="00A72034" w:rsidRPr="00331826" w:rsidRDefault="000560BE" w:rsidP="00331826">
          <w:pPr>
            <w:pStyle w:val="Verzeichnis2"/>
            <w:tabs>
              <w:tab w:val="right" w:leader="dot" w:pos="9350"/>
            </w:tabs>
            <w:rPr>
              <w:b/>
              <w:bCs/>
              <w:noProof/>
            </w:rPr>
          </w:pPr>
          <w:hyperlink w:anchor="_Toc104824960" w:history="1">
            <w:r w:rsidR="0009583E" w:rsidRPr="00331826">
              <w:rPr>
                <w:rStyle w:val="Hyperlink"/>
                <w:b/>
                <w:noProof/>
              </w:rPr>
              <w:t>Fig. S9.</w:t>
            </w:r>
            <w:r w:rsidR="0009583E" w:rsidRPr="00331826">
              <w:rPr>
                <w:rStyle w:val="Hyperlink"/>
                <w:noProof/>
              </w:rPr>
              <w:t xml:space="preserve"> </w:t>
            </w:r>
            <w:r w:rsidR="0009583E" w:rsidRPr="00331826">
              <w:rPr>
                <w:noProof/>
                <w:webHidden/>
              </w:rPr>
              <w:tab/>
            </w:r>
            <w:r w:rsidR="0009583E" w:rsidRPr="00331826">
              <w:rPr>
                <w:noProof/>
                <w:webHidden/>
              </w:rPr>
              <w:fldChar w:fldCharType="begin"/>
            </w:r>
            <w:r w:rsidR="0009583E" w:rsidRPr="00331826">
              <w:rPr>
                <w:noProof/>
                <w:webHidden/>
              </w:rPr>
              <w:instrText xml:space="preserve"> PAGEREF _Toc104824960 \h </w:instrText>
            </w:r>
            <w:r w:rsidR="0009583E" w:rsidRPr="00331826">
              <w:rPr>
                <w:noProof/>
                <w:webHidden/>
              </w:rPr>
            </w:r>
            <w:r w:rsidR="0009583E" w:rsidRPr="00331826">
              <w:rPr>
                <w:noProof/>
                <w:webHidden/>
              </w:rPr>
              <w:fldChar w:fldCharType="separate"/>
            </w:r>
            <w:r w:rsidR="0009583E" w:rsidRPr="00331826">
              <w:rPr>
                <w:noProof/>
                <w:webHidden/>
              </w:rPr>
              <w:t>11</w:t>
            </w:r>
            <w:r w:rsidR="0009583E" w:rsidRPr="00331826">
              <w:rPr>
                <w:noProof/>
                <w:webHidden/>
              </w:rPr>
              <w:fldChar w:fldCharType="end"/>
            </w:r>
          </w:hyperlink>
          <w:r w:rsidR="006323E0" w:rsidRPr="00331826">
            <w:rPr>
              <w:b/>
              <w:bCs/>
              <w:noProof/>
            </w:rPr>
            <w:fldChar w:fldCharType="end"/>
          </w:r>
        </w:p>
      </w:sdtContent>
    </w:sdt>
    <w:p w14:paraId="67CAC7C1" w14:textId="40EB9955" w:rsidR="00C159BA" w:rsidRDefault="00C159BA" w:rsidP="00C159BA">
      <w:pPr>
        <w:spacing w:before="120" w:after="0"/>
      </w:pPr>
      <w:bookmarkStart w:id="1" w:name="_Toc104824947"/>
      <w:r>
        <w:rPr>
          <w:b/>
        </w:rPr>
        <w:t>Tables S1-S10</w:t>
      </w:r>
      <w:r>
        <w:t xml:space="preserve"> are available online from </w:t>
      </w:r>
      <w:proofErr w:type="spellStart"/>
      <w:r>
        <w:t>OwnCloud</w:t>
      </w:r>
      <w:proofErr w:type="spellEnd"/>
      <w:r>
        <w:t xml:space="preserve">, </w:t>
      </w:r>
      <w:r>
        <w:br/>
        <w:t>L</w:t>
      </w:r>
      <w:r>
        <w:t xml:space="preserve">ink: </w:t>
      </w:r>
      <w:hyperlink r:id="rId9" w:history="1">
        <w:r>
          <w:rPr>
            <w:rStyle w:val="Hyperlink"/>
          </w:rPr>
          <w:t>https://owncloud.lcsb.uni.lu/s/dKKjSzrMhUNGkf5</w:t>
        </w:r>
      </w:hyperlink>
      <w:r>
        <w:rPr>
          <w:rStyle w:val="Hyperlink"/>
        </w:rPr>
        <w:t xml:space="preserve"> </w:t>
      </w:r>
    </w:p>
    <w:p w14:paraId="695E3344" w14:textId="77777777" w:rsidR="00C159BA" w:rsidRDefault="00C159BA" w:rsidP="00C159BA">
      <w:r>
        <w:t>Password: LCSB2022</w:t>
      </w:r>
    </w:p>
    <w:p w14:paraId="59273AAD" w14:textId="0815524E" w:rsidR="00A33E2C" w:rsidRPr="00B26A91" w:rsidRDefault="00A33E2C" w:rsidP="00A33E2C">
      <w:pPr>
        <w:pStyle w:val="berschrift1"/>
        <w:rPr>
          <w:rFonts w:asciiTheme="minorHAnsi" w:hAnsiTheme="minorHAnsi" w:cstheme="minorHAnsi"/>
          <w:b/>
          <w:color w:val="auto"/>
          <w:sz w:val="24"/>
        </w:rPr>
      </w:pPr>
      <w:r w:rsidRPr="00B26A91">
        <w:rPr>
          <w:rFonts w:asciiTheme="minorHAnsi" w:hAnsiTheme="minorHAnsi" w:cstheme="minorHAnsi"/>
          <w:b/>
          <w:color w:val="auto"/>
          <w:sz w:val="24"/>
        </w:rPr>
        <w:lastRenderedPageBreak/>
        <w:t xml:space="preserve">Section 1. Protocol plasma </w:t>
      </w:r>
      <w:r w:rsidRPr="000873ED">
        <w:rPr>
          <w:rFonts w:asciiTheme="minorHAnsi" w:hAnsiTheme="minorHAnsi" w:cstheme="minorHAnsi"/>
          <w:b/>
          <w:color w:val="auto"/>
          <w:sz w:val="24"/>
        </w:rPr>
        <w:t>preparation</w:t>
      </w:r>
      <w:bookmarkEnd w:id="1"/>
    </w:p>
    <w:p w14:paraId="5102D65D" w14:textId="3311A347" w:rsidR="00A33E2C" w:rsidRPr="00414E06" w:rsidRDefault="00A33E2C" w:rsidP="00A33E2C">
      <w:pPr>
        <w:jc w:val="both"/>
      </w:pPr>
      <w:r>
        <w:t xml:space="preserve">Blood samples were collected from 22 volunteers (11 PD patients and 11 Ctrl). The preparation protocol (described below) was adapted from LCSB metabolomics platform internal protocols and several studies </w:t>
      </w:r>
      <w:r>
        <w:fldChar w:fldCharType="begin"/>
      </w:r>
      <w:r>
        <w:instrText xml:space="preserve"> ADDIN ZOTERO_ITEM CSL_CITATION {"citationID":"7oRFcdEi","properties":{"formattedCitation":"[1\\uc0\\u8211{}3]","plainCitation":"[1–3]","noteIndex":0},"citationItems":[{"id":53,"uris":["http://zotero.org/users/local/FpDFIJyt/items/ZGQ6BWWT"],"itemData":{"id":53,"type":"article-journal","abstract":"Pediatric chronic kidney disease (CKD) is a clinical syndrome characterized by renal hypofunction occurring due to gradual and irreversible kidney damage that can further progress over time. New biomarkers may help early diagnosis of pediatric patients suffering from CKD and improve the outcome. Untargeted metabolomics based on LC-QTOF-MS has been used to find new biomarkers for the early diagnosis of CKD in plasma from pediatric patients. In order to avoid any bias in the determination of statistically significant entities as a consequence of the data analysis method followed, two different chemometric approaches have been used, Mass Profiler Professional (MPP) software and Matlab R2015a software. Metabolic fingerprints of control and CKD pediatric patients were compared and five metabolites which showed a significant change common to both data analysis procedures were identified. Sphingosine-1-phosphate, n-butyrylcarnitine, cis-4-decenoylcarnitine and an unidentified feature with 126.0930 m/z were found to be increased in plasma from pediatric patients with CKD, whereas bilirubin was significantly decreased. A partial least squares discriminant analysis model built with these 5 entities classified correctly 96% of the samples. In addition, when considering only early CKD patients against controls, a performance of 97% was obtained. Thus, these promising metabolites could be suitable biomarkers for the early diagnosis of pediatric CKD in a clinical setting.","container-title":"The Analyst","DOI":"10.1039/c8an00864g","ISSN":"1364-5528","issue":"18","journalAbbreviation":"Analyst","language":"eng","note":"PMID: 30151522","page":"4448-4458","source":"PubMed","title":"Untargeted metabolomics for plasma biomarker discovery for early chronic kidney disease diagnosis in pediatric patients using LC-QTOF-MS","volume":"143","author":[{"family":"Benito","given":"S."},{"family":"Sánchez-Ortega","given":"A."},{"family":"Unceta","given":"N."},{"family":"Andrade","given":"F."},{"family":"Aldámiz-Echevarria","given":"L."},{"family":"Goicolea","given":"M. A."},{"family":"Barrio","given":"R. J."}],"issued":{"date-parts":[["2018",9,10]]}}},{"id":55,"uris":["http://zotero.org/users/local/FpDFIJyt/items/7KHF5NWB"],"itemData":{"id":55,"type":"article-journal","abstract":"Metabolomics, focusing on comprehensive analysis of all the metabolites in a biological system, provides a direct signature of biochemical activity. Using emerging technologies in MS, it is possible to simultaneously and rapidly analyze thousands of metabolites. However, due to the chemical and physical diversity of metabolites, it is difficult to acquire a comprehensive and reliable profiling of the whole metabolome. Here, we summarize the state of the art in metabolomics research, focusing on efforts to provide a more comprehensive metabolome coverage via improvements in two fundamental processes: sample preparation and MS analysis. Additionally, the reliable analysis is also highlighted via the combinations of multiple methods (e.g., targeted and untargeted approaches), and analytical quality control and calibration methods.","container-title":"Bioanalysis","DOI":"10.4155/bio-2015-0010","ISSN":"1757-6199","issue":"9","journalAbbreviation":"Bioanalysis","language":"eng","note":"PMID: 27079429","page":"981-997","source":"PubMed","title":"Methods used to increase the comprehensive coverage of urinary and plasma metabolomes by MS","volume":"8","author":[{"family":"Chen","given":"Yanhua"},{"family":"Xu","given":"Jing"},{"family":"Zhang","given":"Ruiping"},{"family":"Abliz","given":"Zeper"}],"issued":{"date-parts":[["2016",5]]}}},{"id":57,"uris":["http://zotero.org/users/local/FpDFIJyt/items/AVMB8DTT"],"itemData":{"id":57,"type":"article-journal","abstract":"The following study investigates the preparation of human blood plasma for metabolomic profiling analysis by ultrahigh performance liquid chromatography coupled to time-of-flight mass spectrometry (UPLC/TOFMS) in a novel two-step design study. Four different organic solvents (acetonitrile, acetone, methanol, and ethanol) were used to assess human blood plasma preparation via protein precipitation. The optimal conditions for sample preparation were investigated, with consideration to the number of extracted markers, data quality/reproducibility, and column lifetime prolongation. Isotopically labeled internal standards were used to monitor data quality/reproducibility. Gel electrophoresis was also used to measure the protein content in the supernatant of the \"first design step\" allowing assessment of the amount of protein that would be injected/accumulate onto the column after many injections that would be apparent in a global metabolic profiling study. The second design step followed on from the results obtained in step one, with four of the best conditions selected and further investigated, looking at the effects of vortex time and temperature on precipitation/extraction. Two choices of solvent compositions were found to be \"optimal\" for preparation of plasma for global metabolic profiling analysis; these were \"methanol/ethanol\" (1:1, v/v) and \"methanol/acetonitrile/acetone\" (1:1:1, v/v/v) added to plasma (4:1 ratio, 400 microL total volume).","container-title":"Analytical Chemistry","DOI":"10.1021/ac8024569","ISSN":"1520-6882","issue":"9","journalAbbreviation":"Anal Chem","language":"eng","note":"PMID: 19323527","page":"3285-3296","source":"PubMed","title":"Investigation of human blood plasma sample preparation for performing metabolomics using ultrahigh performance liquid chromatography/mass spectrometry","volume":"81","author":[{"family":"Bruce","given":"Stephen J."},{"family":"Tavazzi","given":"Isabelle"},{"family":"Parisod","given":"Véronique"},{"family":"Rezzi","given":"Serge"},{"family":"Kochhar","given":"Sunil"},{"family":"Guy","given":"Philippe A."}],"issued":{"date-parts":[["2009",5,1]]}}}],"schema":"https://github.com/citation-style-language/schema/raw/master/csl-citation.json"} </w:instrText>
      </w:r>
      <w:r>
        <w:fldChar w:fldCharType="separate"/>
      </w:r>
      <w:r w:rsidRPr="00344BF6">
        <w:rPr>
          <w:rFonts w:ascii="Calibri" w:hAnsi="Calibri" w:cs="Calibri"/>
          <w:szCs w:val="24"/>
        </w:rPr>
        <w:t>[1–3]</w:t>
      </w:r>
      <w:r>
        <w:fldChar w:fldCharType="end"/>
      </w:r>
      <w:r>
        <w:t>.</w:t>
      </w:r>
    </w:p>
    <w:p w14:paraId="74E68D9E" w14:textId="4DB5BCD1" w:rsidR="00A33E2C" w:rsidRDefault="00A33E2C" w:rsidP="00A33E2C">
      <w:pPr>
        <w:keepNext/>
        <w:jc w:val="both"/>
      </w:pPr>
      <w:r w:rsidRPr="00B62A55">
        <w:t xml:space="preserve">A monophasic sample extraction, using </w:t>
      </w:r>
      <w:proofErr w:type="spellStart"/>
      <w:r>
        <w:t>MilliQ</w:t>
      </w:r>
      <w:proofErr w:type="spellEnd"/>
      <w:r w:rsidRPr="00B62A55">
        <w:t xml:space="preserve"> water (H</w:t>
      </w:r>
      <w:r w:rsidRPr="00B62A55">
        <w:rPr>
          <w:vertAlign w:val="subscript"/>
        </w:rPr>
        <w:t>2</w:t>
      </w:r>
      <w:r w:rsidRPr="00B62A55">
        <w:t xml:space="preserve">O) (ELGA </w:t>
      </w:r>
      <w:proofErr w:type="spellStart"/>
      <w:r w:rsidRPr="00B62A55">
        <w:t>LabWater</w:t>
      </w:r>
      <w:proofErr w:type="spellEnd"/>
      <w:r w:rsidRPr="00B62A55">
        <w:t xml:space="preserve"> </w:t>
      </w:r>
      <w:proofErr w:type="spellStart"/>
      <w:r w:rsidRPr="00B62A55">
        <w:t>Purelab</w:t>
      </w:r>
      <w:proofErr w:type="spellEnd"/>
      <w:r w:rsidRPr="00B62A55">
        <w:t xml:space="preserve"> Ultra from </w:t>
      </w:r>
      <w:proofErr w:type="spellStart"/>
      <w:r w:rsidRPr="00B62A55">
        <w:t>Labtec</w:t>
      </w:r>
      <w:proofErr w:type="spellEnd"/>
      <w:r w:rsidRPr="00B62A55">
        <w:t xml:space="preserve"> Services) and methanol (MeOH), was selected because its simplicity, higher reproducibility and lower variance compare to the biphasic methods, in which immiscible organic solvents are added to water </w:t>
      </w:r>
      <w:r w:rsidRPr="00B62A55">
        <w:fldChar w:fldCharType="begin" w:fldLock="1"/>
      </w:r>
      <w:r>
        <w:instrText xml:space="preserve"> ADDIN ZOTERO_ITEM CSL_CITATION {"citationID":"R6GFGAmK","properties":{"formattedCitation":"[4]","plainCitation":"[4]","noteIndex":0},"citationItems":[{"id":"H2pHXVlb/ePDc9bXL","uris":["http://www.mendeley.com/documents/?uuid=58e1c1fa-0ed4-4cb2-9c7a-8d3d7b9597d1"],"itemData":{"DOI":"10.1039/d0an01319f","ISSN":"13645528","PMID":"32760982","abstract":"Clinical metabolic phenotyping employs metabolomics and lipidomics to detect and measure hundreds to thousands of metabolites and lipids within human samples. This approach aims to identify metabolite and lipid changes between phenotypes (e.g. disease status) that aid understanding of biochemical mechanisms driving the phenotype. Sample preparation is a critical step in clinical metabolic phenotyping: it must be reproducible and give a high extraction yield of metabolites and lipids, and in high-throughput studies it needs to be rapid. Here, we assessed the extraction of polar metabolites from human urine and polar metabolites and lipids from human plasma for analysis by ultra-high-performance liquid chromatography-mass spectrometry (UHPLC-MS) metabolomics and lipidomics. We evaluated several monophasic (urine and plasma) and biphasic (plasma) extractions, and we also tested alterations to (a) solvent-biofluid incubation time and temperature during monophasic extraction, and (b) phase partitioning time during biphasic extraction. Extracts were analysed by three UHPLC-MS assays: (i) hydrophilic interaction chromatography (HILIC) for urine and plasma, (ii) C18 aqueous reversed phase for urine, and (iii) C18 reversed phase for plasma lipids, and the yield and reproducibility of each method was assessed. We measured UHPLC-MS injection reproducibility as well as sample preparation reproducibility to assess sample solvent composition compatibility with UHPLC-MS and to pinpoint the origin of variance within the methods. For HILIC UHPLC-MS plasma and urine analysis, monophasic 50 : 50 methanol : acetonitrile had the most detected putatively-identified polar metabolites with high method reproducibility. This method had the highest lipid yield for plasma extracts analysed by the HILIC method. If lipid removal from the plasma polar HILIC extract is required, then the biphasic methanol/chloroform/water method is recommended. For C18 (aqueous) UHPLC-MS urine analysis, 50 : 50 methanol : water had high reproducibility and yield. For C18 UHPLC-MS plasma lipidomics, monophasic 100% isopropanol had the highest detection response of all annotated lipid classes with high reproducibility. Increasing monophasic incubation time and temperature had little benefit on metabolite and lipid yield and reproducibility for all methods. This journal is","author":[{"dropping-particle":"","family":"Southam","given":"Andrew D.","non-dropping-particle":"","parse-names":false,"suffix":""},{"dropping-particle":"","family":"Haglington","given":"Liam D.","non-dropping-particle":"","parse-names":false,"suffix":""},{"dropping-particle":"","family":"Najdekr","given":"Lukáš","non-dropping-particle":"","parse-names":false,"suffix":""},{"dropping-particle":"","family":"Jankevics","given":"Andris","non-dropping-particle":"","parse-names":false,"suffix":""},{"dropping-particle":"","family":"Weber","given":"Ralf J.M.","non-dropping-particle":"","parse-names":false,"suffix":""},{"dropping-particle":"","family":"Dunn","given":"Warwick B.","non-dropping-particle":"","parse-names":false,"suffix":""}],"container-title":"Analyst","id":"ITEM-1","issue":"20","issued":{"date-parts":[["2020"]]},"page":"6511-6523","title":"Assessment of human plasma and urine sample preparation for reproducible and high-throughput UHPLC-MS clinical metabolic phenotyping","type":"article-journal","volume":"145"}}],"schema":"https://github.com/citation-style-language/schema/raw/master/csl-citation.json"} </w:instrText>
      </w:r>
      <w:r w:rsidRPr="00B62A55">
        <w:fldChar w:fldCharType="separate"/>
      </w:r>
      <w:r w:rsidRPr="00344BF6">
        <w:rPr>
          <w:rFonts w:ascii="Calibri" w:hAnsi="Calibri" w:cs="Calibri"/>
        </w:rPr>
        <w:t>[4]</w:t>
      </w:r>
      <w:r w:rsidRPr="00B62A55">
        <w:fldChar w:fldCharType="end"/>
      </w:r>
      <w:r w:rsidRPr="00B62A55">
        <w:t>.</w:t>
      </w:r>
      <w:r>
        <w:t xml:space="preserve"> First, 50</w:t>
      </w:r>
      <w:r w:rsidRPr="00675EE0">
        <w:t xml:space="preserve"> </w:t>
      </w:r>
      <w:r w:rsidRPr="00B25397">
        <w:t>µL</w:t>
      </w:r>
      <w:r>
        <w:t xml:space="preserve"> of plasma</w:t>
      </w:r>
      <w:r w:rsidRPr="00B25397">
        <w:t xml:space="preserve"> </w:t>
      </w:r>
      <w:r>
        <w:t>w</w:t>
      </w:r>
      <w:r w:rsidR="00237827">
        <w:t>as</w:t>
      </w:r>
      <w:r>
        <w:t xml:space="preserve"> mixed with </w:t>
      </w:r>
      <w:r w:rsidRPr="00B25397">
        <w:t>50 µL</w:t>
      </w:r>
      <w:r>
        <w:t xml:space="preserve"> of </w:t>
      </w:r>
      <w:proofErr w:type="spellStart"/>
      <w:r>
        <w:t>MilliQ</w:t>
      </w:r>
      <w:proofErr w:type="spellEnd"/>
      <w:r>
        <w:t xml:space="preserve"> H</w:t>
      </w:r>
      <w:r>
        <w:rPr>
          <w:vertAlign w:val="subscript"/>
        </w:rPr>
        <w:t>2</w:t>
      </w:r>
      <w:r>
        <w:t>O, vortex</w:t>
      </w:r>
      <w:r w:rsidR="00237827">
        <w:t>ed</w:t>
      </w:r>
      <w:r>
        <w:t xml:space="preserve"> </w:t>
      </w:r>
      <w:r w:rsidR="00237827">
        <w:t xml:space="preserve">for 60 seconds, kept in ice (5 min), </w:t>
      </w:r>
      <w:r>
        <w:t xml:space="preserve">and centrifuged at 12, 000 g, 4 </w:t>
      </w:r>
      <w:r w:rsidRPr="00813EBF">
        <w:t>°C</w:t>
      </w:r>
      <w:r>
        <w:t xml:space="preserve"> for </w:t>
      </w:r>
      <w:r w:rsidR="00E576A5">
        <w:t>six</w:t>
      </w:r>
      <w:r w:rsidR="00E54B06">
        <w:t xml:space="preserve"> </w:t>
      </w:r>
      <w:r>
        <w:t xml:space="preserve">minutes. The clear supernatant was transferred into Eppendorf tubes.  400 </w:t>
      </w:r>
      <w:r w:rsidRPr="00B25397">
        <w:t>µL</w:t>
      </w:r>
      <w:r>
        <w:t xml:space="preserve"> of methanol (MeOH) was added into each sample to precipitate the proteins. Then, samples were</w:t>
      </w:r>
      <w:r w:rsidR="00705DDE">
        <w:t xml:space="preserve"> vortexed and</w:t>
      </w:r>
      <w:r>
        <w:t xml:space="preserve"> incubated for 15 minutes at -20</w:t>
      </w:r>
      <w:r w:rsidRPr="00B25397">
        <w:t xml:space="preserve"> °C</w:t>
      </w:r>
      <w:r>
        <w:t>, followed by another centrifugation step</w:t>
      </w:r>
      <w:r w:rsidR="00EE1C61">
        <w:t xml:space="preserve"> (</w:t>
      </w:r>
      <w:r w:rsidR="0085254E">
        <w:t>12, 000</w:t>
      </w:r>
      <w:r w:rsidR="00E576A5">
        <w:t xml:space="preserve"> </w:t>
      </w:r>
      <w:r w:rsidR="0085254E">
        <w:t xml:space="preserve">g, 4 </w:t>
      </w:r>
      <w:r w:rsidR="0085254E" w:rsidRPr="00813EBF">
        <w:t>°C</w:t>
      </w:r>
      <w:r w:rsidR="0085254E">
        <w:t xml:space="preserve"> for five minutes</w:t>
      </w:r>
      <w:r w:rsidR="00EE1C61">
        <w:t>)</w:t>
      </w:r>
      <w:r>
        <w:t>. The remaining supernatant was filt</w:t>
      </w:r>
      <w:r w:rsidR="00EE1C61">
        <w:t>ered</w:t>
      </w:r>
      <w:r>
        <w:t xml:space="preserve"> with a </w:t>
      </w:r>
      <w:proofErr w:type="spellStart"/>
      <w:r w:rsidRPr="00B25397">
        <w:t>Phree</w:t>
      </w:r>
      <w:proofErr w:type="spellEnd"/>
      <w:r w:rsidRPr="00B25397">
        <w:t xml:space="preserve"> Phospholipid Removal, 30 mg / well, 96-Well Plate</w:t>
      </w:r>
      <w:r>
        <w:t xml:space="preserve"> (Phenomenex). Afterwards, samples were evaporated to dryness in a rotary vacuum evaporator </w:t>
      </w:r>
      <w:r w:rsidR="00EE1C61">
        <w:t>(</w:t>
      </w:r>
      <w:proofErr w:type="spellStart"/>
      <w:r w:rsidR="00EE1C61" w:rsidRPr="00CE32BE">
        <w:t>Labconco</w:t>
      </w:r>
      <w:proofErr w:type="spellEnd"/>
      <w:r w:rsidR="00EE1C61" w:rsidRPr="00CE32BE">
        <w:t xml:space="preserve"> </w:t>
      </w:r>
      <w:proofErr w:type="spellStart"/>
      <w:r w:rsidR="00EE1C61" w:rsidRPr="00CE32BE">
        <w:t>CentriVap</w:t>
      </w:r>
      <w:proofErr w:type="spellEnd"/>
      <w:r w:rsidR="00EE1C61">
        <w:t xml:space="preserve">) </w:t>
      </w:r>
      <w:r>
        <w:t xml:space="preserve">and reconstituted with </w:t>
      </w:r>
      <w:r w:rsidR="00697E0B">
        <w:t xml:space="preserve">126 </w:t>
      </w:r>
      <w:r w:rsidR="00697E0B" w:rsidRPr="00B25397">
        <w:t>µL</w:t>
      </w:r>
      <w:r w:rsidR="00697E0B">
        <w:t xml:space="preserve"> of </w:t>
      </w:r>
      <w:r>
        <w:t xml:space="preserve">0.1% formic acid (FA) in </w:t>
      </w:r>
      <w:proofErr w:type="spellStart"/>
      <w:r>
        <w:t>MilliQ</w:t>
      </w:r>
      <w:proofErr w:type="spellEnd"/>
      <w:r>
        <w:t xml:space="preserve"> H</w:t>
      </w:r>
      <w:r>
        <w:rPr>
          <w:vertAlign w:val="subscript"/>
        </w:rPr>
        <w:t>2</w:t>
      </w:r>
      <w:r>
        <w:t xml:space="preserve">O and MeOH (90/10, v/v). The samples were spiked with four internal standards; </w:t>
      </w:r>
      <w:r w:rsidRPr="007C621C">
        <w:t>α-</w:t>
      </w:r>
      <w:r>
        <w:t>c</w:t>
      </w:r>
      <w:r w:rsidRPr="007C621C">
        <w:t>hloralose</w:t>
      </w:r>
      <w:r>
        <w:t xml:space="preserve">, </w:t>
      </w:r>
      <w:proofErr w:type="spellStart"/>
      <w:r>
        <w:t>b</w:t>
      </w:r>
      <w:r w:rsidRPr="007C621C">
        <w:t>romopyruvic</w:t>
      </w:r>
      <w:proofErr w:type="spellEnd"/>
      <w:r w:rsidRPr="007C621C">
        <w:t xml:space="preserve"> acid</w:t>
      </w:r>
      <w:r>
        <w:t xml:space="preserve">, sucralose and </w:t>
      </w:r>
      <w:r w:rsidRPr="007C621C">
        <w:t>2-ketobutyric acid</w:t>
      </w:r>
      <w:r>
        <w:t>-</w:t>
      </w:r>
      <w:r w:rsidRPr="007C621C">
        <w:t>13</w:t>
      </w:r>
      <w:r>
        <w:t>C</w:t>
      </w:r>
      <w:r w:rsidRPr="00470395">
        <w:rPr>
          <w:vertAlign w:val="subscript"/>
        </w:rPr>
        <w:t>4</w:t>
      </w:r>
      <w:r>
        <w:t>-</w:t>
      </w:r>
      <w:r w:rsidRPr="007C621C">
        <w:t>D</w:t>
      </w:r>
      <w:r w:rsidR="000909E6" w:rsidRPr="00470395">
        <w:rPr>
          <w:vertAlign w:val="subscript"/>
        </w:rPr>
        <w:t>2</w:t>
      </w:r>
      <w:r w:rsidR="000909E6">
        <w:t xml:space="preserve"> to obtain a final concentration of </w:t>
      </w:r>
      <w:r w:rsidR="00E576A5" w:rsidRPr="00E576A5">
        <w:t xml:space="preserve">1 µg/ </w:t>
      </w:r>
      <w:proofErr w:type="spellStart"/>
      <w:r w:rsidR="00E576A5" w:rsidRPr="00E576A5">
        <w:t>mL</w:t>
      </w:r>
      <w:r w:rsidR="000909E6">
        <w:t>.</w:t>
      </w:r>
      <w:proofErr w:type="spellEnd"/>
      <w:r w:rsidR="000909E6">
        <w:t xml:space="preserve"> </w:t>
      </w:r>
      <w:r>
        <w:t xml:space="preserve">Finally, samples were filtered with </w:t>
      </w:r>
      <w:r w:rsidRPr="007C621C">
        <w:t>PHENEX-RC 4</w:t>
      </w:r>
      <w:r>
        <w:t xml:space="preserve"> </w:t>
      </w:r>
      <w:r w:rsidRPr="007C621C">
        <w:t>mm Syringe Filters</w:t>
      </w:r>
      <w:r>
        <w:t xml:space="preserve"> into LC vials with micro insert</w:t>
      </w:r>
      <w:r w:rsidR="00237827">
        <w:t>s</w:t>
      </w:r>
      <w:r>
        <w:t xml:space="preserve"> and screw cap</w:t>
      </w:r>
      <w:r w:rsidR="00237827">
        <w:t>s</w:t>
      </w:r>
      <w:r>
        <w:t xml:space="preserve"> and injected in the LC-HRMS instrument (</w:t>
      </w:r>
      <w:r w:rsidR="006323E0">
        <w:rPr>
          <w:b/>
        </w:rPr>
        <w:fldChar w:fldCharType="begin"/>
      </w:r>
      <w:r w:rsidR="006323E0">
        <w:rPr>
          <w:b/>
        </w:rPr>
        <w:instrText xml:space="preserve"> REF _Ref100315861 \h </w:instrText>
      </w:r>
      <w:r w:rsidR="006323E0">
        <w:rPr>
          <w:b/>
        </w:rPr>
      </w:r>
      <w:r w:rsidR="006323E0">
        <w:rPr>
          <w:b/>
        </w:rPr>
        <w:fldChar w:fldCharType="separate"/>
      </w:r>
      <w:r w:rsidR="006323E0" w:rsidRPr="004454E9">
        <w:rPr>
          <w:b/>
        </w:rPr>
        <w:t>Fig. S</w:t>
      </w:r>
      <w:r w:rsidR="006323E0">
        <w:rPr>
          <w:b/>
          <w:noProof/>
        </w:rPr>
        <w:t>1</w:t>
      </w:r>
      <w:r w:rsidR="006323E0">
        <w:rPr>
          <w:b/>
        </w:rPr>
        <w:fldChar w:fldCharType="end"/>
      </w:r>
      <w:r>
        <w:t xml:space="preserve">). </w:t>
      </w:r>
    </w:p>
    <w:p w14:paraId="7C53E0B6" w14:textId="77777777" w:rsidR="00A33E2C" w:rsidRDefault="00A33E2C" w:rsidP="00A33E2C">
      <w:pPr>
        <w:keepNext/>
        <w:jc w:val="both"/>
        <w:rPr>
          <w:noProof/>
        </w:rPr>
      </w:pPr>
    </w:p>
    <w:p w14:paraId="4BD3CC73" w14:textId="4E4FB200" w:rsidR="00A33E2C" w:rsidRDefault="005F62B0" w:rsidP="00A33E2C">
      <w:pPr>
        <w:keepNext/>
        <w:jc w:val="center"/>
      </w:pPr>
      <w:r w:rsidRPr="005F62B0">
        <w:rPr>
          <w:noProof/>
        </w:rPr>
        <w:drawing>
          <wp:inline distT="0" distB="0" distL="0" distR="0" wp14:anchorId="626C7633" wp14:editId="7C0134EF">
            <wp:extent cx="5943600" cy="4105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05275"/>
                    </a:xfrm>
                    <a:prstGeom prst="rect">
                      <a:avLst/>
                    </a:prstGeom>
                  </pic:spPr>
                </pic:pic>
              </a:graphicData>
            </a:graphic>
          </wp:inline>
        </w:drawing>
      </w:r>
    </w:p>
    <w:p w14:paraId="175740E8" w14:textId="13C5D64B" w:rsidR="00A33E2C" w:rsidRPr="00A33E2C" w:rsidRDefault="00A33E2C" w:rsidP="00E16C80">
      <w:pPr>
        <w:pStyle w:val="Beschriftung"/>
        <w:outlineLvl w:val="1"/>
      </w:pPr>
      <w:bookmarkStart w:id="2" w:name="_Ref100315861"/>
      <w:bookmarkStart w:id="3" w:name="_Toc104824948"/>
      <w:r w:rsidRPr="004454E9">
        <w:rPr>
          <w:b/>
        </w:rPr>
        <w:t>Fig. S</w:t>
      </w:r>
      <w:r w:rsidRPr="004454E9">
        <w:rPr>
          <w:b/>
        </w:rPr>
        <w:fldChar w:fldCharType="begin"/>
      </w:r>
      <w:r w:rsidRPr="004454E9">
        <w:rPr>
          <w:b/>
        </w:rPr>
        <w:instrText xml:space="preserve"> SEQ Figure \* ARABIC </w:instrText>
      </w:r>
      <w:r w:rsidRPr="004454E9">
        <w:rPr>
          <w:b/>
        </w:rPr>
        <w:fldChar w:fldCharType="separate"/>
      </w:r>
      <w:r w:rsidR="0009583E">
        <w:rPr>
          <w:b/>
          <w:noProof/>
        </w:rPr>
        <w:t>1</w:t>
      </w:r>
      <w:r w:rsidRPr="004454E9">
        <w:rPr>
          <w:b/>
        </w:rPr>
        <w:fldChar w:fldCharType="end"/>
      </w:r>
      <w:bookmarkEnd w:id="2"/>
      <w:r w:rsidRPr="004454E9">
        <w:t>. Sample extraction procedure for plasma samples</w:t>
      </w:r>
      <w:r>
        <w:t>.</w:t>
      </w:r>
      <w:r w:rsidR="000537DD">
        <w:t xml:space="preserve"> IS: Internal Standard, MP: Mobile Phase.</w:t>
      </w:r>
      <w:bookmarkEnd w:id="3"/>
    </w:p>
    <w:p w14:paraId="402755F8" w14:textId="13B8CA8A" w:rsidR="00A33E2C" w:rsidRPr="00A33E2C" w:rsidRDefault="00A33E2C" w:rsidP="00A33E2C">
      <w:pPr>
        <w:pStyle w:val="berschrift1"/>
        <w:rPr>
          <w:rFonts w:asciiTheme="minorHAnsi" w:hAnsiTheme="minorHAnsi" w:cstheme="minorHAnsi"/>
          <w:b/>
          <w:color w:val="auto"/>
          <w:sz w:val="24"/>
        </w:rPr>
      </w:pPr>
      <w:bookmarkStart w:id="4" w:name="_Toc104824949"/>
      <w:r w:rsidRPr="00A33E2C">
        <w:rPr>
          <w:rFonts w:asciiTheme="minorHAnsi" w:hAnsiTheme="minorHAnsi" w:cstheme="minorHAnsi"/>
          <w:b/>
          <w:color w:val="auto"/>
          <w:sz w:val="24"/>
        </w:rPr>
        <w:lastRenderedPageBreak/>
        <w:t>Section 2. Protocol feces preparation</w:t>
      </w:r>
      <w:bookmarkEnd w:id="4"/>
    </w:p>
    <w:p w14:paraId="4019D5B9" w14:textId="77777777" w:rsidR="00A33E2C" w:rsidRDefault="00A33E2C" w:rsidP="00A33E2C">
      <w:pPr>
        <w:jc w:val="both"/>
      </w:pPr>
      <w:r>
        <w:t xml:space="preserve">Feces samples were collected from 19 volunteers (10 PD patients and 9 Ctrl). The extraction protocol included the non-polar and polar fraction of the feces and was adapted from internal protocols with some modifications </w:t>
      </w:r>
      <w:r>
        <w:fldChar w:fldCharType="begin"/>
      </w:r>
      <w:r>
        <w:instrText xml:space="preserve"> ADDIN ZOTERO_ITEM CSL_CITATION {"citationID":"QbvMm2hI","properties":{"formattedCitation":"[5\\uc0\\u8211{}10]","plainCitation":"[5–10]","noteIndex":0},"citationItems":[{"id":90,"uris":["http://zotero.org/users/local/FpDFIJyt/items/F85PWF5B"],"itemData":{"id":90,"type":"article-journal","abstract":"Quality assurance (QA) and quality control (QC) are two quality management processes that are integral to the success of metabolomics including their application for the acquisition of high quality data in any high-throughput analytical chemistry laboratory. QA defines all the planned and systematic activities implemented before samples are collected, to provide confidence that a subsequent analytical process will fulfil predetermined requirements for quality. QC can be defined as the operational techniques and activities used to measure and report these quality requirements after data acquisition.","container-title":"Metabolomics","DOI":"10.1007/s11306-018-1367-3","ISSN":"1573-3890","issue":"6","journalAbbreviation":"Metabolomics","language":"en","page":"72","source":"Springer Link","title":"Guidelines and considerations for the use of system suitability and quality control samples in mass spectrometry assays applied in untargeted clinical metabolomic studies","volume":"14","author":[{"family":"Broadhurst","given":"David"},{"family":"Goodacre","given":"Royston"},{"family":"Reinke","given":"Stacey N."},{"family":"Kuligowski","given":"Julia"},{"family":"Wilson","given":"Ian D."},{"family":"Lewis","given":"Matthew R."},{"family":"Dunn","given":"Warwick B."}],"issued":{"date-parts":[["2018",5,18]]}}},{"id":95,"uris":["http://zotero.org/users/local/FpDFIJyt/items/R7EFHYXU"],"itemData":{"id":95,"type":"article-journal","abstract":"Collecting feces is easy. It offers direct outcome to endogenous and microbial metabolites.","container-title":"Metabolomics","DOI":"10.1007/s11306-017-1233-8","ISSN":"1573-3890","issue":"8","journalAbbreviation":"Metabolomics","language":"en","page":"99","source":"Springer Link","title":"Optimization of fecal sample preparation for untargeted LC-HRMS based metabolomics","volume":"13","author":[{"family":"Cesbron","given":"N."},{"family":"Royer","given":"A.-L."},{"family":"Guitton","given":"Y."},{"family":"Sydor","given":"A."},{"family":"Le Bizec","given":"B."},{"family":"Dervilly-Pinel","given":"G."}],"issued":{"date-parts":[["2017",7,7]]}}},{"id":107,"uris":["http://zotero.org/users/local/FpDFIJyt/items/WIDND87F"],"itemData":{"id":107,"type":"article-journal","container-title":"Journal of Pharmaceutical and Biomedical Analysis","DOI":"10.1016/j.jpba.2015.02.006","ISSN":"07317085","journalAbbreviation":"Journal of Pharmaceutical and Biomedical Analysis","language":"en","page":"137-150","source":"DOI.org (Crossref)","title":"An overview of fecal sample preparation for global metabolic profiling","volume":"113","author":[{"family":"Deda","given":"Olga"},{"family":"Gika","given":"Helen G."},{"family":"Wilson","given":"Ian D."},{"family":"Theodoridis","given":"Georgios A."}],"issued":{"date-parts":[["2015",9]]}}},{"id":108,"uris":["http://zotero.org/users/local/FpDFIJyt/items/MH3AAWJB"],"itemData":{"id":108,"type":"chapter","container-title":"Metabolic Profiling","event-place":"New York, NY","ISBN":"978-1-4939-7642-3","language":"en","note":"collection-title: Methods in Molecular Biology\nDOI: 10.1007/978-1-4939-7643-0_10","page":"149-157","publisher":"Springer New York","publisher-place":"New York, NY","source":"DOI.org (Crossref)","title":"Rat Fecal Metabolomics-Based Analysis","URL":"http://link.springer.com/10.1007/978-1-4939-7643-0_10","volume":"1738","editor":[{"family":"Theodoridis","given":"Georgios A."},{"family":"Gika","given":"Helen G."},{"family":"Wilson","given":"Ian D."}],"author":[{"family":"Deda","given":"Olga"},{"family":"Gika","given":"Helen G."},{"family":"Theodoridis","given":"Georgios A."}],"accessed":{"date-parts":[["2022",3,13]]},"issued":{"date-parts":[["2018"]]}}},{"id":101,"uris":["http://zotero.org/users/local/FpDFIJyt/items/S4J2KGE5"],"itemData":{"id":101,"type":"article-journal","abstract":"Metabolomic analysis of human biospecimens had progressed quickly over the past decade. Technological and methodological advances have led to the comprehensive characterization of human serum, urine, cerebrospinal fluid and saliva metabolomes, and the creation of freely available metabolome reference databases. Unfortunately, the characterization of the human fecal metabolome still lags behind these other metabolomes in terms of the availability of standardized methods and freely available resources. The purpose of this review is to bring the knowledge of the human fecal metabolome, and the methods to characterize it, to the same level as most other human biofluid metabolomes. More specifically, this review is intended to critically assess the field of fecal metabolomics and to provide a comprehensive review of the current state of knowledge with regard to the protocols, technologies and remaining challenges in fecal metabolite analysis. In addition to providing an overview of fecal metabolomics and some consensus recommendations, we also present the human fecal metabolome database (HFMDB – http://www.fecalmetabolome.ca), a freely available, manually curated resource that currently contains over 6000 identified human fecal metabolites. Each entry in the HFMDB includes extensive chemical information, metabolite descriptions and reference data in the same format as the Human Metabolome Database (HMDB).","container-title":"Analytica Chimica Acta","DOI":"10.1016/j.aca.2018.05.031","ISSN":"0003-2670","journalAbbreviation":"Analytica Chimica Acta","language":"en","page":"1-24","source":"ScienceDirect","title":"A review on human fecal metabolomics: Methods, applications and the human fecal metabolome database","title-short":"A review on human fecal metabolomics","volume":"1030","author":[{"family":"Karu","given":"Naama"},{"family":"Deng","given":"Lu"},{"family":"Slae","given":"Mordechai"},{"family":"Guo","given":"An Chi"},{"family":"Sajed","given":"Tanvir"},{"family":"Huynh","given":"Hien"},{"family":"Wine","given":"Eytan"},{"family":"Wishart","given":"David S."}],"issued":{"date-parts":[["2018",11,7]]}}},{"id":105,"uris":["http://zotero.org/users/local/FpDFIJyt/items/IGM5ISPN"],"itemData":{"id":105,"type":"article-journal","abstract":"Metabolomics is a well-established field in fundamental clinical research with applications in different human body fluids. However, metabolomic investigations in feces are currently an emerging field. Fecal sample preparation is a demanding task due to high complexity and heterogeneity of the matrix. To gain access to the information enclosed in human feces it is necessary to extract the metabolites and make them accessible to analytical platforms like NMR or LC-MS. In this study different pre-analytical parameters and factors were investigated i.e. water content, different extraction solvents, influence of freeze-drying and homogenization, ratios of sample weight to extraction solvent, and their respective impact on metabolite profiles acquired by NMR and LC-MS. The results indicate that profiles are strongly biased by selection of extraction solvent or drying of samples, which causes different metabolites to be lost, under- or overstated. Additionally signal intensity and reproducibility of the measurement were found to be strongly dependent on sample pre-treatment steps: freeze-drying and homogenization lead to improved release of metabolites and thus increased signals, but at the same time induced variations and thus deteriorated reproducibility. We established the first protocol for extraction of human fecal samples and subsequent measurement with both complementary techniques NMR and LC-MS.","container-title":"Clinica Chimica Acta; International Journal of Clinical Chemistry","DOI":"10.1016/j.cca.2017.10.029","ISSN":"1873-3492","journalAbbreviation":"Clin Chim Acta","language":"eng","note":"PMID: 29097223","page":"169-176","source":"PubMed","title":"Metabolomic analysis-Addressing NMR and LC-MS related problems in human feces sample preparation","volume":"489","author":[{"family":"Moosmang","given":"Simon"},{"family":"Pitscheider","given":"Maria"},{"family":"Sturm","given":"Sonja"},{"family":"Seger","given":"Christoph"},{"family":"Tilg","given":"Herbert"},{"family":"Halabalaki","given":"Maria"},{"family":"Stuppner","given":"Hermann"}],"issued":{"date-parts":[["2019",2]]}}}],"schema":"https://github.com/citation-style-language/schema/raw/master/csl-citation.json"} </w:instrText>
      </w:r>
      <w:r>
        <w:fldChar w:fldCharType="separate"/>
      </w:r>
      <w:r w:rsidRPr="00344BF6">
        <w:rPr>
          <w:rFonts w:ascii="Calibri" w:hAnsi="Calibri" w:cs="Calibri"/>
          <w:szCs w:val="24"/>
        </w:rPr>
        <w:t>[5–10]</w:t>
      </w:r>
      <w:r>
        <w:fldChar w:fldCharType="end"/>
      </w:r>
      <w:r>
        <w:t xml:space="preserve">. A biphasic sample extraction was performed as described below. </w:t>
      </w:r>
    </w:p>
    <w:p w14:paraId="3A28F0C0" w14:textId="5FDD8856" w:rsidR="00A33E2C" w:rsidRDefault="00A33E2C" w:rsidP="00A33E2C">
      <w:pPr>
        <w:jc w:val="both"/>
      </w:pPr>
      <w:r>
        <w:t xml:space="preserve">First, samples were homogenized with </w:t>
      </w:r>
      <w:proofErr w:type="spellStart"/>
      <w:r>
        <w:t>MilliQ</w:t>
      </w:r>
      <w:proofErr w:type="spellEnd"/>
      <w:r>
        <w:t xml:space="preserve"> H</w:t>
      </w:r>
      <w:r w:rsidRPr="00150832">
        <w:rPr>
          <w:vertAlign w:val="subscript"/>
        </w:rPr>
        <w:t>2</w:t>
      </w:r>
      <w:r>
        <w:t>O</w:t>
      </w:r>
      <w:r w:rsidRPr="00646D47">
        <w:t>: Me</w:t>
      </w:r>
      <w:r>
        <w:t>OH</w:t>
      </w:r>
      <w:r w:rsidRPr="00646D47">
        <w:t>, 1:10:10 (w/v/v)</w:t>
      </w:r>
      <w:r>
        <w:t xml:space="preserve"> for 30 seconds, 6,000 rpm and 4 </w:t>
      </w:r>
      <w:r>
        <w:rPr>
          <w:rFonts w:cstheme="minorHAnsi"/>
        </w:rPr>
        <w:t>°</w:t>
      </w:r>
      <w:r>
        <w:t xml:space="preserve">C. To check the quality of the measurements, MeOH contained the </w:t>
      </w:r>
      <w:r w:rsidRPr="008F4609">
        <w:t>SPLASH® LIPIDOMIX® Mass Spec</w:t>
      </w:r>
      <w:r>
        <w:t>trometry</w:t>
      </w:r>
      <w:r w:rsidRPr="008F4609">
        <w:t xml:space="preserve"> Standard </w:t>
      </w:r>
      <w:r>
        <w:t xml:space="preserve">(dilution 1:50). Then, a liquid-liquid extraction (LLE) step was performed to separate the polar and non-polar analytes by adding </w:t>
      </w:r>
      <w:r w:rsidR="003E74AF">
        <w:t xml:space="preserve">500 </w:t>
      </w:r>
      <w:r w:rsidR="003E74AF" w:rsidRPr="00B25397">
        <w:t>µL</w:t>
      </w:r>
      <w:r w:rsidR="003E74AF">
        <w:t xml:space="preserve"> of </w:t>
      </w:r>
      <w:r>
        <w:t>m</w:t>
      </w:r>
      <w:r w:rsidRPr="00646D47">
        <w:t>ethyl tert-butyl ether</w:t>
      </w:r>
      <w:r>
        <w:t xml:space="preserve"> (MTBE), containing </w:t>
      </w:r>
      <w:r w:rsidRPr="003B11ED">
        <w:t>Cholesteryl ester 22:1 (Sigma-Aldrich</w:t>
      </w:r>
      <w:r>
        <w:t>) as non-polar IS.</w:t>
      </w:r>
      <w:r w:rsidRPr="008F4609">
        <w:t xml:space="preserve"> </w:t>
      </w:r>
      <w:r>
        <w:t xml:space="preserve">Moreover, </w:t>
      </w:r>
      <w:r w:rsidRPr="008F4609">
        <w:t xml:space="preserve">120 µL of </w:t>
      </w:r>
      <w:r>
        <w:t xml:space="preserve">a </w:t>
      </w:r>
      <w:r w:rsidRPr="008F4609">
        <w:t xml:space="preserve">polar </w:t>
      </w:r>
      <w:r>
        <w:t>mix of IS was added to each sample to ensure the quality of the measurements. The polar mix contained 10</w:t>
      </w:r>
      <w:r w:rsidR="003E74AF">
        <w:t xml:space="preserve"> </w:t>
      </w:r>
      <w:r>
        <w:t xml:space="preserve">ng /mL of </w:t>
      </w:r>
      <w:r w:rsidRPr="008F4609">
        <w:t>6-</w:t>
      </w:r>
      <w:r>
        <w:t>c</w:t>
      </w:r>
      <w:r w:rsidRPr="008F4609">
        <w:t>hloropurine riboside</w:t>
      </w:r>
      <w:r>
        <w:t xml:space="preserve">, </w:t>
      </w:r>
      <w:r w:rsidRPr="008F4609">
        <w:t>2-</w:t>
      </w:r>
      <w:r>
        <w:t>c</w:t>
      </w:r>
      <w:r w:rsidRPr="008F4609">
        <w:t>hloroquinoline-3-carboxylic acid</w:t>
      </w:r>
      <w:r>
        <w:t xml:space="preserve">, </w:t>
      </w:r>
      <w:r w:rsidRPr="008F4609">
        <w:t>4-</w:t>
      </w:r>
      <w:r>
        <w:t>c</w:t>
      </w:r>
      <w:r w:rsidRPr="008F4609">
        <w:t>hloro-DL-phenylalanine</w:t>
      </w:r>
      <w:r>
        <w:t xml:space="preserve">, </w:t>
      </w:r>
      <w:proofErr w:type="spellStart"/>
      <w:r w:rsidRPr="008F4609">
        <w:t>Nε</w:t>
      </w:r>
      <w:proofErr w:type="spellEnd"/>
      <w:r w:rsidRPr="008F4609">
        <w:t>-</w:t>
      </w:r>
      <w:proofErr w:type="spellStart"/>
      <w:r>
        <w:t>t</w:t>
      </w:r>
      <w:r w:rsidRPr="008F4609">
        <w:t>rifluoroacetyl</w:t>
      </w:r>
      <w:proofErr w:type="spellEnd"/>
      <w:r w:rsidRPr="008F4609">
        <w:t>-L-lysine</w:t>
      </w:r>
      <w:r>
        <w:t>, s</w:t>
      </w:r>
      <w:r w:rsidRPr="008F4609">
        <w:t>ucralose</w:t>
      </w:r>
      <w:r>
        <w:t xml:space="preserve"> and c</w:t>
      </w:r>
      <w:r w:rsidRPr="008F4609">
        <w:t xml:space="preserve">affeine-trimethyl </w:t>
      </w:r>
      <w:r w:rsidRPr="00446717">
        <w:rPr>
          <w:vertAlign w:val="superscript"/>
        </w:rPr>
        <w:t>13</w:t>
      </w:r>
      <w:r w:rsidRPr="008F4609">
        <w:t>C</w:t>
      </w:r>
      <w:r w:rsidRPr="00446717">
        <w:rPr>
          <w:vertAlign w:val="subscript"/>
        </w:rPr>
        <w:t>3</w:t>
      </w:r>
      <w:r w:rsidRPr="008F4609">
        <w:t xml:space="preserve"> </w:t>
      </w:r>
      <w:r>
        <w:t xml:space="preserve">in </w:t>
      </w:r>
      <w:proofErr w:type="spellStart"/>
      <w:r>
        <w:t>MilliQ</w:t>
      </w:r>
      <w:proofErr w:type="spellEnd"/>
      <w:r>
        <w:t xml:space="preserve"> H</w:t>
      </w:r>
      <w:r w:rsidRPr="00150832">
        <w:rPr>
          <w:vertAlign w:val="subscript"/>
        </w:rPr>
        <w:t>2</w:t>
      </w:r>
      <w:r>
        <w:t>O. Samples were vortexed (10 seconds) and incubated for 15 min,</w:t>
      </w:r>
      <w:r w:rsidRPr="00646D47">
        <w:t xml:space="preserve"> 4 °C, </w:t>
      </w:r>
      <w:r>
        <w:t>and 1,400 rpm. Afterwards, feces samples were centrifuged (</w:t>
      </w:r>
      <w:r w:rsidRPr="00646D47">
        <w:t>5 min, 4 °C,</w:t>
      </w:r>
      <w:r>
        <w:t xml:space="preserve"> 1,400 rpm). Finally, the upper organic phase was transferred to new Eppendorf tubes for the extraction of the non-polar analytes. The lower phase was moved to different Eppendorf tubes for the analysis of the polar chemicals present in the feces samples.</w:t>
      </w:r>
    </w:p>
    <w:p w14:paraId="4FA8C7B9" w14:textId="77777777" w:rsidR="00A33E2C" w:rsidRDefault="00A33E2C" w:rsidP="00A33E2C">
      <w:pPr>
        <w:jc w:val="both"/>
      </w:pPr>
      <w:r>
        <w:t xml:space="preserve">Then, all the Eppendorf tubes (with polar and non-polar fractions) were transferred </w:t>
      </w:r>
      <w:r w:rsidRPr="00CE32BE">
        <w:t xml:space="preserve">to the </w:t>
      </w:r>
      <w:proofErr w:type="spellStart"/>
      <w:r w:rsidRPr="00CE32BE">
        <w:t>Labconco</w:t>
      </w:r>
      <w:proofErr w:type="spellEnd"/>
      <w:r w:rsidRPr="00CE32BE">
        <w:t xml:space="preserve"> </w:t>
      </w:r>
      <w:proofErr w:type="spellStart"/>
      <w:r w:rsidRPr="00CE32BE">
        <w:t>CentriVap</w:t>
      </w:r>
      <w:proofErr w:type="spellEnd"/>
      <w:r w:rsidRPr="00CE32BE">
        <w:t xml:space="preserve"> to evaporate the solvents until dryness</w:t>
      </w:r>
      <w:r>
        <w:t xml:space="preserve"> (</w:t>
      </w:r>
      <w:r w:rsidRPr="00CE32BE">
        <w:t xml:space="preserve">-4 °C for </w:t>
      </w:r>
      <w:r>
        <w:t xml:space="preserve">24h-48h). Afterwards, samples were reconstituted with </w:t>
      </w:r>
      <w:r w:rsidRPr="00112346">
        <w:t xml:space="preserve">180 µL of </w:t>
      </w:r>
      <w:proofErr w:type="spellStart"/>
      <w:r>
        <w:t>MilliQ</w:t>
      </w:r>
      <w:proofErr w:type="spellEnd"/>
      <w:r w:rsidRPr="00112346">
        <w:t xml:space="preserve"> </w:t>
      </w:r>
      <w:r>
        <w:t>H</w:t>
      </w:r>
      <w:r w:rsidRPr="00150832">
        <w:rPr>
          <w:vertAlign w:val="subscript"/>
        </w:rPr>
        <w:t>2</w:t>
      </w:r>
      <w:r>
        <w:t>O</w:t>
      </w:r>
      <w:r w:rsidRPr="00112346">
        <w:t xml:space="preserve"> in 0.1% </w:t>
      </w:r>
      <w:r>
        <w:t>FA</w:t>
      </w:r>
      <w:r w:rsidRPr="00112346">
        <w:t xml:space="preserve"> and 20 µL of MeOH</w:t>
      </w:r>
      <w:r>
        <w:t xml:space="preserve"> (the non-polar fraction was spiked with </w:t>
      </w:r>
      <w:r w:rsidRPr="00112346">
        <w:t>10 µg/mL</w:t>
      </w:r>
      <w:r>
        <w:t xml:space="preserve"> </w:t>
      </w:r>
      <w:r w:rsidRPr="00112346">
        <w:t>12-[[(</w:t>
      </w:r>
      <w:proofErr w:type="spellStart"/>
      <w:r w:rsidRPr="00112346">
        <w:t>cyclohexylamino</w:t>
      </w:r>
      <w:proofErr w:type="spellEnd"/>
      <w:r w:rsidRPr="00112346">
        <w:t>)-</w:t>
      </w:r>
      <w:proofErr w:type="gramStart"/>
      <w:r w:rsidRPr="00112346">
        <w:t>carbonyl]amino</w:t>
      </w:r>
      <w:proofErr w:type="gramEnd"/>
      <w:r w:rsidRPr="00112346">
        <w:t>]-dodecanoic acid</w:t>
      </w:r>
      <w:r>
        <w:t xml:space="preserve"> (CUDA)). Then, samples were filtered with </w:t>
      </w:r>
      <w:proofErr w:type="spellStart"/>
      <w:r w:rsidRPr="00112346">
        <w:t>Phenex</w:t>
      </w:r>
      <w:proofErr w:type="spellEnd"/>
      <w:r w:rsidRPr="00112346">
        <w:t xml:space="preserve"> PTFE syringe filter</w:t>
      </w:r>
      <w:r>
        <w:t xml:space="preserve"> (non-polar fraction) or </w:t>
      </w:r>
      <w:r w:rsidRPr="00112346">
        <w:t>PHENEX-RC 4mm Syringe Filters</w:t>
      </w:r>
      <w:r>
        <w:t xml:space="preserve"> (polar fraction). Finally, the samples were injected into the LC-HRMS system. </w:t>
      </w:r>
    </w:p>
    <w:p w14:paraId="09C5CF71" w14:textId="703E0F93" w:rsidR="00E27634" w:rsidRPr="00A33E2C" w:rsidRDefault="00E27634" w:rsidP="00E27634"/>
    <w:p w14:paraId="17E86ADF" w14:textId="0388650F" w:rsidR="00E27634" w:rsidRPr="00A33E2C" w:rsidRDefault="00E27634" w:rsidP="00E27634"/>
    <w:p w14:paraId="22999398" w14:textId="5C0FD3FD" w:rsidR="00E27634" w:rsidRPr="00A33E2C" w:rsidRDefault="00E27634" w:rsidP="00E27634"/>
    <w:p w14:paraId="664467D3" w14:textId="15F85F2E" w:rsidR="00E27634" w:rsidRPr="00A33E2C" w:rsidRDefault="00E27634" w:rsidP="00E27634"/>
    <w:p w14:paraId="74681DCE" w14:textId="1EF15548" w:rsidR="00E27634" w:rsidRPr="00A33E2C" w:rsidRDefault="00E27634" w:rsidP="00E27634"/>
    <w:p w14:paraId="2B6178A2" w14:textId="7E2E33A2" w:rsidR="00E27634" w:rsidRPr="00A33E2C" w:rsidRDefault="00E27634" w:rsidP="00E27634"/>
    <w:p w14:paraId="4D7FDC84" w14:textId="73AD6944" w:rsidR="00E27634" w:rsidRPr="00A33E2C" w:rsidRDefault="00E27634" w:rsidP="00E27634"/>
    <w:p w14:paraId="5EAC49C4" w14:textId="277F87CB" w:rsidR="00E27634" w:rsidRDefault="00E27634" w:rsidP="00E27634"/>
    <w:p w14:paraId="62894126" w14:textId="6DA8F5B2" w:rsidR="00A33E2C" w:rsidRDefault="00A33E2C" w:rsidP="00E27634"/>
    <w:p w14:paraId="05E69931" w14:textId="506325F4" w:rsidR="00A33E2C" w:rsidRDefault="00A33E2C" w:rsidP="00E27634"/>
    <w:p w14:paraId="06B3DA22" w14:textId="614D0AFA" w:rsidR="00A33E2C" w:rsidRDefault="00A33E2C" w:rsidP="00E27634"/>
    <w:p w14:paraId="6AB97DE8" w14:textId="77777777" w:rsidR="00A33E2C" w:rsidRPr="00A33E2C" w:rsidRDefault="00A33E2C" w:rsidP="00E27634"/>
    <w:p w14:paraId="10B604BA" w14:textId="2B3CFE70" w:rsidR="00E27634" w:rsidRPr="00A33E2C" w:rsidRDefault="004F03DF" w:rsidP="00E27634">
      <w:r w:rsidRPr="00A33E2C">
        <w:rPr>
          <w:rFonts w:cstheme="minorHAnsi"/>
          <w:b/>
          <w:sz w:val="24"/>
        </w:rPr>
        <w:t xml:space="preserve"> </w:t>
      </w:r>
    </w:p>
    <w:p w14:paraId="39220EBD" w14:textId="3CF631C7" w:rsidR="00A33E2C" w:rsidRPr="000873ED" w:rsidRDefault="00A33E2C" w:rsidP="00A33E2C">
      <w:pPr>
        <w:pStyle w:val="berschrift1"/>
        <w:rPr>
          <w:rFonts w:asciiTheme="minorHAnsi" w:hAnsiTheme="minorHAnsi" w:cstheme="minorHAnsi"/>
          <w:b/>
          <w:color w:val="auto"/>
          <w:sz w:val="24"/>
          <w:lang w:val="fr-LU"/>
        </w:rPr>
      </w:pPr>
      <w:bookmarkStart w:id="5" w:name="_Toc104824950"/>
      <w:r w:rsidRPr="000873ED">
        <w:rPr>
          <w:rFonts w:asciiTheme="minorHAnsi" w:hAnsiTheme="minorHAnsi" w:cstheme="minorHAnsi"/>
          <w:b/>
          <w:color w:val="auto"/>
          <w:sz w:val="24"/>
          <w:lang w:val="fr-LU"/>
        </w:rPr>
        <w:lastRenderedPageBreak/>
        <w:t>Section 3. Compound annotation</w:t>
      </w:r>
      <w:bookmarkEnd w:id="5"/>
    </w:p>
    <w:p w14:paraId="6A9C2C3E" w14:textId="77777777" w:rsidR="00A33E2C" w:rsidRPr="00C73D45" w:rsidRDefault="00A33E2C" w:rsidP="00A33E2C">
      <w:pPr>
        <w:jc w:val="center"/>
        <w:rPr>
          <w:b/>
        </w:rPr>
      </w:pPr>
      <w:r w:rsidRPr="00C73D45">
        <w:rPr>
          <w:b/>
          <w:noProof/>
        </w:rPr>
        <w:drawing>
          <wp:inline distT="0" distB="0" distL="0" distR="0" wp14:anchorId="156C69DA" wp14:editId="7B257BE0">
            <wp:extent cx="4274890" cy="723014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6067" cy="7265957"/>
                    </a:xfrm>
                    <a:prstGeom prst="rect">
                      <a:avLst/>
                    </a:prstGeom>
                  </pic:spPr>
                </pic:pic>
              </a:graphicData>
            </a:graphic>
          </wp:inline>
        </w:drawing>
      </w:r>
    </w:p>
    <w:p w14:paraId="045A4096" w14:textId="7D4FA1EE" w:rsidR="00A33E2C" w:rsidRPr="004454E9" w:rsidRDefault="00A33E2C" w:rsidP="00A33E2C">
      <w:pPr>
        <w:pStyle w:val="Beschriftung"/>
        <w:outlineLvl w:val="1"/>
      </w:pPr>
      <w:bookmarkStart w:id="6" w:name="_Toc100305866"/>
      <w:bookmarkStart w:id="7" w:name="_Toc104824951"/>
      <w:r w:rsidRPr="00BF39EA">
        <w:rPr>
          <w:b/>
        </w:rPr>
        <w:t>Fig.</w:t>
      </w:r>
      <w:r w:rsidRPr="004454E9">
        <w:rPr>
          <w:b/>
        </w:rPr>
        <w:t xml:space="preserve"> S</w:t>
      </w:r>
      <w:r w:rsidRPr="004454E9">
        <w:rPr>
          <w:b/>
        </w:rPr>
        <w:fldChar w:fldCharType="begin"/>
      </w:r>
      <w:r w:rsidRPr="004454E9">
        <w:rPr>
          <w:b/>
        </w:rPr>
        <w:instrText xml:space="preserve"> SEQ Figure \* ARABIC </w:instrText>
      </w:r>
      <w:r w:rsidRPr="004454E9">
        <w:rPr>
          <w:b/>
        </w:rPr>
        <w:fldChar w:fldCharType="separate"/>
      </w:r>
      <w:r w:rsidR="0009583E">
        <w:rPr>
          <w:b/>
          <w:noProof/>
        </w:rPr>
        <w:t>2</w:t>
      </w:r>
      <w:r w:rsidRPr="004454E9">
        <w:rPr>
          <w:b/>
        </w:rPr>
        <w:fldChar w:fldCharType="end"/>
      </w:r>
      <w:r w:rsidRPr="004454E9">
        <w:rPr>
          <w:b/>
        </w:rPr>
        <w:t>.</w:t>
      </w:r>
      <w:r w:rsidRPr="004454E9">
        <w:t xml:space="preserve"> Total number of features identified in the different databases tested in </w:t>
      </w:r>
      <w:proofErr w:type="spellStart"/>
      <w:r w:rsidRPr="004454E9">
        <w:t>patRoon</w:t>
      </w:r>
      <w:proofErr w:type="spellEnd"/>
      <w:r w:rsidRPr="004454E9">
        <w:t xml:space="preserve">. After passing the QC, only features with </w:t>
      </w:r>
      <w:proofErr w:type="spellStart"/>
      <w:r w:rsidRPr="004454E9">
        <w:t>IndividualMoNASCore</w:t>
      </w:r>
      <w:proofErr w:type="spellEnd"/>
      <w:r w:rsidRPr="004454E9">
        <w:t xml:space="preserve"> &gt;0.4 were considered and annotated. Note that for each database features identified in ESI (+) and ESI (-) were summed (duplicates were not removed). The number indicated above each bar chart is the result of the </w:t>
      </w:r>
      <w:r>
        <w:t>combination</w:t>
      </w:r>
      <w:r w:rsidRPr="004454E9">
        <w:t xml:space="preserve"> of all the features identified at each level for each database.</w:t>
      </w:r>
      <w:bookmarkEnd w:id="6"/>
      <w:bookmarkEnd w:id="7"/>
      <w:r w:rsidRPr="004454E9">
        <w:t xml:space="preserve"> </w:t>
      </w:r>
    </w:p>
    <w:p w14:paraId="42DC6E0F" w14:textId="77777777" w:rsidR="00A33E2C" w:rsidRDefault="00A33E2C" w:rsidP="00A33E2C">
      <w:pPr>
        <w:keepNext/>
        <w:jc w:val="center"/>
      </w:pPr>
      <w:r w:rsidRPr="00D532B1">
        <w:rPr>
          <w:noProof/>
        </w:rPr>
        <w:lastRenderedPageBreak/>
        <w:drawing>
          <wp:inline distT="0" distB="0" distL="0" distR="0" wp14:anchorId="48169421" wp14:editId="253DA482">
            <wp:extent cx="4550735" cy="6244184"/>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52463" cy="6246555"/>
                    </a:xfrm>
                    <a:prstGeom prst="rect">
                      <a:avLst/>
                    </a:prstGeom>
                  </pic:spPr>
                </pic:pic>
              </a:graphicData>
            </a:graphic>
          </wp:inline>
        </w:drawing>
      </w:r>
    </w:p>
    <w:p w14:paraId="1D770733" w14:textId="5FE08359" w:rsidR="00A33E2C" w:rsidRPr="000873ED" w:rsidRDefault="00A33E2C" w:rsidP="00A33E2C">
      <w:pPr>
        <w:pStyle w:val="Beschriftung"/>
        <w:jc w:val="both"/>
        <w:outlineLvl w:val="1"/>
        <w:rPr>
          <w:color w:val="auto"/>
        </w:rPr>
      </w:pPr>
      <w:bookmarkStart w:id="8" w:name="_Toc100305867"/>
      <w:bookmarkStart w:id="9" w:name="_Toc104824952"/>
      <w:r w:rsidRPr="004454E9">
        <w:rPr>
          <w:b/>
        </w:rPr>
        <w:t>Fig. S</w:t>
      </w:r>
      <w:r w:rsidRPr="004454E9">
        <w:rPr>
          <w:b/>
        </w:rPr>
        <w:fldChar w:fldCharType="begin"/>
      </w:r>
      <w:r w:rsidRPr="004454E9">
        <w:rPr>
          <w:b/>
        </w:rPr>
        <w:instrText xml:space="preserve"> SEQ Figure \* ARABIC </w:instrText>
      </w:r>
      <w:r w:rsidRPr="004454E9">
        <w:rPr>
          <w:b/>
        </w:rPr>
        <w:fldChar w:fldCharType="separate"/>
      </w:r>
      <w:r w:rsidR="0009583E">
        <w:rPr>
          <w:b/>
          <w:noProof/>
        </w:rPr>
        <w:t>3</w:t>
      </w:r>
      <w:r w:rsidRPr="004454E9">
        <w:rPr>
          <w:b/>
        </w:rPr>
        <w:fldChar w:fldCharType="end"/>
      </w:r>
      <w:r w:rsidRPr="004454E9">
        <w:t>.</w:t>
      </w:r>
      <w:r w:rsidRPr="000873ED">
        <w:rPr>
          <w:b/>
          <w:color w:val="auto"/>
        </w:rPr>
        <w:t xml:space="preserve"> </w:t>
      </w:r>
      <w:r w:rsidRPr="004454E9">
        <w:t xml:space="preserve">Number of features identified by suspect screening in each sample and separation mode (RP or HILIC). Note that for each suspect list features identified in ESI (+) and ESI (-) were </w:t>
      </w:r>
      <w:r>
        <w:t>combined</w:t>
      </w:r>
      <w:r w:rsidRPr="004454E9">
        <w:t xml:space="preserve"> (duplicates were not removed). The number indicated above each bar chart is the result of the sum of all the features identified at each level for each suspect list. The orange number on the right side of each bar indicates the number of Level 2a annotations (no number means that there are no</w:t>
      </w:r>
      <w:r w:rsidR="00837DB6">
        <w:t>t</w:t>
      </w:r>
      <w:r w:rsidRPr="004454E9">
        <w:t xml:space="preserve"> Level 2a features).  </w:t>
      </w:r>
      <w:r w:rsidR="00353E0D">
        <w:t>The c</w:t>
      </w:r>
      <w:r w:rsidRPr="004454E9">
        <w:t xml:space="preserve">riteria for the feature identification levels were the same </w:t>
      </w:r>
      <w:r w:rsidR="00353E0D">
        <w:t xml:space="preserve">as those </w:t>
      </w:r>
      <w:r w:rsidRPr="004454E9">
        <w:t xml:space="preserve">described in </w:t>
      </w:r>
      <w:r w:rsidR="00353E0D">
        <w:t xml:space="preserve">the </w:t>
      </w:r>
      <w:proofErr w:type="spellStart"/>
      <w:r w:rsidRPr="004454E9">
        <w:t>patRoon</w:t>
      </w:r>
      <w:proofErr w:type="spellEnd"/>
      <w:r w:rsidRPr="004454E9">
        <w:t xml:space="preserve"> handbook </w:t>
      </w:r>
      <w:r w:rsidRPr="004454E9">
        <w:fldChar w:fldCharType="begin"/>
      </w:r>
      <w:r w:rsidRPr="004454E9">
        <w:instrText xml:space="preserve"> ADDIN ZOTERO_ITEM CSL_CITATION {"citationID":"jXVSkyUt","properties":{"formattedCitation":"[11]","plainCitation":"[11]","noteIndex":0},"citationItems":[{"id":9,"uris":["http://zotero.org/users/local/FpDFIJyt/items/2LMLWYPP"],"itemData":{"id":9,"type":"webpage","title":"patRoon handbook","URL":"https://rickhelmus.github.io/patRoon/handbook_bd/index.html","accessed":{"date-parts":[["2022",3,4]]}}}],"schema":"https://github.com/citation-style-language/schema/raw/master/csl-citation.json"} </w:instrText>
      </w:r>
      <w:r w:rsidRPr="004454E9">
        <w:fldChar w:fldCharType="separate"/>
      </w:r>
      <w:r w:rsidRPr="004454E9">
        <w:t>[11]</w:t>
      </w:r>
      <w:r w:rsidRPr="004454E9">
        <w:fldChar w:fldCharType="end"/>
      </w:r>
      <w:r>
        <w:t>.</w:t>
      </w:r>
      <w:bookmarkEnd w:id="8"/>
      <w:bookmarkEnd w:id="9"/>
      <w:r w:rsidRPr="004454E9">
        <w:t xml:space="preserve"> </w:t>
      </w:r>
    </w:p>
    <w:p w14:paraId="7A5BE985" w14:textId="77777777" w:rsidR="00A33E2C" w:rsidRDefault="00A33E2C" w:rsidP="00A33E2C">
      <w:pPr>
        <w:rPr>
          <w:b/>
        </w:rPr>
      </w:pPr>
    </w:p>
    <w:p w14:paraId="331A83C9" w14:textId="77777777" w:rsidR="00A33E2C" w:rsidRDefault="00A33E2C" w:rsidP="00A33E2C">
      <w:pPr>
        <w:rPr>
          <w:b/>
        </w:rPr>
      </w:pPr>
    </w:p>
    <w:p w14:paraId="1B3E8239" w14:textId="77777777" w:rsidR="00A33E2C" w:rsidRDefault="00A33E2C" w:rsidP="00A33E2C">
      <w:pPr>
        <w:rPr>
          <w:b/>
        </w:rPr>
      </w:pPr>
    </w:p>
    <w:p w14:paraId="618E0C20" w14:textId="77777777" w:rsidR="00C73D45" w:rsidRPr="00A33E2C" w:rsidRDefault="00C73D45" w:rsidP="00347988"/>
    <w:p w14:paraId="512BBE6C" w14:textId="114595B5" w:rsidR="00A33E2C" w:rsidRPr="00A33E2C" w:rsidRDefault="00A33E2C" w:rsidP="00A33E2C">
      <w:pPr>
        <w:pStyle w:val="berschrift1"/>
        <w:rPr>
          <w:rFonts w:asciiTheme="minorHAnsi" w:hAnsiTheme="minorHAnsi" w:cstheme="minorHAnsi"/>
          <w:b/>
          <w:color w:val="auto"/>
          <w:sz w:val="24"/>
        </w:rPr>
      </w:pPr>
      <w:bookmarkStart w:id="10" w:name="_Toc104824953"/>
      <w:r w:rsidRPr="00A33E2C">
        <w:rPr>
          <w:rFonts w:asciiTheme="minorHAnsi" w:hAnsiTheme="minorHAnsi" w:cstheme="minorHAnsi"/>
          <w:b/>
          <w:color w:val="auto"/>
          <w:sz w:val="24"/>
        </w:rPr>
        <w:lastRenderedPageBreak/>
        <w:t>Section 4. Statistics</w:t>
      </w:r>
      <w:bookmarkEnd w:id="10"/>
    </w:p>
    <w:p w14:paraId="7C296FB9" w14:textId="77777777" w:rsidR="00C73D45" w:rsidRDefault="00C73D45" w:rsidP="00347988">
      <w:pPr>
        <w:rPr>
          <w:b/>
        </w:rPr>
      </w:pPr>
    </w:p>
    <w:p w14:paraId="3316E101" w14:textId="77777777" w:rsidR="00A33E2C" w:rsidRDefault="00A33E2C" w:rsidP="00A33E2C">
      <w:pPr>
        <w:pStyle w:val="Beschriftung"/>
        <w:keepNext/>
        <w:jc w:val="center"/>
      </w:pPr>
      <w:r>
        <w:rPr>
          <w:noProof/>
        </w:rPr>
        <w:drawing>
          <wp:inline distT="0" distB="0" distL="0" distR="0" wp14:anchorId="3C8DE950" wp14:editId="7E7DEF66">
            <wp:extent cx="4821410" cy="4818490"/>
            <wp:effectExtent l="0" t="0" r="0" b="1270"/>
            <wp:docPr id="15" name="Picture 14" descr="PCAScore2DImage">
              <a:extLst xmlns:a="http://schemas.openxmlformats.org/drawingml/2006/main">
                <a:ext uri="{FF2B5EF4-FFF2-40B4-BE49-F238E27FC236}">
                  <a16:creationId xmlns:a16="http://schemas.microsoft.com/office/drawing/2014/main" id="{4FE24AE8-CC31-4106-A546-9E12FD4DED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PCAScore2DImage">
                      <a:extLst>
                        <a:ext uri="{FF2B5EF4-FFF2-40B4-BE49-F238E27FC236}">
                          <a16:creationId xmlns:a16="http://schemas.microsoft.com/office/drawing/2014/main" id="{4FE24AE8-CC31-4106-A546-9E12FD4DED75}"/>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3885" cy="4830958"/>
                    </a:xfrm>
                    <a:prstGeom prst="rect">
                      <a:avLst/>
                    </a:prstGeom>
                    <a:noFill/>
                  </pic:spPr>
                </pic:pic>
              </a:graphicData>
            </a:graphic>
          </wp:inline>
        </w:drawing>
      </w:r>
    </w:p>
    <w:p w14:paraId="0FC2BB08" w14:textId="13807DF4" w:rsidR="00A33E2C" w:rsidRPr="004454E9" w:rsidRDefault="00A33E2C" w:rsidP="00A33E2C">
      <w:pPr>
        <w:pStyle w:val="Beschriftung"/>
        <w:outlineLvl w:val="1"/>
      </w:pPr>
      <w:bookmarkStart w:id="11" w:name="_Ref99040613"/>
      <w:bookmarkStart w:id="12" w:name="_Toc100233640"/>
      <w:bookmarkStart w:id="13" w:name="_Toc104824954"/>
      <w:r w:rsidRPr="004454E9">
        <w:rPr>
          <w:b/>
        </w:rPr>
        <w:t>Fig. S</w:t>
      </w:r>
      <w:r w:rsidRPr="004454E9">
        <w:rPr>
          <w:b/>
        </w:rPr>
        <w:fldChar w:fldCharType="begin"/>
      </w:r>
      <w:r w:rsidRPr="004454E9">
        <w:rPr>
          <w:b/>
        </w:rPr>
        <w:instrText xml:space="preserve"> SEQ Figure \* ARABIC </w:instrText>
      </w:r>
      <w:r w:rsidRPr="004454E9">
        <w:rPr>
          <w:b/>
        </w:rPr>
        <w:fldChar w:fldCharType="separate"/>
      </w:r>
      <w:r w:rsidR="0009583E">
        <w:rPr>
          <w:b/>
          <w:noProof/>
        </w:rPr>
        <w:t>4</w:t>
      </w:r>
      <w:r w:rsidRPr="004454E9">
        <w:rPr>
          <w:b/>
        </w:rPr>
        <w:fldChar w:fldCharType="end"/>
      </w:r>
      <w:r w:rsidRPr="004454E9">
        <w:rPr>
          <w:b/>
        </w:rPr>
        <w:t>.</w:t>
      </w:r>
      <w:r w:rsidRPr="004454E9">
        <w:t xml:space="preserve"> PCA analysis of all chemicals identified in feces samples by MS-DIAL</w:t>
      </w:r>
      <w:bookmarkEnd w:id="11"/>
      <w:r>
        <w:t>.</w:t>
      </w:r>
      <w:bookmarkEnd w:id="12"/>
      <w:bookmarkEnd w:id="13"/>
    </w:p>
    <w:p w14:paraId="6A2C1AA1" w14:textId="77777777" w:rsidR="00C73D45" w:rsidRDefault="00C73D45" w:rsidP="00347988">
      <w:pPr>
        <w:rPr>
          <w:b/>
        </w:rPr>
      </w:pPr>
    </w:p>
    <w:p w14:paraId="494DE378" w14:textId="77777777" w:rsidR="00C73D45" w:rsidRDefault="00C73D45" w:rsidP="00347988">
      <w:pPr>
        <w:rPr>
          <w:b/>
        </w:rPr>
      </w:pPr>
    </w:p>
    <w:p w14:paraId="73963C8A" w14:textId="77777777" w:rsidR="00C73D45" w:rsidRDefault="00C73D45" w:rsidP="00347988">
      <w:pPr>
        <w:rPr>
          <w:b/>
        </w:rPr>
      </w:pPr>
    </w:p>
    <w:p w14:paraId="62040E19" w14:textId="77777777" w:rsidR="00C73D45" w:rsidRDefault="00C73D45" w:rsidP="00347988">
      <w:pPr>
        <w:rPr>
          <w:b/>
        </w:rPr>
      </w:pPr>
    </w:p>
    <w:p w14:paraId="4F62E1D7" w14:textId="77777777" w:rsidR="00C73D45" w:rsidRDefault="00C73D45" w:rsidP="00347988">
      <w:pPr>
        <w:rPr>
          <w:b/>
        </w:rPr>
      </w:pPr>
    </w:p>
    <w:p w14:paraId="2CE2FF1B" w14:textId="1B61788A" w:rsidR="00DF36CA" w:rsidRDefault="00DF36CA" w:rsidP="00347988">
      <w:pPr>
        <w:rPr>
          <w:b/>
        </w:rPr>
      </w:pPr>
    </w:p>
    <w:p w14:paraId="055A15C9" w14:textId="6C0276B7" w:rsidR="00DF36CA" w:rsidRDefault="00DF36CA" w:rsidP="00347988">
      <w:pPr>
        <w:rPr>
          <w:b/>
        </w:rPr>
      </w:pPr>
    </w:p>
    <w:p w14:paraId="35913B40" w14:textId="1F9AC7F7" w:rsidR="00DF36CA" w:rsidRDefault="00DF36CA" w:rsidP="00347988">
      <w:pPr>
        <w:rPr>
          <w:b/>
        </w:rPr>
      </w:pPr>
    </w:p>
    <w:p w14:paraId="10DB619A" w14:textId="77777777" w:rsidR="00000600" w:rsidRDefault="00A33E2C" w:rsidP="00000600">
      <w:pPr>
        <w:pStyle w:val="Beschriftung"/>
        <w:keepNext/>
        <w:jc w:val="center"/>
        <w:outlineLvl w:val="1"/>
      </w:pPr>
      <w:bookmarkStart w:id="14" w:name="_Toc100305688"/>
      <w:bookmarkStart w:id="15" w:name="_Toc100305870"/>
      <w:bookmarkStart w:id="16" w:name="_Toc100315726"/>
      <w:bookmarkStart w:id="17" w:name="_Toc100315974"/>
      <w:bookmarkStart w:id="18" w:name="_Toc104824955"/>
      <w:r>
        <w:rPr>
          <w:noProof/>
        </w:rPr>
        <w:lastRenderedPageBreak/>
        <w:drawing>
          <wp:inline distT="0" distB="0" distL="0" distR="0" wp14:anchorId="74B48431" wp14:editId="66A8AE2E">
            <wp:extent cx="4808488" cy="4834393"/>
            <wp:effectExtent l="0" t="0" r="0" b="4445"/>
            <wp:docPr id="10" name="Picture 11" descr="PCAScore2DImage">
              <a:extLst xmlns:a="http://schemas.openxmlformats.org/drawingml/2006/main">
                <a:ext uri="{FF2B5EF4-FFF2-40B4-BE49-F238E27FC236}">
                  <a16:creationId xmlns:a16="http://schemas.microsoft.com/office/drawing/2014/main" id="{727E7841-0B4E-4984-A956-50066CEB9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CAScore2DImage">
                      <a:extLst>
                        <a:ext uri="{FF2B5EF4-FFF2-40B4-BE49-F238E27FC236}">
                          <a16:creationId xmlns:a16="http://schemas.microsoft.com/office/drawing/2014/main" id="{727E7841-0B4E-4984-A956-50066CEB9899}"/>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2377" cy="4848356"/>
                    </a:xfrm>
                    <a:prstGeom prst="rect">
                      <a:avLst/>
                    </a:prstGeom>
                    <a:noFill/>
                  </pic:spPr>
                </pic:pic>
              </a:graphicData>
            </a:graphic>
          </wp:inline>
        </w:drawing>
      </w:r>
      <w:bookmarkEnd w:id="14"/>
      <w:bookmarkEnd w:id="15"/>
      <w:bookmarkEnd w:id="16"/>
      <w:bookmarkEnd w:id="17"/>
      <w:bookmarkEnd w:id="18"/>
    </w:p>
    <w:p w14:paraId="255F6A81" w14:textId="3236DE2F" w:rsidR="00A33E2C" w:rsidRDefault="00000600" w:rsidP="00E16C80">
      <w:pPr>
        <w:pStyle w:val="Beschriftung"/>
        <w:outlineLvl w:val="1"/>
        <w:rPr>
          <w:b/>
        </w:rPr>
      </w:pPr>
      <w:bookmarkStart w:id="19" w:name="_Toc104824956"/>
      <w:r w:rsidRPr="00000600">
        <w:rPr>
          <w:b/>
        </w:rPr>
        <w:t>Fig. S</w:t>
      </w:r>
      <w:r w:rsidRPr="00000600">
        <w:rPr>
          <w:b/>
        </w:rPr>
        <w:fldChar w:fldCharType="begin"/>
      </w:r>
      <w:r w:rsidRPr="00000600">
        <w:rPr>
          <w:b/>
        </w:rPr>
        <w:instrText xml:space="preserve"> SEQ Figure \* ARABIC </w:instrText>
      </w:r>
      <w:r w:rsidRPr="00000600">
        <w:rPr>
          <w:b/>
        </w:rPr>
        <w:fldChar w:fldCharType="separate"/>
      </w:r>
      <w:r w:rsidR="0009583E">
        <w:rPr>
          <w:b/>
          <w:noProof/>
        </w:rPr>
        <w:t>5</w:t>
      </w:r>
      <w:r w:rsidRPr="00000600">
        <w:rPr>
          <w:b/>
        </w:rPr>
        <w:fldChar w:fldCharType="end"/>
      </w:r>
      <w:r w:rsidRPr="00000600">
        <w:rPr>
          <w:b/>
        </w:rPr>
        <w:t>.</w:t>
      </w:r>
      <w:r>
        <w:t xml:space="preserve"> </w:t>
      </w:r>
      <w:r w:rsidRPr="00000600">
        <w:t xml:space="preserve">PCA analysis of all chemicals identified in feces samples by </w:t>
      </w:r>
      <w:proofErr w:type="spellStart"/>
      <w:r w:rsidRPr="00000600">
        <w:t>patRoon</w:t>
      </w:r>
      <w:proofErr w:type="spellEnd"/>
      <w:r w:rsidRPr="00000600">
        <w:t xml:space="preserve"> and PD-</w:t>
      </w:r>
      <w:proofErr w:type="spellStart"/>
      <w:r w:rsidRPr="00000600">
        <w:t>MetFrag</w:t>
      </w:r>
      <w:proofErr w:type="spellEnd"/>
      <w:r w:rsidRPr="00000600">
        <w:t xml:space="preserve"> list.</w:t>
      </w:r>
      <w:bookmarkEnd w:id="19"/>
    </w:p>
    <w:p w14:paraId="3371977D" w14:textId="0C2723E2" w:rsidR="00D566EC" w:rsidRDefault="00000600" w:rsidP="00000600">
      <w:pPr>
        <w:keepNext/>
      </w:pPr>
      <w:r w:rsidRPr="00557E14">
        <w:rPr>
          <w:noProof/>
        </w:rPr>
        <w:lastRenderedPageBreak/>
        <w:drawing>
          <wp:inline distT="0" distB="0" distL="0" distR="0" wp14:anchorId="4DADDF4A" wp14:editId="5006C49C">
            <wp:extent cx="5943600" cy="31826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894"/>
                    <a:stretch/>
                  </pic:blipFill>
                  <pic:spPr bwMode="auto">
                    <a:xfrm>
                      <a:off x="0" y="0"/>
                      <a:ext cx="5943600" cy="3182620"/>
                    </a:xfrm>
                    <a:prstGeom prst="rect">
                      <a:avLst/>
                    </a:prstGeom>
                    <a:ln>
                      <a:noFill/>
                    </a:ln>
                    <a:extLst>
                      <a:ext uri="{53640926-AAD7-44D8-BBD7-CCE9431645EC}">
                        <a14:shadowObscured xmlns:a14="http://schemas.microsoft.com/office/drawing/2010/main"/>
                      </a:ext>
                    </a:extLst>
                  </pic:spPr>
                </pic:pic>
              </a:graphicData>
            </a:graphic>
          </wp:inline>
        </w:drawing>
      </w:r>
    </w:p>
    <w:p w14:paraId="27CD6131" w14:textId="15BEA6A3" w:rsidR="00D566EC" w:rsidRDefault="00D566EC" w:rsidP="000873ED">
      <w:pPr>
        <w:pStyle w:val="Beschriftung"/>
        <w:outlineLvl w:val="1"/>
      </w:pPr>
      <w:bookmarkStart w:id="20" w:name="_Ref99040634"/>
      <w:bookmarkStart w:id="21" w:name="_Toc104824957"/>
      <w:r w:rsidRPr="004454E9">
        <w:rPr>
          <w:b/>
        </w:rPr>
        <w:t>Fig. S</w:t>
      </w:r>
      <w:r w:rsidRPr="004454E9">
        <w:rPr>
          <w:b/>
        </w:rPr>
        <w:fldChar w:fldCharType="begin"/>
      </w:r>
      <w:r w:rsidRPr="004454E9">
        <w:rPr>
          <w:b/>
        </w:rPr>
        <w:instrText xml:space="preserve"> SEQ Figure \* ARABIC </w:instrText>
      </w:r>
      <w:r w:rsidRPr="004454E9">
        <w:rPr>
          <w:b/>
        </w:rPr>
        <w:fldChar w:fldCharType="separate"/>
      </w:r>
      <w:r w:rsidR="0009583E">
        <w:rPr>
          <w:b/>
          <w:noProof/>
        </w:rPr>
        <w:t>6</w:t>
      </w:r>
      <w:r w:rsidRPr="004454E9">
        <w:rPr>
          <w:b/>
        </w:rPr>
        <w:fldChar w:fldCharType="end"/>
      </w:r>
      <w:r w:rsidRPr="004454E9">
        <w:rPr>
          <w:b/>
        </w:rPr>
        <w:t>.</w:t>
      </w:r>
      <w:r w:rsidRPr="004454E9">
        <w:t xml:space="preserve"> Multivariate statistics of all chemicals identified in feces samples by </w:t>
      </w:r>
      <w:proofErr w:type="spellStart"/>
      <w:r w:rsidRPr="004454E9">
        <w:t>patRoon</w:t>
      </w:r>
      <w:proofErr w:type="spellEnd"/>
      <w:r w:rsidRPr="004454E9">
        <w:t xml:space="preserve"> non-target and PCL list. (a) PCA scree plot showing the variance explained by 5 PCs. (b) OPLS-DA score plot showing separation across PD (green) and Ctrl (red) groups.</w:t>
      </w:r>
      <w:bookmarkEnd w:id="20"/>
      <w:bookmarkEnd w:id="21"/>
    </w:p>
    <w:p w14:paraId="6EF2A774" w14:textId="77777777" w:rsidR="00000600" w:rsidRPr="00E27634" w:rsidRDefault="00000600" w:rsidP="00E27634"/>
    <w:p w14:paraId="6017B372" w14:textId="74D3F276" w:rsidR="00B0732A" w:rsidRDefault="009E576F" w:rsidP="00E27634">
      <w:pPr>
        <w:pStyle w:val="Beschriftung"/>
        <w:jc w:val="center"/>
        <w:rPr>
          <w:b/>
        </w:rPr>
      </w:pPr>
      <w:r w:rsidRPr="009E576F">
        <w:rPr>
          <w:b/>
          <w:noProof/>
        </w:rPr>
        <w:drawing>
          <wp:inline distT="0" distB="0" distL="0" distR="0" wp14:anchorId="464EDA3C" wp14:editId="068D3943">
            <wp:extent cx="5943600" cy="3164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64840"/>
                    </a:xfrm>
                    <a:prstGeom prst="rect">
                      <a:avLst/>
                    </a:prstGeom>
                  </pic:spPr>
                </pic:pic>
              </a:graphicData>
            </a:graphic>
          </wp:inline>
        </w:drawing>
      </w:r>
    </w:p>
    <w:p w14:paraId="571B5380" w14:textId="05A80895" w:rsidR="00B0732A" w:rsidRPr="00147A67" w:rsidRDefault="00B0732A" w:rsidP="00B0732A">
      <w:pPr>
        <w:pStyle w:val="berschrift2"/>
        <w:rPr>
          <w:rFonts w:asciiTheme="minorHAnsi" w:hAnsiTheme="minorHAnsi" w:cstheme="minorHAnsi"/>
          <w:i/>
          <w:iCs/>
          <w:color w:val="44546A" w:themeColor="text2"/>
          <w:sz w:val="18"/>
          <w:szCs w:val="18"/>
        </w:rPr>
      </w:pPr>
      <w:bookmarkStart w:id="22" w:name="_Ref99040640"/>
      <w:bookmarkStart w:id="23" w:name="_Toc104824958"/>
      <w:r w:rsidRPr="00147A67">
        <w:rPr>
          <w:rFonts w:asciiTheme="minorHAnsi" w:hAnsiTheme="minorHAnsi" w:cstheme="minorHAnsi"/>
          <w:b/>
          <w:i/>
          <w:iCs/>
          <w:color w:val="44546A" w:themeColor="text2"/>
          <w:sz w:val="18"/>
          <w:szCs w:val="18"/>
        </w:rPr>
        <w:t>Fig. S</w:t>
      </w:r>
      <w:r w:rsidRPr="00147A67">
        <w:rPr>
          <w:rFonts w:asciiTheme="minorHAnsi" w:hAnsiTheme="minorHAnsi" w:cstheme="minorHAnsi"/>
          <w:b/>
          <w:i/>
          <w:iCs/>
          <w:color w:val="44546A" w:themeColor="text2"/>
          <w:sz w:val="18"/>
          <w:szCs w:val="18"/>
        </w:rPr>
        <w:fldChar w:fldCharType="begin"/>
      </w:r>
      <w:r w:rsidRPr="00147A67">
        <w:rPr>
          <w:rFonts w:asciiTheme="minorHAnsi" w:hAnsiTheme="minorHAnsi" w:cstheme="minorHAnsi"/>
          <w:b/>
          <w:i/>
          <w:iCs/>
          <w:color w:val="44546A" w:themeColor="text2"/>
          <w:sz w:val="18"/>
          <w:szCs w:val="18"/>
        </w:rPr>
        <w:instrText xml:space="preserve"> SEQ Figure \* ARABIC </w:instrText>
      </w:r>
      <w:r w:rsidRPr="00147A67">
        <w:rPr>
          <w:rFonts w:asciiTheme="minorHAnsi" w:hAnsiTheme="minorHAnsi" w:cstheme="minorHAnsi"/>
          <w:b/>
          <w:i/>
          <w:iCs/>
          <w:color w:val="44546A" w:themeColor="text2"/>
          <w:sz w:val="18"/>
          <w:szCs w:val="18"/>
        </w:rPr>
        <w:fldChar w:fldCharType="separate"/>
      </w:r>
      <w:r w:rsidR="0009583E">
        <w:rPr>
          <w:rFonts w:asciiTheme="minorHAnsi" w:hAnsiTheme="minorHAnsi" w:cstheme="minorHAnsi"/>
          <w:b/>
          <w:i/>
          <w:iCs/>
          <w:noProof/>
          <w:color w:val="44546A" w:themeColor="text2"/>
          <w:sz w:val="18"/>
          <w:szCs w:val="18"/>
        </w:rPr>
        <w:t>7</w:t>
      </w:r>
      <w:r w:rsidRPr="00147A67">
        <w:rPr>
          <w:rFonts w:asciiTheme="minorHAnsi" w:hAnsiTheme="minorHAnsi" w:cstheme="minorHAnsi"/>
          <w:b/>
          <w:i/>
          <w:iCs/>
          <w:color w:val="44546A" w:themeColor="text2"/>
          <w:sz w:val="18"/>
          <w:szCs w:val="18"/>
        </w:rPr>
        <w:fldChar w:fldCharType="end"/>
      </w:r>
      <w:r w:rsidRPr="00147A67">
        <w:rPr>
          <w:rFonts w:asciiTheme="minorHAnsi" w:hAnsiTheme="minorHAnsi" w:cstheme="minorHAnsi"/>
          <w:b/>
          <w:i/>
          <w:iCs/>
          <w:color w:val="44546A" w:themeColor="text2"/>
          <w:sz w:val="18"/>
          <w:szCs w:val="18"/>
        </w:rPr>
        <w:t>.</w:t>
      </w:r>
      <w:r w:rsidRPr="00147A67">
        <w:rPr>
          <w:rFonts w:asciiTheme="minorHAnsi" w:hAnsiTheme="minorHAnsi" w:cstheme="minorHAnsi"/>
          <w:i/>
          <w:iCs/>
          <w:color w:val="44546A" w:themeColor="text2"/>
          <w:sz w:val="18"/>
          <w:szCs w:val="18"/>
        </w:rPr>
        <w:t xml:space="preserve"> (a) PCA analysis between PD (green) and Ctrl (red) groups. (b) OPLS-DA analysis maximize the separation between groups. These plots were built after analyzing the fecal data with the LITMIN list.</w:t>
      </w:r>
      <w:bookmarkEnd w:id="22"/>
      <w:bookmarkEnd w:id="23"/>
    </w:p>
    <w:p w14:paraId="7780E2D7" w14:textId="77777777" w:rsidR="00000600" w:rsidRPr="00B0732A" w:rsidRDefault="00000600" w:rsidP="00B0732A"/>
    <w:p w14:paraId="11852D67" w14:textId="616E5887" w:rsidR="000F4092" w:rsidRDefault="00000600" w:rsidP="00000600">
      <w:pPr>
        <w:keepNext/>
      </w:pPr>
      <w:r w:rsidRPr="000F4092">
        <w:rPr>
          <w:b/>
          <w:noProof/>
          <w:sz w:val="28"/>
        </w:rPr>
        <w:lastRenderedPageBreak/>
        <w:drawing>
          <wp:inline distT="0" distB="0" distL="0" distR="0" wp14:anchorId="75620044" wp14:editId="4A23D9F3">
            <wp:extent cx="5943600" cy="31413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141345"/>
                    </a:xfrm>
                    <a:prstGeom prst="rect">
                      <a:avLst/>
                    </a:prstGeom>
                  </pic:spPr>
                </pic:pic>
              </a:graphicData>
            </a:graphic>
          </wp:inline>
        </w:drawing>
      </w:r>
    </w:p>
    <w:p w14:paraId="0BC26C02" w14:textId="5C59A7B1" w:rsidR="00C3192F" w:rsidRPr="004454E9" w:rsidRDefault="000F4092" w:rsidP="000873ED">
      <w:pPr>
        <w:pStyle w:val="Beschriftung"/>
        <w:outlineLvl w:val="1"/>
      </w:pPr>
      <w:bookmarkStart w:id="24" w:name="_Ref99040644"/>
      <w:bookmarkStart w:id="25" w:name="_Toc104824959"/>
      <w:r w:rsidRPr="004454E9">
        <w:rPr>
          <w:b/>
        </w:rPr>
        <w:t>Fig. S</w:t>
      </w:r>
      <w:r w:rsidRPr="004454E9">
        <w:rPr>
          <w:b/>
        </w:rPr>
        <w:fldChar w:fldCharType="begin"/>
      </w:r>
      <w:r w:rsidRPr="004454E9">
        <w:rPr>
          <w:b/>
        </w:rPr>
        <w:instrText xml:space="preserve"> SEQ Figure \* ARABIC </w:instrText>
      </w:r>
      <w:r w:rsidRPr="004454E9">
        <w:rPr>
          <w:b/>
        </w:rPr>
        <w:fldChar w:fldCharType="separate"/>
      </w:r>
      <w:r w:rsidR="0009583E">
        <w:rPr>
          <w:b/>
          <w:noProof/>
        </w:rPr>
        <w:t>8</w:t>
      </w:r>
      <w:r w:rsidRPr="004454E9">
        <w:rPr>
          <w:b/>
        </w:rPr>
        <w:fldChar w:fldCharType="end"/>
      </w:r>
      <w:r w:rsidRPr="004454E9">
        <w:rPr>
          <w:b/>
        </w:rPr>
        <w:t>.</w:t>
      </w:r>
      <w:r w:rsidRPr="004454E9">
        <w:t xml:space="preserve"> (a) PCA analysis between PD (green) and Ctrl (red) groups. (b) OPLS-DA analysis maximize the separation between groups. These plots were built after analyzing the fecal data with the PD-CTD list.</w:t>
      </w:r>
      <w:bookmarkEnd w:id="24"/>
      <w:bookmarkEnd w:id="25"/>
    </w:p>
    <w:p w14:paraId="37B1973C" w14:textId="0A53F8D1" w:rsidR="00C3192F" w:rsidRDefault="00C3192F" w:rsidP="00E43608">
      <w:pPr>
        <w:rPr>
          <w:b/>
          <w:sz w:val="28"/>
        </w:rPr>
      </w:pPr>
    </w:p>
    <w:p w14:paraId="527D30BB" w14:textId="273FFD7B" w:rsidR="0009583E" w:rsidRDefault="0009583E" w:rsidP="00E43608">
      <w:pPr>
        <w:rPr>
          <w:b/>
          <w:sz w:val="28"/>
        </w:rPr>
      </w:pPr>
    </w:p>
    <w:p w14:paraId="5CEC16C6" w14:textId="3C8A4A7F" w:rsidR="0009583E" w:rsidRDefault="0009583E" w:rsidP="00E43608">
      <w:pPr>
        <w:rPr>
          <w:b/>
          <w:sz w:val="28"/>
        </w:rPr>
      </w:pPr>
    </w:p>
    <w:p w14:paraId="2058C57A" w14:textId="0CC3FD3A" w:rsidR="0009583E" w:rsidRDefault="0009583E" w:rsidP="00E43608">
      <w:pPr>
        <w:rPr>
          <w:b/>
          <w:sz w:val="28"/>
        </w:rPr>
      </w:pPr>
    </w:p>
    <w:p w14:paraId="55D65BDC" w14:textId="0EBAD0C7" w:rsidR="0009583E" w:rsidRDefault="0009583E" w:rsidP="00E43608">
      <w:pPr>
        <w:rPr>
          <w:b/>
          <w:sz w:val="28"/>
        </w:rPr>
      </w:pPr>
    </w:p>
    <w:p w14:paraId="2FE81386" w14:textId="099DAC45" w:rsidR="0009583E" w:rsidRDefault="0009583E" w:rsidP="00E43608">
      <w:pPr>
        <w:rPr>
          <w:b/>
          <w:sz w:val="28"/>
        </w:rPr>
      </w:pPr>
    </w:p>
    <w:p w14:paraId="00E6856C" w14:textId="4712F368" w:rsidR="0009583E" w:rsidRDefault="0009583E" w:rsidP="00E43608">
      <w:pPr>
        <w:rPr>
          <w:b/>
          <w:sz w:val="28"/>
        </w:rPr>
      </w:pPr>
    </w:p>
    <w:p w14:paraId="3D10C2E9" w14:textId="28D7CFD8" w:rsidR="0009583E" w:rsidRDefault="0009583E" w:rsidP="00E43608">
      <w:pPr>
        <w:rPr>
          <w:b/>
          <w:sz w:val="28"/>
        </w:rPr>
      </w:pPr>
    </w:p>
    <w:p w14:paraId="7A4D4BD6" w14:textId="5E556950" w:rsidR="0009583E" w:rsidRDefault="0009583E" w:rsidP="00E43608">
      <w:pPr>
        <w:rPr>
          <w:b/>
          <w:sz w:val="28"/>
        </w:rPr>
      </w:pPr>
    </w:p>
    <w:p w14:paraId="0DB60F3D" w14:textId="5B8F2061" w:rsidR="0009583E" w:rsidRDefault="0009583E" w:rsidP="00E43608">
      <w:pPr>
        <w:rPr>
          <w:b/>
          <w:sz w:val="28"/>
        </w:rPr>
      </w:pPr>
    </w:p>
    <w:p w14:paraId="1CDA1BBB" w14:textId="5E0F934C" w:rsidR="0009583E" w:rsidRDefault="0009583E" w:rsidP="00E43608">
      <w:pPr>
        <w:rPr>
          <w:b/>
          <w:sz w:val="28"/>
        </w:rPr>
      </w:pPr>
    </w:p>
    <w:p w14:paraId="1692B1F0" w14:textId="097D0EB2" w:rsidR="0009583E" w:rsidRDefault="0009583E" w:rsidP="00E43608">
      <w:pPr>
        <w:rPr>
          <w:b/>
          <w:sz w:val="28"/>
        </w:rPr>
      </w:pPr>
    </w:p>
    <w:p w14:paraId="4FF557AE" w14:textId="77777777" w:rsidR="0009583E" w:rsidRDefault="0009583E" w:rsidP="00E43608">
      <w:pPr>
        <w:rPr>
          <w:b/>
          <w:sz w:val="28"/>
        </w:rPr>
      </w:pPr>
    </w:p>
    <w:p w14:paraId="4F3DD9E9" w14:textId="0B3034DE" w:rsidR="0009583E" w:rsidRPr="00331826" w:rsidRDefault="0009583E" w:rsidP="0009583E">
      <w:pPr>
        <w:jc w:val="both"/>
      </w:pPr>
      <w:r w:rsidRPr="00331826">
        <w:lastRenderedPageBreak/>
        <w:fldChar w:fldCharType="begin"/>
      </w:r>
      <w:r w:rsidRPr="00331826">
        <w:instrText xml:space="preserve"> REF _Ref104824890 \h  \* MERGEFORMAT </w:instrText>
      </w:r>
      <w:r w:rsidRPr="00331826">
        <w:fldChar w:fldCharType="separate"/>
      </w:r>
      <w:r w:rsidRPr="00331826">
        <w:rPr>
          <w:b/>
        </w:rPr>
        <w:t>Fig. S</w:t>
      </w:r>
      <w:r w:rsidRPr="00331826">
        <w:rPr>
          <w:b/>
          <w:noProof/>
        </w:rPr>
        <w:t>9</w:t>
      </w:r>
      <w:r w:rsidRPr="00331826">
        <w:fldChar w:fldCharType="end"/>
      </w:r>
      <w:r w:rsidRPr="00331826">
        <w:t xml:space="preserve">. </w:t>
      </w:r>
      <w:r w:rsidR="0084546E" w:rsidRPr="00331826">
        <w:t>r</w:t>
      </w:r>
      <w:r w:rsidRPr="00331826">
        <w:t>epresents a volcano plot</w:t>
      </w:r>
      <w:r w:rsidR="005443E8" w:rsidRPr="00331826">
        <w:t>,</w:t>
      </w:r>
      <w:r w:rsidRPr="00331826">
        <w:t xml:space="preserve"> which illustrates the statistically relevant features in plasma and feces, derived from the analysis with the PD-CTD list. Each dot represents a different feature</w:t>
      </w:r>
      <w:r w:rsidR="005443E8" w:rsidRPr="00331826">
        <w:t xml:space="preserve">, with the chromatographic method shown </w:t>
      </w:r>
      <w:r w:rsidRPr="00331826">
        <w:t xml:space="preserve">in brackets. As can be seen, most of the chemicals were unknown (annotated as Level 5) so the </w:t>
      </w:r>
      <w:r w:rsidRPr="00331826">
        <w:rPr>
          <w:i/>
        </w:rPr>
        <w:t>m/z</w:t>
      </w:r>
      <w:r w:rsidRPr="00331826">
        <w:t xml:space="preserve"> was provided instead of the chemical name.</w:t>
      </w:r>
      <w:r w:rsidR="00F91C13" w:rsidRPr="00331826">
        <w:t xml:space="preserve"> In the plasma samples plot (b) you could find two dots identified as “</w:t>
      </w:r>
      <w:proofErr w:type="spellStart"/>
      <w:r w:rsidR="00F91C13" w:rsidRPr="00331826">
        <w:t>melevodopa</w:t>
      </w:r>
      <w:proofErr w:type="spellEnd"/>
      <w:r w:rsidR="00F91C13" w:rsidRPr="00331826">
        <w:t xml:space="preserve">/ methyldopa” meaning that we did not have enough information to know which feature is (both were annotated as Level 3c). More information is available in the SI, </w:t>
      </w:r>
      <w:r w:rsidR="00F91C13" w:rsidRPr="00331826">
        <w:rPr>
          <w:b/>
        </w:rPr>
        <w:t>Table S9</w:t>
      </w:r>
      <w:r w:rsidR="00F91C13" w:rsidRPr="00331826">
        <w:t>.</w:t>
      </w:r>
    </w:p>
    <w:p w14:paraId="11023AEF" w14:textId="77777777" w:rsidR="0009583E" w:rsidRPr="00331826" w:rsidRDefault="0009583E" w:rsidP="00E43608">
      <w:pPr>
        <w:rPr>
          <w:b/>
          <w:sz w:val="28"/>
        </w:rPr>
      </w:pPr>
    </w:p>
    <w:p w14:paraId="411A01CA" w14:textId="77777777" w:rsidR="0009583E" w:rsidRPr="00331826" w:rsidRDefault="0009583E" w:rsidP="0009583E">
      <w:pPr>
        <w:keepNext/>
      </w:pPr>
      <w:r w:rsidRPr="00331826">
        <w:rPr>
          <w:noProof/>
        </w:rPr>
        <w:drawing>
          <wp:inline distT="0" distB="0" distL="0" distR="0" wp14:anchorId="2B288E9A" wp14:editId="28916026">
            <wp:extent cx="5943600" cy="2413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413000"/>
                    </a:xfrm>
                    <a:prstGeom prst="rect">
                      <a:avLst/>
                    </a:prstGeom>
                  </pic:spPr>
                </pic:pic>
              </a:graphicData>
            </a:graphic>
          </wp:inline>
        </w:drawing>
      </w:r>
    </w:p>
    <w:p w14:paraId="55398A41" w14:textId="1279D17B" w:rsidR="0009583E" w:rsidRPr="0009583E" w:rsidRDefault="0009583E" w:rsidP="0009583E">
      <w:pPr>
        <w:pStyle w:val="Beschriftung"/>
        <w:jc w:val="both"/>
        <w:outlineLvl w:val="1"/>
        <w:rPr>
          <w:b/>
          <w:sz w:val="28"/>
        </w:rPr>
      </w:pPr>
      <w:bookmarkStart w:id="26" w:name="_Ref104824890"/>
      <w:bookmarkStart w:id="27" w:name="_Toc104824960"/>
      <w:r w:rsidRPr="00331826">
        <w:rPr>
          <w:b/>
        </w:rPr>
        <w:t>Fig. S</w:t>
      </w:r>
      <w:r w:rsidRPr="00331826">
        <w:rPr>
          <w:b/>
        </w:rPr>
        <w:fldChar w:fldCharType="begin"/>
      </w:r>
      <w:r w:rsidRPr="00331826">
        <w:rPr>
          <w:b/>
        </w:rPr>
        <w:instrText xml:space="preserve"> SEQ Figure \* ARABIC </w:instrText>
      </w:r>
      <w:r w:rsidRPr="00331826">
        <w:rPr>
          <w:b/>
        </w:rPr>
        <w:fldChar w:fldCharType="separate"/>
      </w:r>
      <w:r w:rsidRPr="00331826">
        <w:rPr>
          <w:b/>
          <w:noProof/>
        </w:rPr>
        <w:t>9</w:t>
      </w:r>
      <w:r w:rsidRPr="00331826">
        <w:rPr>
          <w:b/>
        </w:rPr>
        <w:fldChar w:fldCharType="end"/>
      </w:r>
      <w:bookmarkEnd w:id="26"/>
      <w:r w:rsidRPr="00331826">
        <w:rPr>
          <w:b/>
        </w:rPr>
        <w:t>.</w:t>
      </w:r>
      <w:r w:rsidRPr="00331826">
        <w:t xml:space="preserve"> Important features detected in (a) feces and (b) plasma selected by volcano plot with FC threshold (x) 2 and t-tests threshold (y) 0.1. </w:t>
      </w:r>
      <w:r w:rsidR="005443E8" w:rsidRPr="00331826">
        <w:t>O</w:t>
      </w:r>
      <w:r w:rsidRPr="00331826">
        <w:t>nly features identified by the PD-CTD suspect list are included in the plot. The red</w:t>
      </w:r>
      <w:r w:rsidRPr="00331826">
        <w:rPr>
          <w:b/>
        </w:rPr>
        <w:t xml:space="preserve"> </w:t>
      </w:r>
      <w:r w:rsidRPr="00331826">
        <w:t xml:space="preserve">circles represent features above the threshold. Note both fold changes and p- values are log transformed. </w:t>
      </w:r>
      <w:r w:rsidR="005443E8" w:rsidRPr="00331826">
        <w:t xml:space="preserve">Increasing distance from </w:t>
      </w:r>
      <w:r w:rsidRPr="00331826">
        <w:t>(0,0)</w:t>
      </w:r>
      <w:r w:rsidR="005443E8" w:rsidRPr="00331826">
        <w:t xml:space="preserve"> indicates increasing significance</w:t>
      </w:r>
      <w:r w:rsidRPr="00331826">
        <w:t xml:space="preserve">. </w:t>
      </w:r>
      <w:bookmarkEnd w:id="27"/>
    </w:p>
    <w:p w14:paraId="6B26E69B" w14:textId="0CCD2B42" w:rsidR="00C3192F" w:rsidRDefault="00C3192F" w:rsidP="00E43608">
      <w:pPr>
        <w:rPr>
          <w:b/>
          <w:sz w:val="28"/>
        </w:rPr>
      </w:pPr>
    </w:p>
    <w:p w14:paraId="36014417" w14:textId="77777777" w:rsidR="00000600" w:rsidRDefault="00000600" w:rsidP="00E43608">
      <w:pPr>
        <w:rPr>
          <w:b/>
          <w:sz w:val="28"/>
        </w:rPr>
      </w:pPr>
    </w:p>
    <w:p w14:paraId="49ABAD71" w14:textId="77777777" w:rsidR="00C3192F" w:rsidRDefault="00C3192F" w:rsidP="00E43608">
      <w:pPr>
        <w:rPr>
          <w:b/>
          <w:sz w:val="28"/>
        </w:rPr>
      </w:pPr>
    </w:p>
    <w:p w14:paraId="0B680BAA" w14:textId="77777777" w:rsidR="00C3192F" w:rsidRDefault="00C3192F" w:rsidP="00E43608">
      <w:pPr>
        <w:rPr>
          <w:b/>
          <w:sz w:val="28"/>
        </w:rPr>
      </w:pPr>
    </w:p>
    <w:p w14:paraId="1F490AC0" w14:textId="77777777" w:rsidR="00C3192F" w:rsidRDefault="00C3192F" w:rsidP="00E43608">
      <w:pPr>
        <w:rPr>
          <w:b/>
          <w:sz w:val="28"/>
        </w:rPr>
      </w:pPr>
    </w:p>
    <w:p w14:paraId="18803C13" w14:textId="2CD1C6C6" w:rsidR="00C3192F" w:rsidRDefault="00C3192F" w:rsidP="00E43608">
      <w:pPr>
        <w:rPr>
          <w:b/>
          <w:sz w:val="28"/>
        </w:rPr>
      </w:pPr>
    </w:p>
    <w:p w14:paraId="06C3549A" w14:textId="7ABF6DC2" w:rsidR="00EC11C4" w:rsidRDefault="00EC11C4" w:rsidP="00E43608">
      <w:pPr>
        <w:rPr>
          <w:b/>
          <w:sz w:val="28"/>
        </w:rPr>
      </w:pPr>
    </w:p>
    <w:p w14:paraId="1CE2973A" w14:textId="1FF8E9F9" w:rsidR="00C159BA" w:rsidRDefault="00C159BA" w:rsidP="00E43608">
      <w:pPr>
        <w:rPr>
          <w:b/>
          <w:sz w:val="28"/>
        </w:rPr>
      </w:pPr>
    </w:p>
    <w:p w14:paraId="2B34ABEE" w14:textId="2C9050E1" w:rsidR="00C159BA" w:rsidRDefault="00C159BA" w:rsidP="00E43608">
      <w:pPr>
        <w:rPr>
          <w:b/>
          <w:sz w:val="28"/>
        </w:rPr>
      </w:pPr>
    </w:p>
    <w:p w14:paraId="377BA267" w14:textId="77777777" w:rsidR="00C159BA" w:rsidRDefault="00C159BA" w:rsidP="00E43608">
      <w:pPr>
        <w:rPr>
          <w:b/>
          <w:sz w:val="28"/>
        </w:rPr>
      </w:pPr>
    </w:p>
    <w:p w14:paraId="4469FD58" w14:textId="502E3A52" w:rsidR="00E43608" w:rsidRDefault="009507F6" w:rsidP="00E43608">
      <w:pPr>
        <w:rPr>
          <w:b/>
          <w:sz w:val="28"/>
        </w:rPr>
      </w:pPr>
      <w:r w:rsidRPr="009507F6">
        <w:rPr>
          <w:b/>
          <w:sz w:val="28"/>
        </w:rPr>
        <w:lastRenderedPageBreak/>
        <w:t>References</w:t>
      </w:r>
    </w:p>
    <w:p w14:paraId="4E508323" w14:textId="77777777" w:rsidR="00344BF6" w:rsidRPr="00344BF6" w:rsidRDefault="009507F6" w:rsidP="00344BF6">
      <w:pPr>
        <w:pStyle w:val="Literaturverzeichnis"/>
        <w:rPr>
          <w:rFonts w:ascii="Calibri" w:hAnsi="Calibri" w:cs="Calibri"/>
        </w:rPr>
      </w:pPr>
      <w:r w:rsidRPr="000873ED">
        <w:rPr>
          <w:b/>
          <w:sz w:val="20"/>
        </w:rPr>
        <w:fldChar w:fldCharType="begin"/>
      </w:r>
      <w:r w:rsidR="00344BF6">
        <w:rPr>
          <w:b/>
          <w:sz w:val="20"/>
        </w:rPr>
        <w:instrText xml:space="preserve"> ADDIN ZOTERO_BIBL {"uncited":[],"omitted":[],"custom":[]} CSL_BIBLIOGRAPHY </w:instrText>
      </w:r>
      <w:r w:rsidRPr="000873ED">
        <w:rPr>
          <w:b/>
          <w:sz w:val="20"/>
        </w:rPr>
        <w:fldChar w:fldCharType="separate"/>
      </w:r>
      <w:r w:rsidR="00344BF6" w:rsidRPr="00344BF6">
        <w:rPr>
          <w:rFonts w:ascii="Calibri" w:hAnsi="Calibri" w:cs="Calibri"/>
        </w:rPr>
        <w:t xml:space="preserve">1. </w:t>
      </w:r>
      <w:r w:rsidR="00344BF6" w:rsidRPr="00344BF6">
        <w:rPr>
          <w:rFonts w:ascii="Calibri" w:hAnsi="Calibri" w:cs="Calibri"/>
        </w:rPr>
        <w:tab/>
        <w:t>Benito S, Sánchez-Ortega A, Unceta N, Andrade F, Aldámiz-Echevarria L, Goicolea MA, Barrio RJ (2018) Untargeted metabolomics for plasma biomarker discovery for early chronic kidney disease diagnosis in pediatric patients using LC-QTOF-MS. The Analyst 143:4448–4458. https://doi.org/10.1039/c8an00864g</w:t>
      </w:r>
    </w:p>
    <w:p w14:paraId="01C3AB49" w14:textId="77777777" w:rsidR="00344BF6" w:rsidRPr="00344BF6" w:rsidRDefault="00344BF6" w:rsidP="00344BF6">
      <w:pPr>
        <w:pStyle w:val="Literaturverzeichnis"/>
        <w:rPr>
          <w:rFonts w:ascii="Calibri" w:hAnsi="Calibri" w:cs="Calibri"/>
        </w:rPr>
      </w:pPr>
      <w:r w:rsidRPr="00344BF6">
        <w:rPr>
          <w:rFonts w:ascii="Calibri" w:hAnsi="Calibri" w:cs="Calibri"/>
        </w:rPr>
        <w:t xml:space="preserve">2. </w:t>
      </w:r>
      <w:r w:rsidRPr="00344BF6">
        <w:rPr>
          <w:rFonts w:ascii="Calibri" w:hAnsi="Calibri" w:cs="Calibri"/>
        </w:rPr>
        <w:tab/>
        <w:t>Chen Y, Xu J, Zhang R, Abliz Z (2016) Methods used to increase the comprehensive coverage of urinary and plasma metabolomes by MS. Bioanalysis 8:981–997. https://doi.org/10.4155/bio-2015-0010</w:t>
      </w:r>
    </w:p>
    <w:p w14:paraId="4A8ED3A1" w14:textId="77777777" w:rsidR="00344BF6" w:rsidRPr="00344BF6" w:rsidRDefault="00344BF6" w:rsidP="00344BF6">
      <w:pPr>
        <w:pStyle w:val="Literaturverzeichnis"/>
        <w:rPr>
          <w:rFonts w:ascii="Calibri" w:hAnsi="Calibri" w:cs="Calibri"/>
        </w:rPr>
      </w:pPr>
      <w:r w:rsidRPr="00344BF6">
        <w:rPr>
          <w:rFonts w:ascii="Calibri" w:hAnsi="Calibri" w:cs="Calibri"/>
        </w:rPr>
        <w:t xml:space="preserve">3. </w:t>
      </w:r>
      <w:r w:rsidRPr="00344BF6">
        <w:rPr>
          <w:rFonts w:ascii="Calibri" w:hAnsi="Calibri" w:cs="Calibri"/>
        </w:rPr>
        <w:tab/>
        <w:t>Bruce SJ, Tavazzi I, Parisod V, Rezzi S, Kochhar S, Guy PA (2009) Investigation of human blood plasma sample preparation for performing metabolomics using ultrahigh performance liquid chromatography/mass spectrometry. Anal Chem 81:3285–3296. https://doi.org/10.1021/ac8024569</w:t>
      </w:r>
    </w:p>
    <w:p w14:paraId="6459A599" w14:textId="77777777" w:rsidR="00344BF6" w:rsidRPr="00344BF6" w:rsidRDefault="00344BF6" w:rsidP="00344BF6">
      <w:pPr>
        <w:pStyle w:val="Literaturverzeichnis"/>
        <w:rPr>
          <w:rFonts w:ascii="Calibri" w:hAnsi="Calibri" w:cs="Calibri"/>
        </w:rPr>
      </w:pPr>
      <w:r w:rsidRPr="00344BF6">
        <w:rPr>
          <w:rFonts w:ascii="Calibri" w:hAnsi="Calibri" w:cs="Calibri"/>
        </w:rPr>
        <w:t xml:space="preserve">4. </w:t>
      </w:r>
      <w:r w:rsidRPr="00344BF6">
        <w:rPr>
          <w:rFonts w:ascii="Calibri" w:hAnsi="Calibri" w:cs="Calibri"/>
        </w:rPr>
        <w:tab/>
        <w:t>Southam AD, Haglington LD, Najdekr L, Jankevics A, Weber RJM, Dunn WB (2020) Assessment of human plasma and urine sample preparation for reproducible and high-throughput UHPLC-MS clinical metabolic phenotyping. Analyst 145:6511–6523. https://doi.org/10.1039/d0an01319f</w:t>
      </w:r>
    </w:p>
    <w:p w14:paraId="5E32D4D1" w14:textId="77777777" w:rsidR="00344BF6" w:rsidRPr="00344BF6" w:rsidRDefault="00344BF6" w:rsidP="00344BF6">
      <w:pPr>
        <w:pStyle w:val="Literaturverzeichnis"/>
        <w:rPr>
          <w:rFonts w:ascii="Calibri" w:hAnsi="Calibri" w:cs="Calibri"/>
        </w:rPr>
      </w:pPr>
      <w:r w:rsidRPr="00344BF6">
        <w:rPr>
          <w:rFonts w:ascii="Calibri" w:hAnsi="Calibri" w:cs="Calibri"/>
        </w:rPr>
        <w:t xml:space="preserve">5. </w:t>
      </w:r>
      <w:r w:rsidRPr="00344BF6">
        <w:rPr>
          <w:rFonts w:ascii="Calibri" w:hAnsi="Calibri" w:cs="Calibri"/>
        </w:rPr>
        <w:tab/>
        <w:t>Broadhurst D, Goodacre R, Reinke SN, Kuligowski J, Wilson ID, Lewis MR, Dunn WB (2018) Guidelines and considerations for the use of system suitability and quality control samples in mass spectrometry assays applied in untargeted clinical metabolomic studies. Metabolomics 14:72. https://doi.org/10.1007/s11306-018-1367-3</w:t>
      </w:r>
    </w:p>
    <w:p w14:paraId="5F1B47E4" w14:textId="77777777" w:rsidR="00344BF6" w:rsidRPr="00344BF6" w:rsidRDefault="00344BF6" w:rsidP="00344BF6">
      <w:pPr>
        <w:pStyle w:val="Literaturverzeichnis"/>
        <w:rPr>
          <w:rFonts w:ascii="Calibri" w:hAnsi="Calibri" w:cs="Calibri"/>
        </w:rPr>
      </w:pPr>
      <w:r w:rsidRPr="00344BF6">
        <w:rPr>
          <w:rFonts w:ascii="Calibri" w:hAnsi="Calibri" w:cs="Calibri"/>
        </w:rPr>
        <w:t xml:space="preserve">6. </w:t>
      </w:r>
      <w:r w:rsidRPr="00344BF6">
        <w:rPr>
          <w:rFonts w:ascii="Calibri" w:hAnsi="Calibri" w:cs="Calibri"/>
        </w:rPr>
        <w:tab/>
        <w:t>Cesbron N, Royer A-L, Guitton Y, Sydor A, Le Bizec B, Dervilly-Pinel G (2017) Optimization of fecal sample preparation for untargeted LC-HRMS based metabolomics. Metabolomics 13:99. https://doi.org/10.1007/s11306-017-1233-8</w:t>
      </w:r>
    </w:p>
    <w:p w14:paraId="34A1DA3C" w14:textId="77777777" w:rsidR="00344BF6" w:rsidRPr="00344BF6" w:rsidRDefault="00344BF6" w:rsidP="00344BF6">
      <w:pPr>
        <w:pStyle w:val="Literaturverzeichnis"/>
        <w:rPr>
          <w:rFonts w:ascii="Calibri" w:hAnsi="Calibri" w:cs="Calibri"/>
        </w:rPr>
      </w:pPr>
      <w:r w:rsidRPr="00344BF6">
        <w:rPr>
          <w:rFonts w:ascii="Calibri" w:hAnsi="Calibri" w:cs="Calibri"/>
        </w:rPr>
        <w:t xml:space="preserve">7. </w:t>
      </w:r>
      <w:r w:rsidRPr="00344BF6">
        <w:rPr>
          <w:rFonts w:ascii="Calibri" w:hAnsi="Calibri" w:cs="Calibri"/>
        </w:rPr>
        <w:tab/>
        <w:t>Deda O, Gika HG, Wilson ID, Theodoridis GA (2015) An overview of fecal sample preparation for global metabolic profiling. J Pharm Biomed Anal 113:137–150. https://doi.org/10.1016/j.jpba.2015.02.006</w:t>
      </w:r>
    </w:p>
    <w:p w14:paraId="403DF28F" w14:textId="77777777" w:rsidR="00344BF6" w:rsidRPr="00344BF6" w:rsidRDefault="00344BF6" w:rsidP="00344BF6">
      <w:pPr>
        <w:pStyle w:val="Literaturverzeichnis"/>
        <w:rPr>
          <w:rFonts w:ascii="Calibri" w:hAnsi="Calibri" w:cs="Calibri"/>
        </w:rPr>
      </w:pPr>
      <w:r w:rsidRPr="00344BF6">
        <w:rPr>
          <w:rFonts w:ascii="Calibri" w:hAnsi="Calibri" w:cs="Calibri"/>
        </w:rPr>
        <w:t xml:space="preserve">8. </w:t>
      </w:r>
      <w:r w:rsidRPr="00344BF6">
        <w:rPr>
          <w:rFonts w:ascii="Calibri" w:hAnsi="Calibri" w:cs="Calibri"/>
        </w:rPr>
        <w:tab/>
        <w:t>Deda O, Gika HG, Theodoridis GA (2018) Rat Fecal Metabolomics-Based Analysis. In: Theodoridis GA, Gika HG, Wilson ID (eds) Metabolic Profiling. Springer New York, New York, NY, pp 149–157</w:t>
      </w:r>
    </w:p>
    <w:p w14:paraId="238F2BB9" w14:textId="77777777" w:rsidR="00344BF6" w:rsidRPr="00344BF6" w:rsidRDefault="00344BF6" w:rsidP="00344BF6">
      <w:pPr>
        <w:pStyle w:val="Literaturverzeichnis"/>
        <w:rPr>
          <w:rFonts w:ascii="Calibri" w:hAnsi="Calibri" w:cs="Calibri"/>
        </w:rPr>
      </w:pPr>
      <w:r w:rsidRPr="00344BF6">
        <w:rPr>
          <w:rFonts w:ascii="Calibri" w:hAnsi="Calibri" w:cs="Calibri"/>
        </w:rPr>
        <w:t xml:space="preserve">9. </w:t>
      </w:r>
      <w:r w:rsidRPr="00344BF6">
        <w:rPr>
          <w:rFonts w:ascii="Calibri" w:hAnsi="Calibri" w:cs="Calibri"/>
        </w:rPr>
        <w:tab/>
        <w:t>Karu N, Deng L, Slae M, Guo AC, Sajed T, Huynh H, Wine E, Wishart DS (2018) A review on human fecal metabolomics: Methods, applications and the human fecal metabolome database. Anal Chim Acta 1030:1–24. https://doi.org/10.1016/j.aca.2018.05.031</w:t>
      </w:r>
    </w:p>
    <w:p w14:paraId="468D0E88" w14:textId="77777777" w:rsidR="00344BF6" w:rsidRPr="00344BF6" w:rsidRDefault="00344BF6" w:rsidP="00344BF6">
      <w:pPr>
        <w:pStyle w:val="Literaturverzeichnis"/>
        <w:rPr>
          <w:rFonts w:ascii="Calibri" w:hAnsi="Calibri" w:cs="Calibri"/>
        </w:rPr>
      </w:pPr>
      <w:r w:rsidRPr="00344BF6">
        <w:rPr>
          <w:rFonts w:ascii="Calibri" w:hAnsi="Calibri" w:cs="Calibri"/>
        </w:rPr>
        <w:t xml:space="preserve">10. </w:t>
      </w:r>
      <w:r w:rsidRPr="00344BF6">
        <w:rPr>
          <w:rFonts w:ascii="Calibri" w:hAnsi="Calibri" w:cs="Calibri"/>
        </w:rPr>
        <w:tab/>
        <w:t>Moosmang S, Pitscheider M, Sturm S, Seger C, Tilg H, Halabalaki M, Stuppner H (2019) Metabolomic analysis-Addressing NMR and LC-MS related problems in human feces sample preparation. Clin Chim Acta Int J Clin Chem 489:169–176. https://doi.org/10.1016/j.cca.2017.10.029</w:t>
      </w:r>
    </w:p>
    <w:p w14:paraId="2C734555" w14:textId="77777777" w:rsidR="00344BF6" w:rsidRPr="00344BF6" w:rsidRDefault="00344BF6" w:rsidP="00344BF6">
      <w:pPr>
        <w:pStyle w:val="Literaturverzeichnis"/>
        <w:rPr>
          <w:rFonts w:ascii="Calibri" w:hAnsi="Calibri" w:cs="Calibri"/>
        </w:rPr>
      </w:pPr>
      <w:r w:rsidRPr="00344BF6">
        <w:rPr>
          <w:rFonts w:ascii="Calibri" w:hAnsi="Calibri" w:cs="Calibri"/>
        </w:rPr>
        <w:t xml:space="preserve">11. </w:t>
      </w:r>
      <w:r w:rsidRPr="00344BF6">
        <w:rPr>
          <w:rFonts w:ascii="Calibri" w:hAnsi="Calibri" w:cs="Calibri"/>
        </w:rPr>
        <w:tab/>
        <w:t>patRoon handbook. https://rickhelmus.github.io/patRoon/handbook_bd/index.html. Accessed 4 Mar 2022</w:t>
      </w:r>
    </w:p>
    <w:p w14:paraId="11F56563" w14:textId="5D37A41F" w:rsidR="009507F6" w:rsidRPr="00E43608" w:rsidRDefault="009507F6" w:rsidP="00E43608">
      <w:r w:rsidRPr="000873ED">
        <w:rPr>
          <w:b/>
        </w:rPr>
        <w:fldChar w:fldCharType="end"/>
      </w:r>
    </w:p>
    <w:sectPr w:rsidR="009507F6" w:rsidRPr="00E43608" w:rsidSect="00E27634">
      <w:footerReference w:type="default" r:id="rId19"/>
      <w:pgSz w:w="12240" w:h="15840"/>
      <w:pgMar w:top="1440" w:right="1440" w:bottom="1440" w:left="1440" w:header="720" w:footer="720" w:gutter="0"/>
      <w:lnNumType w:countBy="1" w:restart="continuou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8E249" w14:textId="77777777" w:rsidR="000560BE" w:rsidRDefault="000560BE" w:rsidP="00A0521B">
      <w:pPr>
        <w:spacing w:after="0" w:line="240" w:lineRule="auto"/>
      </w:pPr>
      <w:r>
        <w:separator/>
      </w:r>
    </w:p>
  </w:endnote>
  <w:endnote w:type="continuationSeparator" w:id="0">
    <w:p w14:paraId="033B7A6C" w14:textId="77777777" w:rsidR="000560BE" w:rsidRDefault="000560BE" w:rsidP="00A05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2373227"/>
      <w:docPartObj>
        <w:docPartGallery w:val="Page Numbers (Bottom of Page)"/>
        <w:docPartUnique/>
      </w:docPartObj>
    </w:sdtPr>
    <w:sdtEndPr>
      <w:rPr>
        <w:noProof/>
      </w:rPr>
    </w:sdtEndPr>
    <w:sdtContent>
      <w:p w14:paraId="3FFC7512" w14:textId="2913B48F" w:rsidR="00542849" w:rsidRDefault="00542849">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4E7FFA09" w14:textId="4240D4D7" w:rsidR="00A0521B" w:rsidRDefault="00A052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A8BCED" w14:textId="77777777" w:rsidR="000560BE" w:rsidRDefault="000560BE" w:rsidP="00A0521B">
      <w:pPr>
        <w:spacing w:after="0" w:line="240" w:lineRule="auto"/>
      </w:pPr>
      <w:r>
        <w:separator/>
      </w:r>
    </w:p>
  </w:footnote>
  <w:footnote w:type="continuationSeparator" w:id="0">
    <w:p w14:paraId="3493B37F" w14:textId="77777777" w:rsidR="000560BE" w:rsidRDefault="000560BE" w:rsidP="00A052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ECA"/>
    <w:rsid w:val="00000600"/>
    <w:rsid w:val="00001A1C"/>
    <w:rsid w:val="000240E6"/>
    <w:rsid w:val="0003032C"/>
    <w:rsid w:val="00031691"/>
    <w:rsid w:val="000362CB"/>
    <w:rsid w:val="00053646"/>
    <w:rsid w:val="000537DD"/>
    <w:rsid w:val="000560BE"/>
    <w:rsid w:val="000759D6"/>
    <w:rsid w:val="000873ED"/>
    <w:rsid w:val="000909E6"/>
    <w:rsid w:val="0009583E"/>
    <w:rsid w:val="000A19D7"/>
    <w:rsid w:val="000C7760"/>
    <w:rsid w:val="000F4092"/>
    <w:rsid w:val="001045D3"/>
    <w:rsid w:val="00112165"/>
    <w:rsid w:val="00147A67"/>
    <w:rsid w:val="00173280"/>
    <w:rsid w:val="00180709"/>
    <w:rsid w:val="001811B3"/>
    <w:rsid w:val="001A6B35"/>
    <w:rsid w:val="001C4626"/>
    <w:rsid w:val="001D3AC1"/>
    <w:rsid w:val="001E1EC2"/>
    <w:rsid w:val="0021241E"/>
    <w:rsid w:val="002245C9"/>
    <w:rsid w:val="00237827"/>
    <w:rsid w:val="00242C48"/>
    <w:rsid w:val="00245EE9"/>
    <w:rsid w:val="00250497"/>
    <w:rsid w:val="00266ADE"/>
    <w:rsid w:val="0027473C"/>
    <w:rsid w:val="00283AD4"/>
    <w:rsid w:val="0028464F"/>
    <w:rsid w:val="0028742D"/>
    <w:rsid w:val="002B343B"/>
    <w:rsid w:val="002D5B79"/>
    <w:rsid w:val="00301C27"/>
    <w:rsid w:val="00303644"/>
    <w:rsid w:val="003053DC"/>
    <w:rsid w:val="00331826"/>
    <w:rsid w:val="00344BF6"/>
    <w:rsid w:val="00347988"/>
    <w:rsid w:val="00353E0D"/>
    <w:rsid w:val="0037011D"/>
    <w:rsid w:val="003B11ED"/>
    <w:rsid w:val="003C777F"/>
    <w:rsid w:val="003D15A3"/>
    <w:rsid w:val="003D4926"/>
    <w:rsid w:val="003E6133"/>
    <w:rsid w:val="003E74AF"/>
    <w:rsid w:val="00422507"/>
    <w:rsid w:val="00422E5D"/>
    <w:rsid w:val="004454E9"/>
    <w:rsid w:val="004702E7"/>
    <w:rsid w:val="00473D93"/>
    <w:rsid w:val="00481424"/>
    <w:rsid w:val="0048664B"/>
    <w:rsid w:val="004A67AA"/>
    <w:rsid w:val="004B479B"/>
    <w:rsid w:val="004F03DF"/>
    <w:rsid w:val="00517740"/>
    <w:rsid w:val="0052614F"/>
    <w:rsid w:val="00534169"/>
    <w:rsid w:val="00542849"/>
    <w:rsid w:val="005443E8"/>
    <w:rsid w:val="00553793"/>
    <w:rsid w:val="005605B8"/>
    <w:rsid w:val="005B5271"/>
    <w:rsid w:val="005E553F"/>
    <w:rsid w:val="005F36F5"/>
    <w:rsid w:val="005F5B38"/>
    <w:rsid w:val="005F62B0"/>
    <w:rsid w:val="0060402E"/>
    <w:rsid w:val="00610B82"/>
    <w:rsid w:val="006323E0"/>
    <w:rsid w:val="00637809"/>
    <w:rsid w:val="006613D2"/>
    <w:rsid w:val="006834D6"/>
    <w:rsid w:val="00697E0B"/>
    <w:rsid w:val="006C17BF"/>
    <w:rsid w:val="006C4E2A"/>
    <w:rsid w:val="006E3D6C"/>
    <w:rsid w:val="00705DDE"/>
    <w:rsid w:val="00715187"/>
    <w:rsid w:val="00723871"/>
    <w:rsid w:val="007313C9"/>
    <w:rsid w:val="00765336"/>
    <w:rsid w:val="00773E6F"/>
    <w:rsid w:val="007C693E"/>
    <w:rsid w:val="00805A0C"/>
    <w:rsid w:val="00806E7E"/>
    <w:rsid w:val="00837DB6"/>
    <w:rsid w:val="0084546E"/>
    <w:rsid w:val="0085254E"/>
    <w:rsid w:val="008605B8"/>
    <w:rsid w:val="0086237A"/>
    <w:rsid w:val="00870A16"/>
    <w:rsid w:val="00880B2D"/>
    <w:rsid w:val="00896687"/>
    <w:rsid w:val="008A11EC"/>
    <w:rsid w:val="008C1D90"/>
    <w:rsid w:val="00930ECA"/>
    <w:rsid w:val="009314FA"/>
    <w:rsid w:val="009507F6"/>
    <w:rsid w:val="00967B2A"/>
    <w:rsid w:val="00986F96"/>
    <w:rsid w:val="0099758D"/>
    <w:rsid w:val="009C6200"/>
    <w:rsid w:val="009E576F"/>
    <w:rsid w:val="00A01DF0"/>
    <w:rsid w:val="00A0521B"/>
    <w:rsid w:val="00A33E2C"/>
    <w:rsid w:val="00A545EC"/>
    <w:rsid w:val="00A61108"/>
    <w:rsid w:val="00A6794E"/>
    <w:rsid w:val="00A72034"/>
    <w:rsid w:val="00AA357B"/>
    <w:rsid w:val="00AC7E57"/>
    <w:rsid w:val="00AE191D"/>
    <w:rsid w:val="00AE68D9"/>
    <w:rsid w:val="00AF6BFE"/>
    <w:rsid w:val="00AF6D65"/>
    <w:rsid w:val="00B0732A"/>
    <w:rsid w:val="00B268CD"/>
    <w:rsid w:val="00B26A91"/>
    <w:rsid w:val="00B42474"/>
    <w:rsid w:val="00B61708"/>
    <w:rsid w:val="00B62A55"/>
    <w:rsid w:val="00BF39EA"/>
    <w:rsid w:val="00BF5380"/>
    <w:rsid w:val="00C159BA"/>
    <w:rsid w:val="00C257EF"/>
    <w:rsid w:val="00C3192F"/>
    <w:rsid w:val="00C47453"/>
    <w:rsid w:val="00C73D45"/>
    <w:rsid w:val="00C7553A"/>
    <w:rsid w:val="00CA26AF"/>
    <w:rsid w:val="00CD3D3F"/>
    <w:rsid w:val="00CE68D4"/>
    <w:rsid w:val="00CF526E"/>
    <w:rsid w:val="00CF67D9"/>
    <w:rsid w:val="00D010E6"/>
    <w:rsid w:val="00D132F8"/>
    <w:rsid w:val="00D16234"/>
    <w:rsid w:val="00D35900"/>
    <w:rsid w:val="00D371C3"/>
    <w:rsid w:val="00D4127D"/>
    <w:rsid w:val="00D532B1"/>
    <w:rsid w:val="00D55783"/>
    <w:rsid w:val="00D566EC"/>
    <w:rsid w:val="00D63A50"/>
    <w:rsid w:val="00D66B84"/>
    <w:rsid w:val="00DF36CA"/>
    <w:rsid w:val="00E06A53"/>
    <w:rsid w:val="00E16C80"/>
    <w:rsid w:val="00E24B2B"/>
    <w:rsid w:val="00E27634"/>
    <w:rsid w:val="00E43608"/>
    <w:rsid w:val="00E54B06"/>
    <w:rsid w:val="00E576A5"/>
    <w:rsid w:val="00EC11C4"/>
    <w:rsid w:val="00ED25D2"/>
    <w:rsid w:val="00EE1C61"/>
    <w:rsid w:val="00EE32DD"/>
    <w:rsid w:val="00EF57BB"/>
    <w:rsid w:val="00EF657C"/>
    <w:rsid w:val="00F25352"/>
    <w:rsid w:val="00F36A39"/>
    <w:rsid w:val="00F511A1"/>
    <w:rsid w:val="00F56E00"/>
    <w:rsid w:val="00F815BA"/>
    <w:rsid w:val="00F91C13"/>
    <w:rsid w:val="00FA04BA"/>
    <w:rsid w:val="00FC186E"/>
    <w:rsid w:val="00FD7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B54A4"/>
  <w15:chartTrackingRefBased/>
  <w15:docId w15:val="{F66E74A5-66C2-4013-91A1-66B899CE4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30ECA"/>
  </w:style>
  <w:style w:type="paragraph" w:styleId="berschrift1">
    <w:name w:val="heading 1"/>
    <w:basedOn w:val="Standard"/>
    <w:next w:val="Standard"/>
    <w:link w:val="berschrift1Zchn"/>
    <w:uiPriority w:val="9"/>
    <w:qFormat/>
    <w:rsid w:val="00F815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B073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930ECA"/>
    <w:rPr>
      <w:sz w:val="16"/>
      <w:szCs w:val="16"/>
    </w:rPr>
  </w:style>
  <w:style w:type="paragraph" w:styleId="Kommentartext">
    <w:name w:val="annotation text"/>
    <w:basedOn w:val="Standard"/>
    <w:link w:val="KommentartextZchn"/>
    <w:uiPriority w:val="99"/>
    <w:semiHidden/>
    <w:unhideWhenUsed/>
    <w:rsid w:val="00930EC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30ECA"/>
    <w:rPr>
      <w:sz w:val="20"/>
      <w:szCs w:val="20"/>
    </w:rPr>
  </w:style>
  <w:style w:type="paragraph" w:styleId="Sprechblasentext">
    <w:name w:val="Balloon Text"/>
    <w:basedOn w:val="Standard"/>
    <w:link w:val="SprechblasentextZchn"/>
    <w:uiPriority w:val="99"/>
    <w:semiHidden/>
    <w:unhideWhenUsed/>
    <w:rsid w:val="00930EC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30ECA"/>
    <w:rPr>
      <w:rFonts w:ascii="Segoe UI" w:hAnsi="Segoe UI" w:cs="Segoe UI"/>
      <w:sz w:val="18"/>
      <w:szCs w:val="18"/>
    </w:rPr>
  </w:style>
  <w:style w:type="paragraph" w:styleId="Beschriftung">
    <w:name w:val="caption"/>
    <w:basedOn w:val="Standard"/>
    <w:next w:val="Standard"/>
    <w:uiPriority w:val="35"/>
    <w:unhideWhenUsed/>
    <w:qFormat/>
    <w:rsid w:val="00930ECA"/>
    <w:pPr>
      <w:spacing w:after="200" w:line="240" w:lineRule="auto"/>
    </w:pPr>
    <w:rPr>
      <w:i/>
      <w:iCs/>
      <w:color w:val="44546A" w:themeColor="text2"/>
      <w:sz w:val="18"/>
      <w:szCs w:val="18"/>
    </w:rPr>
  </w:style>
  <w:style w:type="paragraph" w:styleId="Literaturverzeichnis">
    <w:name w:val="Bibliography"/>
    <w:basedOn w:val="Standard"/>
    <w:next w:val="Standard"/>
    <w:uiPriority w:val="37"/>
    <w:unhideWhenUsed/>
    <w:rsid w:val="009507F6"/>
    <w:pPr>
      <w:tabs>
        <w:tab w:val="left" w:pos="504"/>
      </w:tabs>
      <w:spacing w:after="240" w:line="240" w:lineRule="auto"/>
      <w:ind w:left="504" w:hanging="504"/>
    </w:pPr>
  </w:style>
  <w:style w:type="paragraph" w:styleId="Kommentarthema">
    <w:name w:val="annotation subject"/>
    <w:basedOn w:val="Kommentartext"/>
    <w:next w:val="Kommentartext"/>
    <w:link w:val="KommentarthemaZchn"/>
    <w:uiPriority w:val="99"/>
    <w:semiHidden/>
    <w:unhideWhenUsed/>
    <w:rsid w:val="0048664B"/>
    <w:rPr>
      <w:b/>
      <w:bCs/>
    </w:rPr>
  </w:style>
  <w:style w:type="character" w:customStyle="1" w:styleId="KommentarthemaZchn">
    <w:name w:val="Kommentarthema Zchn"/>
    <w:basedOn w:val="KommentartextZchn"/>
    <w:link w:val="Kommentarthema"/>
    <w:uiPriority w:val="99"/>
    <w:semiHidden/>
    <w:rsid w:val="0048664B"/>
    <w:rPr>
      <w:b/>
      <w:bCs/>
      <w:sz w:val="20"/>
      <w:szCs w:val="20"/>
    </w:rPr>
  </w:style>
  <w:style w:type="character" w:styleId="Hyperlink">
    <w:name w:val="Hyperlink"/>
    <w:basedOn w:val="Absatz-Standardschriftart"/>
    <w:uiPriority w:val="99"/>
    <w:unhideWhenUsed/>
    <w:rsid w:val="00896687"/>
    <w:rPr>
      <w:color w:val="0563C1" w:themeColor="hyperlink"/>
      <w:u w:val="single"/>
    </w:rPr>
  </w:style>
  <w:style w:type="paragraph" w:styleId="Kopfzeile">
    <w:name w:val="header"/>
    <w:basedOn w:val="Standard"/>
    <w:link w:val="KopfzeileZchn"/>
    <w:uiPriority w:val="99"/>
    <w:unhideWhenUsed/>
    <w:rsid w:val="00A0521B"/>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A0521B"/>
  </w:style>
  <w:style w:type="paragraph" w:styleId="Fuzeile">
    <w:name w:val="footer"/>
    <w:basedOn w:val="Standard"/>
    <w:link w:val="FuzeileZchn"/>
    <w:uiPriority w:val="99"/>
    <w:unhideWhenUsed/>
    <w:rsid w:val="00A0521B"/>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A0521B"/>
  </w:style>
  <w:style w:type="character" w:customStyle="1" w:styleId="berschrift1Zchn">
    <w:name w:val="Überschrift 1 Zchn"/>
    <w:basedOn w:val="Absatz-Standardschriftart"/>
    <w:link w:val="berschrift1"/>
    <w:uiPriority w:val="9"/>
    <w:rsid w:val="00F815BA"/>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F815BA"/>
    <w:pPr>
      <w:outlineLvl w:val="9"/>
    </w:pPr>
  </w:style>
  <w:style w:type="paragraph" w:styleId="Verzeichnis1">
    <w:name w:val="toc 1"/>
    <w:basedOn w:val="Standard"/>
    <w:next w:val="Standard"/>
    <w:autoRedefine/>
    <w:uiPriority w:val="39"/>
    <w:unhideWhenUsed/>
    <w:rsid w:val="00F815BA"/>
    <w:pPr>
      <w:spacing w:after="100"/>
    </w:pPr>
  </w:style>
  <w:style w:type="paragraph" w:styleId="Verzeichnis2">
    <w:name w:val="toc 2"/>
    <w:basedOn w:val="Standard"/>
    <w:next w:val="Standard"/>
    <w:autoRedefine/>
    <w:uiPriority w:val="39"/>
    <w:unhideWhenUsed/>
    <w:rsid w:val="00F815BA"/>
    <w:pPr>
      <w:spacing w:after="100"/>
      <w:ind w:left="220"/>
    </w:pPr>
  </w:style>
  <w:style w:type="character" w:styleId="Zeilennummer">
    <w:name w:val="line number"/>
    <w:basedOn w:val="Absatz-Standardschriftart"/>
    <w:uiPriority w:val="99"/>
    <w:semiHidden/>
    <w:unhideWhenUsed/>
    <w:rsid w:val="00E27634"/>
  </w:style>
  <w:style w:type="paragraph" w:styleId="Verzeichnis3">
    <w:name w:val="toc 3"/>
    <w:basedOn w:val="Standard"/>
    <w:next w:val="Standard"/>
    <w:autoRedefine/>
    <w:uiPriority w:val="39"/>
    <w:unhideWhenUsed/>
    <w:rsid w:val="006323E0"/>
    <w:pPr>
      <w:spacing w:after="100"/>
      <w:ind w:left="440"/>
    </w:pPr>
    <w:rPr>
      <w:rFonts w:eastAsiaTheme="minorEastAsia" w:cs="Times New Roman"/>
    </w:rPr>
  </w:style>
  <w:style w:type="character" w:customStyle="1" w:styleId="berschrift2Zchn">
    <w:name w:val="Überschrift 2 Zchn"/>
    <w:basedOn w:val="Absatz-Standardschriftart"/>
    <w:link w:val="berschrift2"/>
    <w:uiPriority w:val="9"/>
    <w:semiHidden/>
    <w:rsid w:val="00B0732A"/>
    <w:rPr>
      <w:rFonts w:asciiTheme="majorHAnsi" w:eastAsiaTheme="majorEastAsia" w:hAnsiTheme="majorHAnsi" w:cstheme="majorBidi"/>
      <w:color w:val="2F5496" w:themeColor="accent1" w:themeShade="BF"/>
      <w:sz w:val="26"/>
      <w:szCs w:val="26"/>
    </w:rPr>
  </w:style>
  <w:style w:type="paragraph" w:styleId="berarbeitung">
    <w:name w:val="Revision"/>
    <w:hidden/>
    <w:uiPriority w:val="99"/>
    <w:semiHidden/>
    <w:rsid w:val="003C77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37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ma.schymanski@uni.lu"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begona.talavera@uni.lu"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owncloud.lcsb.uni.lu/s/dKKjSzrMhUNGkf5"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8D66A-0565-43DD-BCB7-6EC251D01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4332</Words>
  <Characters>27294</Characters>
  <Application>Microsoft Office Word</Application>
  <DocSecurity>0</DocSecurity>
  <Lines>227</Lines>
  <Paragraphs>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TALAVERA ANDUJAR BEGOÑA</dc:creator>
  <cp:keywords/>
  <dc:description/>
  <cp:lastModifiedBy>elkes</cp:lastModifiedBy>
  <cp:revision>4</cp:revision>
  <dcterms:created xsi:type="dcterms:W3CDTF">2022-06-28T11:43:00Z</dcterms:created>
  <dcterms:modified xsi:type="dcterms:W3CDTF">2022-06-28T11:55:00Z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zotero-version="6.0.4"&gt;&lt;session id="H2pHXVlb"/&gt;&lt;style id="http://www.zotero.org/styles/analytical-and-bioanalytical-chemistry" hasBibliography="1" bibliographyStyleHasBeenSet="1"/&gt;&lt;prefs&gt;&lt;pref name="fieldType" value="Field"/&gt;&lt;pref n</vt:lpwstr>
  </property>
  <property fmtid="{D5CDD505-2E9C-101B-9397-08002B2CF9AE}" pid="3" name="ZOTERO_PREF_2">
    <vt:lpwstr>ame="automaticJournalAbbreviations" value="true"/&gt;&lt;/prefs&gt;&lt;/data&gt;</vt:lpwstr>
  </property>
</Properties>
</file>