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606806C0" w:rsidR="00CE6EAA" w:rsidRPr="00BF1BF9" w:rsidRDefault="00763ACF" w:rsidP="00FF3503">
      <w:pPr>
        <w:spacing w:before="100" w:beforeAutospacing="1" w:after="100" w:afterAutospacing="1"/>
        <w:jc w:val="center"/>
        <w:rPr>
          <w:rFonts w:ascii="Myriad Pro" w:hAnsi="Myriad Pro"/>
          <w:i/>
          <w:sz w:val="22"/>
          <w:szCs w:val="22"/>
        </w:rPr>
      </w:pPr>
      <w:r w:rsidRPr="00913D9B">
        <w:rPr>
          <w:rFonts w:ascii="TimesNewRomanPSMT" w:hAnsi="TimesNewRomanPSMT"/>
          <w:sz w:val="20"/>
        </w:rPr>
        <w:t>Journal of Geophysical Research: Solid Earth</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336DA229" w14:textId="77777777" w:rsidR="00763ACF" w:rsidRDefault="00763ACF" w:rsidP="00763ACF">
      <w:pPr>
        <w:jc w:val="center"/>
        <w:rPr>
          <w:b/>
          <w:bCs/>
          <w:color w:val="000000" w:themeColor="text1"/>
        </w:rPr>
      </w:pPr>
      <w:r>
        <w:rPr>
          <w:b/>
          <w:bCs/>
          <w:color w:val="000000" w:themeColor="text1"/>
        </w:rPr>
        <w:t xml:space="preserve">From long- to short-term inter-plate coupling at </w:t>
      </w:r>
      <w:r w:rsidRPr="00182B1D">
        <w:rPr>
          <w:b/>
          <w:bCs/>
          <w:color w:val="000000" w:themeColor="text1"/>
        </w:rPr>
        <w:t xml:space="preserve">the </w:t>
      </w:r>
      <w:r>
        <w:rPr>
          <w:b/>
          <w:bCs/>
          <w:color w:val="000000" w:themeColor="text1"/>
        </w:rPr>
        <w:t>subducted Carnegie Ridge crest, offshore C</w:t>
      </w:r>
      <w:r w:rsidRPr="00182B1D">
        <w:rPr>
          <w:b/>
          <w:bCs/>
          <w:color w:val="000000" w:themeColor="text1"/>
        </w:rPr>
        <w:t>entral Ecuador</w:t>
      </w:r>
    </w:p>
    <w:p w14:paraId="12923E70" w14:textId="77777777" w:rsidR="002104EC" w:rsidRDefault="002104EC" w:rsidP="00BC7522">
      <w:pPr>
        <w:spacing w:before="100" w:beforeAutospacing="1" w:after="100" w:afterAutospacing="1"/>
        <w:jc w:val="center"/>
      </w:pPr>
    </w:p>
    <w:p w14:paraId="0438AF0C" w14:textId="77777777" w:rsidR="00802F73" w:rsidRPr="00403C2E" w:rsidRDefault="00802F73" w:rsidP="00802F73">
      <w:pPr>
        <w:jc w:val="center"/>
      </w:pPr>
      <w:r w:rsidRPr="005B09A4">
        <w:t>J-Y Collot</w:t>
      </w:r>
      <w:r w:rsidRPr="00FB4881">
        <w:rPr>
          <w:vertAlign w:val="superscript"/>
        </w:rPr>
        <w:t>1</w:t>
      </w:r>
      <w:r w:rsidRPr="005B09A4">
        <w:t xml:space="preserve">, J-N. </w:t>
      </w:r>
      <w:r w:rsidRPr="00802F73">
        <w:rPr>
          <w:lang w:val="fr-FR"/>
        </w:rPr>
        <w:t>Proust</w:t>
      </w:r>
      <w:r w:rsidRPr="00802F73">
        <w:rPr>
          <w:vertAlign w:val="superscript"/>
          <w:lang w:val="fr-FR"/>
        </w:rPr>
        <w:t>2</w:t>
      </w:r>
      <w:r w:rsidRPr="00802F73">
        <w:rPr>
          <w:lang w:val="fr-FR"/>
        </w:rPr>
        <w:t>, J-M Nocquet</w:t>
      </w:r>
      <w:r w:rsidRPr="00802F73">
        <w:rPr>
          <w:vertAlign w:val="superscript"/>
          <w:lang w:val="fr-FR"/>
        </w:rPr>
        <w:t>1,3</w:t>
      </w:r>
      <w:r w:rsidRPr="00802F73">
        <w:rPr>
          <w:lang w:val="fr-FR"/>
        </w:rPr>
        <w:t>, C. Martillo</w:t>
      </w:r>
      <w:r w:rsidRPr="00802F73">
        <w:rPr>
          <w:vertAlign w:val="superscript"/>
          <w:lang w:val="fr-FR"/>
        </w:rPr>
        <w:t>4</w:t>
      </w:r>
      <w:r w:rsidRPr="00802F73">
        <w:rPr>
          <w:lang w:val="fr-FR"/>
        </w:rPr>
        <w:t>, F. Michaud</w:t>
      </w:r>
      <w:r w:rsidRPr="00802F73">
        <w:rPr>
          <w:vertAlign w:val="superscript"/>
          <w:lang w:val="fr-FR"/>
        </w:rPr>
        <w:t>1,5</w:t>
      </w:r>
      <w:r w:rsidRPr="00802F73">
        <w:rPr>
          <w:lang w:val="fr-FR"/>
        </w:rPr>
        <w:t xml:space="preserve">, J-F. </w:t>
      </w:r>
      <w:r w:rsidRPr="00403C2E">
        <w:t>Lebrun</w:t>
      </w:r>
      <w:r>
        <w:rPr>
          <w:vertAlign w:val="superscript"/>
        </w:rPr>
        <w:t>6</w:t>
      </w:r>
      <w:r w:rsidRPr="00403C2E">
        <w:t>, L. Schenini</w:t>
      </w:r>
      <w:r w:rsidRPr="00403C2E">
        <w:rPr>
          <w:vertAlign w:val="superscript"/>
        </w:rPr>
        <w:t>1</w:t>
      </w:r>
      <w:r w:rsidRPr="00403C2E">
        <w:t>, S. Popescu</w:t>
      </w:r>
      <w:r>
        <w:rPr>
          <w:vertAlign w:val="superscript"/>
        </w:rPr>
        <w:t>7</w:t>
      </w:r>
      <w:r w:rsidRPr="00403C2E">
        <w:t>, M-J. Hernandez</w:t>
      </w:r>
      <w:r>
        <w:rPr>
          <w:vertAlign w:val="superscript"/>
        </w:rPr>
        <w:t>8</w:t>
      </w:r>
      <w:r w:rsidRPr="00403C2E">
        <w:t xml:space="preserve"> and G. Ratzov</w:t>
      </w:r>
      <w:r w:rsidRPr="00403C2E">
        <w:rPr>
          <w:vertAlign w:val="superscript"/>
        </w:rPr>
        <w:t>1</w:t>
      </w:r>
      <w:r w:rsidRPr="00403C2E">
        <w:t>.</w:t>
      </w:r>
    </w:p>
    <w:p w14:paraId="239BF001" w14:textId="77777777" w:rsidR="002104EC" w:rsidRPr="004930F7" w:rsidRDefault="002104EC" w:rsidP="00763ACF">
      <w:pPr>
        <w:spacing w:line="276" w:lineRule="auto"/>
        <w:ind w:firstLine="284"/>
        <w:jc w:val="both"/>
        <w:rPr>
          <w:vertAlign w:val="superscript"/>
        </w:rPr>
      </w:pPr>
    </w:p>
    <w:p w14:paraId="7F620F9B" w14:textId="77777777" w:rsidR="002104EC" w:rsidRPr="004930F7" w:rsidRDefault="002104EC" w:rsidP="00763ACF">
      <w:pPr>
        <w:spacing w:line="276" w:lineRule="auto"/>
        <w:ind w:firstLine="284"/>
        <w:jc w:val="both"/>
        <w:rPr>
          <w:vertAlign w:val="superscript"/>
        </w:rPr>
      </w:pPr>
    </w:p>
    <w:p w14:paraId="0E7D7DFC" w14:textId="77777777" w:rsidR="00802F73" w:rsidRPr="00802F73" w:rsidRDefault="00802F73" w:rsidP="00802F73">
      <w:pPr>
        <w:spacing w:line="276" w:lineRule="auto"/>
        <w:ind w:firstLine="284"/>
        <w:jc w:val="both"/>
        <w:rPr>
          <w:lang w:val="fr-FR"/>
        </w:rPr>
      </w:pPr>
      <w:r w:rsidRPr="00802F73">
        <w:rPr>
          <w:vertAlign w:val="superscript"/>
          <w:lang w:val="fr-FR"/>
        </w:rPr>
        <w:t xml:space="preserve">1 </w:t>
      </w:r>
      <w:r w:rsidRPr="00802F73">
        <w:rPr>
          <w:lang w:val="fr-FR"/>
        </w:rPr>
        <w:t>Université Côte d’Azur, IRD, CNRS, Observatoire de la Côte d’Azur, Geoazur, F06560 Valbonne, France.</w:t>
      </w:r>
    </w:p>
    <w:p w14:paraId="7F56E51D" w14:textId="6668E259" w:rsidR="00802F73" w:rsidRPr="00802F73" w:rsidRDefault="00802F73" w:rsidP="00802F73">
      <w:pPr>
        <w:spacing w:line="276" w:lineRule="auto"/>
        <w:ind w:firstLine="284"/>
        <w:jc w:val="both"/>
        <w:rPr>
          <w:lang w:val="fr-FR"/>
        </w:rPr>
      </w:pPr>
      <w:r w:rsidRPr="00802F73">
        <w:rPr>
          <w:vertAlign w:val="superscript"/>
          <w:lang w:val="fr-FR"/>
        </w:rPr>
        <w:t xml:space="preserve">2 </w:t>
      </w:r>
      <w:r w:rsidRPr="00802F73">
        <w:rPr>
          <w:lang w:val="fr-FR"/>
        </w:rPr>
        <w:t>Université de Rennes, CNRS, Géosciences</w:t>
      </w:r>
      <w:r w:rsidR="00C0051B">
        <w:rPr>
          <w:lang w:val="fr-FR"/>
        </w:rPr>
        <w:t>-Rennes</w:t>
      </w:r>
      <w:r w:rsidRPr="00802F73">
        <w:rPr>
          <w:lang w:val="fr-FR"/>
        </w:rPr>
        <w:t>, F-35000 Rennes, France.</w:t>
      </w:r>
    </w:p>
    <w:p w14:paraId="43A08F0F" w14:textId="77777777" w:rsidR="00802F73" w:rsidRPr="003A3C42" w:rsidRDefault="00802F73" w:rsidP="00802F73">
      <w:pPr>
        <w:ind w:firstLine="284"/>
        <w:contextualSpacing/>
        <w:rPr>
          <w:lang w:val="fr-FR"/>
        </w:rPr>
      </w:pPr>
      <w:r w:rsidRPr="00802F73">
        <w:rPr>
          <w:vertAlign w:val="superscript"/>
          <w:lang w:val="fr-FR"/>
        </w:rPr>
        <w:t>3</w:t>
      </w:r>
      <w:r w:rsidRPr="00802F73">
        <w:rPr>
          <w:lang w:val="fr-FR"/>
        </w:rPr>
        <w:t xml:space="preserve"> </w:t>
      </w:r>
      <w:r w:rsidRPr="00802F73">
        <w:rPr>
          <w:szCs w:val="24"/>
          <w:lang w:val="fr-FR"/>
        </w:rPr>
        <w:t>I</w:t>
      </w:r>
      <w:r w:rsidRPr="003A3C42">
        <w:rPr>
          <w:szCs w:val="24"/>
          <w:lang w:val="fr-FR"/>
        </w:rPr>
        <w:t xml:space="preserve">nstitut de Physique du Globe de Paris, Sorbonne Paris Cité, </w:t>
      </w:r>
      <w:proofErr w:type="spellStart"/>
      <w:r w:rsidRPr="003A3C42">
        <w:rPr>
          <w:szCs w:val="24"/>
          <w:lang w:val="fr-FR"/>
        </w:rPr>
        <w:t>Universite</w:t>
      </w:r>
      <w:proofErr w:type="spellEnd"/>
      <w:r w:rsidRPr="003A3C42">
        <w:rPr>
          <w:szCs w:val="24"/>
          <w:lang w:val="fr-FR"/>
        </w:rPr>
        <w:t xml:space="preserve">́ Paris Diderot, UMR 7154 CNRS, Paris, France </w:t>
      </w:r>
    </w:p>
    <w:p w14:paraId="019D004E" w14:textId="77777777" w:rsidR="00802F73" w:rsidRPr="00F655D5" w:rsidRDefault="00802F73" w:rsidP="00802F73">
      <w:pPr>
        <w:spacing w:line="276" w:lineRule="auto"/>
        <w:ind w:firstLine="284"/>
        <w:jc w:val="both"/>
        <w:rPr>
          <w:lang w:val="es-ES"/>
        </w:rPr>
      </w:pPr>
      <w:r>
        <w:rPr>
          <w:vertAlign w:val="superscript"/>
          <w:lang w:val="es-ES"/>
        </w:rPr>
        <w:t>4</w:t>
      </w:r>
      <w:r w:rsidRPr="00F655D5">
        <w:rPr>
          <w:vertAlign w:val="superscript"/>
          <w:lang w:val="es-ES"/>
        </w:rPr>
        <w:t xml:space="preserve"> </w:t>
      </w:r>
      <w:proofErr w:type="gramStart"/>
      <w:r w:rsidRPr="00F655D5">
        <w:rPr>
          <w:lang w:val="es-ES"/>
        </w:rPr>
        <w:t>Escuela</w:t>
      </w:r>
      <w:proofErr w:type="gramEnd"/>
      <w:r w:rsidRPr="00F655D5">
        <w:rPr>
          <w:lang w:val="es-ES"/>
        </w:rPr>
        <w:t xml:space="preserve"> Superior Politécnica del Litoral, GEMAC-FIMCM-CADS, P.O. Box 09-01-5863, Guayaquil, Ecuador </w:t>
      </w:r>
    </w:p>
    <w:p w14:paraId="7F21593E" w14:textId="77777777" w:rsidR="00802F73" w:rsidRPr="00802F73" w:rsidRDefault="00802F73" w:rsidP="00802F73">
      <w:pPr>
        <w:spacing w:line="276" w:lineRule="auto"/>
        <w:ind w:firstLine="284"/>
        <w:jc w:val="both"/>
        <w:rPr>
          <w:lang w:val="fr-FR"/>
        </w:rPr>
      </w:pPr>
      <w:r w:rsidRPr="00802F73">
        <w:rPr>
          <w:vertAlign w:val="superscript"/>
          <w:lang w:val="fr-FR"/>
        </w:rPr>
        <w:t xml:space="preserve">5 </w:t>
      </w:r>
      <w:r w:rsidRPr="00802F73">
        <w:rPr>
          <w:lang w:val="fr-FR"/>
        </w:rPr>
        <w:t>Sorbonne Université, Institut des Sciences de la Terre, 75252, PARIS cedex 05, France</w:t>
      </w:r>
    </w:p>
    <w:p w14:paraId="3D69A679" w14:textId="77777777" w:rsidR="00802F73" w:rsidRPr="00802F73" w:rsidRDefault="00802F73" w:rsidP="00802F73">
      <w:pPr>
        <w:ind w:firstLine="284"/>
        <w:rPr>
          <w:lang w:val="fr-FR"/>
        </w:rPr>
      </w:pPr>
      <w:r w:rsidRPr="00802F73">
        <w:rPr>
          <w:vertAlign w:val="superscript"/>
          <w:lang w:val="fr-FR"/>
        </w:rPr>
        <w:t>6</w:t>
      </w:r>
      <w:r w:rsidRPr="00802F73">
        <w:rPr>
          <w:lang w:val="fr-FR"/>
        </w:rPr>
        <w:t>Geosciences Montpellier, Université des Antilles, Université de Montpellier, CNRS, Pointe à Pitre, Guadeloupe (FWI)</w:t>
      </w:r>
    </w:p>
    <w:p w14:paraId="19243438" w14:textId="77777777" w:rsidR="00802F73" w:rsidRPr="00802F73" w:rsidRDefault="00802F73" w:rsidP="00802F73">
      <w:pPr>
        <w:spacing w:line="276" w:lineRule="auto"/>
        <w:ind w:firstLine="284"/>
        <w:jc w:val="both"/>
        <w:rPr>
          <w:lang w:val="fr-FR"/>
        </w:rPr>
      </w:pPr>
      <w:r w:rsidRPr="00802F73">
        <w:rPr>
          <w:vertAlign w:val="superscript"/>
          <w:lang w:val="fr-FR"/>
        </w:rPr>
        <w:t>7</w:t>
      </w:r>
      <w:r w:rsidRPr="00802F73">
        <w:rPr>
          <w:lang w:val="fr-FR"/>
        </w:rPr>
        <w:t xml:space="preserve"> Geobiostratdata.Consulting, 69140, Rillieux la Pape, France</w:t>
      </w:r>
    </w:p>
    <w:p w14:paraId="1CF40E08" w14:textId="77777777" w:rsidR="00802F73" w:rsidRPr="00F655D5" w:rsidRDefault="00802F73" w:rsidP="00802F73">
      <w:pPr>
        <w:spacing w:line="276" w:lineRule="auto"/>
        <w:ind w:firstLine="284"/>
        <w:jc w:val="both"/>
        <w:rPr>
          <w:lang w:val="es-ES"/>
        </w:rPr>
      </w:pPr>
      <w:r>
        <w:rPr>
          <w:vertAlign w:val="superscript"/>
          <w:lang w:val="es-ES"/>
        </w:rPr>
        <w:t>8</w:t>
      </w:r>
      <w:r w:rsidRPr="00F655D5">
        <w:rPr>
          <w:lang w:val="es-ES"/>
        </w:rPr>
        <w:t xml:space="preserve"> </w:t>
      </w:r>
      <w:proofErr w:type="gramStart"/>
      <w:r w:rsidRPr="00F655D5">
        <w:rPr>
          <w:lang w:val="es-ES"/>
        </w:rPr>
        <w:t>Escuela</w:t>
      </w:r>
      <w:proofErr w:type="gramEnd"/>
      <w:r w:rsidRPr="00F655D5">
        <w:rPr>
          <w:lang w:val="es-ES"/>
        </w:rPr>
        <w:t xml:space="preserve"> Politécnica Nacional, Departamento de Geológica, </w:t>
      </w:r>
      <w:r>
        <w:rPr>
          <w:lang w:val="es-ES"/>
        </w:rPr>
        <w:t xml:space="preserve">Ladrón de Guevara E11-253, </w:t>
      </w:r>
      <w:r w:rsidRPr="00F655D5">
        <w:rPr>
          <w:lang w:val="es-ES"/>
        </w:rPr>
        <w:t>Quito, Ecuador</w:t>
      </w:r>
    </w:p>
    <w:p w14:paraId="18B316A6" w14:textId="6FFDB154" w:rsidR="00BC7522" w:rsidRDefault="00BC7522" w:rsidP="00BC7522">
      <w:pPr>
        <w:spacing w:before="100" w:beforeAutospacing="1" w:after="100" w:afterAutospacing="1"/>
        <w:rPr>
          <w:rFonts w:ascii="Myriad Pro" w:hAnsi="Myriad Pro"/>
          <w:sz w:val="22"/>
          <w:szCs w:val="22"/>
          <w:lang w:val="es-ES"/>
        </w:rPr>
      </w:pPr>
    </w:p>
    <w:p w14:paraId="616CA53A" w14:textId="77777777" w:rsidR="002104EC" w:rsidRPr="00763ACF" w:rsidRDefault="002104EC" w:rsidP="00BC7522">
      <w:pPr>
        <w:spacing w:before="100" w:beforeAutospacing="1" w:after="100" w:afterAutospacing="1"/>
        <w:rPr>
          <w:rFonts w:ascii="Myriad Pro" w:hAnsi="Myriad Pro"/>
          <w:sz w:val="22"/>
          <w:szCs w:val="22"/>
          <w:lang w:val="es-ES"/>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77860D71" w:rsidR="00111843" w:rsidRPr="00CE6EAA" w:rsidRDefault="00111843" w:rsidP="00111843">
      <w:pPr>
        <w:ind w:left="720"/>
        <w:rPr>
          <w:rFonts w:ascii="Myriad Pro" w:hAnsi="Myriad Pro"/>
          <w:sz w:val="22"/>
          <w:szCs w:val="22"/>
        </w:rPr>
      </w:pPr>
      <w:r w:rsidRPr="00CE6EAA">
        <w:rPr>
          <w:rFonts w:ascii="Myriad Pro" w:hAnsi="Myriad Pro"/>
          <w:sz w:val="22"/>
          <w:szCs w:val="22"/>
        </w:rPr>
        <w:t>Text S1</w:t>
      </w:r>
    </w:p>
    <w:p w14:paraId="10640459" w14:textId="66C8941F"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763ACF">
        <w:rPr>
          <w:rFonts w:ascii="Myriad Pro" w:hAnsi="Myriad Pro"/>
          <w:sz w:val="22"/>
          <w:szCs w:val="22"/>
        </w:rPr>
        <w:t>5</w:t>
      </w:r>
    </w:p>
    <w:p w14:paraId="53CBAB27" w14:textId="3C4D4072" w:rsidR="00AE548F" w:rsidRDefault="00111843" w:rsidP="00111843">
      <w:pPr>
        <w:ind w:left="720"/>
        <w:rPr>
          <w:rFonts w:ascii="Myriad Pro" w:hAnsi="Myriad Pro"/>
        </w:rPr>
        <w:sectPr w:rsidR="00AE548F" w:rsidSect="00F125EE">
          <w:headerReference w:type="default" r:id="rId8"/>
          <w:footerReference w:type="even" r:id="rId9"/>
          <w:footerReference w:type="default" r:id="rId10"/>
          <w:pgSz w:w="12240" w:h="15840"/>
          <w:pgMar w:top="1440" w:right="1800" w:bottom="1440" w:left="1800" w:header="720" w:footer="720" w:gutter="0"/>
          <w:pgNumType w:start="1"/>
          <w:cols w:space="720"/>
          <w:docGrid w:linePitch="360"/>
        </w:sectPr>
      </w:pPr>
      <w:r w:rsidRPr="00CE6EAA">
        <w:rPr>
          <w:rFonts w:ascii="Myriad Pro" w:hAnsi="Myriad Pro"/>
          <w:sz w:val="22"/>
          <w:szCs w:val="22"/>
        </w:rPr>
        <w:t>Tables S1 to S</w:t>
      </w:r>
      <w:r w:rsidR="00763ACF">
        <w:rPr>
          <w:rFonts w:ascii="Myriad Pro" w:hAnsi="Myriad Pro"/>
          <w:sz w:val="22"/>
          <w:szCs w:val="22"/>
        </w:rPr>
        <w:t>2</w:t>
      </w:r>
      <w:r w:rsidR="00AA76F3">
        <w:rPr>
          <w:rFonts w:ascii="Myriad Pro" w:hAnsi="Myriad Pro"/>
          <w:sz w:val="22"/>
          <w:szCs w:val="22"/>
        </w:rPr>
        <w:t xml:space="preserve"> </w:t>
      </w:r>
    </w:p>
    <w:p w14:paraId="029A19D7" w14:textId="200B7DA3" w:rsidR="00AE548F" w:rsidRPr="00AE548F" w:rsidRDefault="00015F74" w:rsidP="00AE548F">
      <w:pPr>
        <w:pStyle w:val="SMHeading"/>
        <w:rPr>
          <w:rFonts w:ascii="Myriad Pro" w:hAnsi="Myriad Pro"/>
          <w:sz w:val="22"/>
          <w:szCs w:val="22"/>
        </w:rPr>
      </w:pPr>
      <w:r w:rsidRPr="005314B5">
        <w:rPr>
          <w:rFonts w:ascii="Myriad Pro" w:hAnsi="Myriad Pro"/>
          <w:sz w:val="22"/>
          <w:szCs w:val="22"/>
        </w:rPr>
        <w:lastRenderedPageBreak/>
        <w:t>Text</w:t>
      </w:r>
      <w:r w:rsidR="00D60BB0">
        <w:rPr>
          <w:rFonts w:ascii="Myriad Pro" w:hAnsi="Myriad Pro"/>
          <w:sz w:val="22"/>
          <w:szCs w:val="22"/>
        </w:rPr>
        <w:t xml:space="preserve"> S1.</w:t>
      </w:r>
      <w:r w:rsidR="00AE548F">
        <w:rPr>
          <w:rFonts w:ascii="Myriad Pro" w:hAnsi="Myriad Pro"/>
          <w:sz w:val="22"/>
          <w:szCs w:val="22"/>
        </w:rPr>
        <w:t xml:space="preserve"> </w:t>
      </w:r>
      <w:r w:rsidR="00AE548F" w:rsidRPr="000F149F">
        <w:rPr>
          <w:lang w:val="en-GB"/>
        </w:rPr>
        <w:t>Method and accuracy for</w:t>
      </w:r>
      <w:r w:rsidR="00AE548F">
        <w:rPr>
          <w:lang w:val="en-GB"/>
        </w:rPr>
        <w:t xml:space="preserve"> </w:t>
      </w:r>
      <w:r w:rsidR="00AE548F" w:rsidRPr="000F149F">
        <w:rPr>
          <w:lang w:val="en-GB"/>
        </w:rPr>
        <w:t xml:space="preserve">dating </w:t>
      </w:r>
      <w:r w:rsidR="00AE548F">
        <w:rPr>
          <w:lang w:val="en-GB"/>
        </w:rPr>
        <w:t>sediment in the study area</w:t>
      </w:r>
    </w:p>
    <w:p w14:paraId="6CDDEE13" w14:textId="29AC3F4B" w:rsidR="00AE548F" w:rsidRPr="004E73F5" w:rsidRDefault="00AE548F" w:rsidP="00BC7522">
      <w:pPr>
        <w:pStyle w:val="Paragraphedeliste"/>
        <w:numPr>
          <w:ilvl w:val="0"/>
          <w:numId w:val="19"/>
        </w:numPr>
        <w:spacing w:line="360" w:lineRule="auto"/>
        <w:contextualSpacing/>
        <w:rPr>
          <w:b/>
          <w:bCs/>
          <w:lang w:val="en-GB"/>
        </w:rPr>
      </w:pPr>
      <w:r w:rsidRPr="004E73F5">
        <w:rPr>
          <w:b/>
          <w:bCs/>
          <w:lang w:val="en-GB"/>
        </w:rPr>
        <w:t>Seismic stratigraphy</w:t>
      </w:r>
    </w:p>
    <w:p w14:paraId="19033CBF" w14:textId="77777777" w:rsidR="00AE548F" w:rsidRPr="004D6B3F" w:rsidRDefault="00AE548F" w:rsidP="00AE548F">
      <w:pPr>
        <w:spacing w:line="360" w:lineRule="auto"/>
        <w:jc w:val="both"/>
        <w:rPr>
          <w:bCs/>
          <w:lang w:val="en-GB"/>
        </w:rPr>
      </w:pPr>
      <w:r w:rsidRPr="000F149F">
        <w:rPr>
          <w:sz w:val="22"/>
          <w:szCs w:val="22"/>
          <w:lang w:val="en-GB"/>
        </w:rPr>
        <w:tab/>
      </w:r>
      <w:r w:rsidRPr="000F149F">
        <w:rPr>
          <w:lang w:val="en-GB"/>
        </w:rPr>
        <w:t xml:space="preserve">Seismic units 1, 2 and 3 are composed of a stack of 0.01 to 0.1 </w:t>
      </w:r>
      <w:proofErr w:type="spellStart"/>
      <w:r w:rsidRPr="000F149F">
        <w:rPr>
          <w:lang w:val="en-GB"/>
        </w:rPr>
        <w:t>stwtt</w:t>
      </w:r>
      <w:proofErr w:type="spellEnd"/>
      <w:r w:rsidRPr="000F149F">
        <w:rPr>
          <w:lang w:val="en-GB"/>
        </w:rPr>
        <w:t>–thick elementary seismic sequences bounded by unconformities defined by truncation below and onlap-</w:t>
      </w:r>
      <w:proofErr w:type="spellStart"/>
      <w:r w:rsidRPr="000F149F">
        <w:rPr>
          <w:lang w:val="en-GB"/>
        </w:rPr>
        <w:t>downlap</w:t>
      </w:r>
      <w:proofErr w:type="spellEnd"/>
      <w:r w:rsidRPr="000F149F">
        <w:rPr>
          <w:lang w:val="en-GB"/>
        </w:rPr>
        <w:t xml:space="preserve"> geometries above (</w:t>
      </w:r>
      <w:r w:rsidRPr="007C229B">
        <w:rPr>
          <w:lang w:val="en-GB"/>
        </w:rPr>
        <w:t>Fig. S1 and 4</w:t>
      </w:r>
      <w:r w:rsidRPr="000F149F">
        <w:rPr>
          <w:lang w:val="en-GB"/>
        </w:rPr>
        <w:t xml:space="preserve">). </w:t>
      </w:r>
      <w:r w:rsidRPr="009C01DE">
        <w:rPr>
          <w:bCs/>
          <w:lang w:val="en-GB"/>
        </w:rPr>
        <w:t>The sequences comprise genetically related packages of seismic facies called systems tracts</w:t>
      </w:r>
      <w:r>
        <w:rPr>
          <w:bCs/>
          <w:lang w:val="en-GB"/>
        </w:rPr>
        <w:t xml:space="preserve"> </w:t>
      </w:r>
      <w:r w:rsidRPr="009C01DE">
        <w:rPr>
          <w:bCs/>
          <w:lang w:val="en-GB"/>
        </w:rPr>
        <w:t>(Vail et al., 1977), which register the changes in shoreline trajectories (transgression, T; normal regression, NR; and forced regression, FR). Following the T-R sequences proposed by Embry (1993), we have grouped the set of regressive systems tracts (</w:t>
      </w:r>
      <w:proofErr w:type="spellStart"/>
      <w:r w:rsidRPr="009C01DE">
        <w:rPr>
          <w:bCs/>
          <w:lang w:val="en-GB"/>
        </w:rPr>
        <w:t>Highstand</w:t>
      </w:r>
      <w:proofErr w:type="spellEnd"/>
      <w:r w:rsidRPr="009C01DE">
        <w:rPr>
          <w:bCs/>
          <w:lang w:val="en-GB"/>
        </w:rPr>
        <w:t xml:space="preserve">, Falling-Stage, and </w:t>
      </w:r>
      <w:proofErr w:type="spellStart"/>
      <w:r w:rsidRPr="009C01DE">
        <w:rPr>
          <w:bCs/>
          <w:lang w:val="en-GB"/>
        </w:rPr>
        <w:t>Lowstand</w:t>
      </w:r>
      <w:proofErr w:type="spellEnd"/>
      <w:r w:rsidRPr="009C01DE">
        <w:rPr>
          <w:bCs/>
          <w:lang w:val="en-GB"/>
        </w:rPr>
        <w:t>) in a “Regressive Systems Tract”</w:t>
      </w:r>
      <w:r>
        <w:rPr>
          <w:bCs/>
          <w:lang w:val="en-GB"/>
        </w:rPr>
        <w:t>,</w:t>
      </w:r>
      <w:r w:rsidRPr="009C01DE">
        <w:rPr>
          <w:bCs/>
          <w:lang w:val="en-GB"/>
        </w:rPr>
        <w:t xml:space="preserve"> and the transgressive </w:t>
      </w:r>
      <w:r>
        <w:rPr>
          <w:bCs/>
          <w:lang w:val="en-GB"/>
        </w:rPr>
        <w:t>s</w:t>
      </w:r>
      <w:r w:rsidRPr="009C01DE">
        <w:rPr>
          <w:bCs/>
          <w:lang w:val="en-GB"/>
        </w:rPr>
        <w:t>ystems tracts in the “Transgressive Systems Tract”</w:t>
      </w:r>
      <w:r>
        <w:rPr>
          <w:bCs/>
          <w:lang w:val="en-GB"/>
        </w:rPr>
        <w:t>.</w:t>
      </w:r>
      <w:r w:rsidRPr="009C01DE">
        <w:rPr>
          <w:bCs/>
          <w:lang w:val="en-GB"/>
        </w:rPr>
        <w:t xml:space="preserve"> </w:t>
      </w:r>
      <w:r>
        <w:rPr>
          <w:bCs/>
          <w:lang w:val="en-GB"/>
        </w:rPr>
        <w:t>T</w:t>
      </w:r>
      <w:r w:rsidRPr="009C01DE">
        <w:rPr>
          <w:bCs/>
          <w:lang w:val="en-GB"/>
        </w:rPr>
        <w:t>he limit</w:t>
      </w:r>
      <w:r>
        <w:rPr>
          <w:bCs/>
          <w:lang w:val="en-GB"/>
        </w:rPr>
        <w:t>s</w:t>
      </w:r>
      <w:r w:rsidRPr="009C01DE">
        <w:rPr>
          <w:bCs/>
          <w:lang w:val="en-GB"/>
        </w:rPr>
        <w:t xml:space="preserve"> of T-R sequences</w:t>
      </w:r>
      <w:r w:rsidRPr="000E713F">
        <w:rPr>
          <w:bCs/>
          <w:lang w:val="en-GB"/>
        </w:rPr>
        <w:t xml:space="preserve"> </w:t>
      </w:r>
      <w:r>
        <w:rPr>
          <w:bCs/>
          <w:lang w:val="en-GB"/>
        </w:rPr>
        <w:t xml:space="preserve">are </w:t>
      </w:r>
      <w:r w:rsidRPr="009C01DE">
        <w:rPr>
          <w:bCs/>
          <w:lang w:val="en-GB"/>
        </w:rPr>
        <w:t>locat</w:t>
      </w:r>
      <w:r>
        <w:rPr>
          <w:bCs/>
          <w:lang w:val="en-GB"/>
        </w:rPr>
        <w:t>ed</w:t>
      </w:r>
      <w:r w:rsidRPr="009C01DE">
        <w:rPr>
          <w:bCs/>
          <w:lang w:val="en-GB"/>
        </w:rPr>
        <w:t xml:space="preserve"> on </w:t>
      </w:r>
      <w:r>
        <w:rPr>
          <w:bCs/>
          <w:lang w:val="en-GB"/>
        </w:rPr>
        <w:t>maximum regressive surfaces</w:t>
      </w:r>
      <w:r w:rsidRPr="009C01DE">
        <w:rPr>
          <w:bCs/>
          <w:lang w:val="en-GB"/>
        </w:rPr>
        <w:t xml:space="preserve">. </w:t>
      </w:r>
      <w:r>
        <w:rPr>
          <w:bCs/>
          <w:lang w:val="en-GB"/>
        </w:rPr>
        <w:t>The</w:t>
      </w:r>
      <w:r w:rsidRPr="009C01DE">
        <w:rPr>
          <w:bCs/>
          <w:lang w:val="en-GB"/>
        </w:rPr>
        <w:t xml:space="preserve"> </w:t>
      </w:r>
      <w:r>
        <w:rPr>
          <w:bCs/>
          <w:lang w:val="en-GB"/>
        </w:rPr>
        <w:t xml:space="preserve">interpretation of unit 1 </w:t>
      </w:r>
      <w:r w:rsidRPr="009C01DE">
        <w:rPr>
          <w:bCs/>
          <w:lang w:val="en-GB"/>
        </w:rPr>
        <w:t xml:space="preserve">seismic facies and systems tracts </w:t>
      </w:r>
      <w:r>
        <w:rPr>
          <w:bCs/>
          <w:lang w:val="en-GB"/>
        </w:rPr>
        <w:t xml:space="preserve">can be found </w:t>
      </w:r>
      <w:r w:rsidRPr="009C01DE">
        <w:rPr>
          <w:bCs/>
          <w:lang w:val="en-GB"/>
        </w:rPr>
        <w:t>in Proust et al.</w:t>
      </w:r>
      <w:r>
        <w:rPr>
          <w:bCs/>
          <w:lang w:val="en-GB"/>
        </w:rPr>
        <w:t xml:space="preserve"> (2016) from two high-resolution seismic lines collected on the Manta-La Plata shelf, </w:t>
      </w:r>
      <w:r w:rsidRPr="00E06361">
        <w:rPr>
          <w:bCs/>
          <w:lang w:val="en-GB"/>
        </w:rPr>
        <w:t>~ 60 km south of our study area</w:t>
      </w:r>
      <w:r>
        <w:rPr>
          <w:bCs/>
          <w:lang w:val="en-GB"/>
        </w:rPr>
        <w:t>.</w:t>
      </w:r>
    </w:p>
    <w:p w14:paraId="2C3E2250" w14:textId="77777777" w:rsidR="00AE548F" w:rsidRPr="000F149F" w:rsidRDefault="00AE548F" w:rsidP="00AE548F">
      <w:pPr>
        <w:spacing w:line="360" w:lineRule="auto"/>
        <w:ind w:firstLine="360"/>
        <w:jc w:val="both"/>
        <w:rPr>
          <w:lang w:val="en-GB"/>
        </w:rPr>
      </w:pPr>
      <w:r>
        <w:rPr>
          <w:lang w:val="en-GB"/>
        </w:rPr>
        <w:t>I</w:t>
      </w:r>
      <w:r w:rsidRPr="000F149F">
        <w:rPr>
          <w:lang w:val="en-GB"/>
        </w:rPr>
        <w:t>n the study area</w:t>
      </w:r>
      <w:r>
        <w:rPr>
          <w:lang w:val="en-GB"/>
        </w:rPr>
        <w:t>, T-R s</w:t>
      </w:r>
      <w:r w:rsidRPr="000F149F">
        <w:rPr>
          <w:lang w:val="en-GB"/>
        </w:rPr>
        <w:t xml:space="preserve">equences within unit 1, 2 and </w:t>
      </w:r>
      <w:r>
        <w:rPr>
          <w:lang w:val="en-GB"/>
        </w:rPr>
        <w:t xml:space="preserve">the upper </w:t>
      </w:r>
      <w:r w:rsidRPr="000F149F">
        <w:rPr>
          <w:lang w:val="en-GB"/>
        </w:rPr>
        <w:t xml:space="preserve">part of </w:t>
      </w:r>
      <w:r>
        <w:rPr>
          <w:lang w:val="en-GB"/>
        </w:rPr>
        <w:t xml:space="preserve">unit </w:t>
      </w:r>
      <w:r w:rsidRPr="000F149F">
        <w:rPr>
          <w:lang w:val="en-GB"/>
        </w:rPr>
        <w:t xml:space="preserve">3 were identified on both </w:t>
      </w:r>
      <w:r>
        <w:rPr>
          <w:lang w:val="en-GB"/>
        </w:rPr>
        <w:t xml:space="preserve">high-resolution </w:t>
      </w:r>
      <w:proofErr w:type="spellStart"/>
      <w:r w:rsidRPr="000F149F">
        <w:rPr>
          <w:lang w:val="en-GB"/>
        </w:rPr>
        <w:t>Atacames</w:t>
      </w:r>
      <w:proofErr w:type="spellEnd"/>
      <w:r>
        <w:rPr>
          <w:lang w:val="en-GB"/>
        </w:rPr>
        <w:t>,</w:t>
      </w:r>
      <w:r w:rsidRPr="000F149F">
        <w:rPr>
          <w:lang w:val="en-GB"/>
        </w:rPr>
        <w:t xml:space="preserve"> and SCAN industrial seismic data, whereas deeper unit 3 </w:t>
      </w:r>
      <w:r>
        <w:rPr>
          <w:lang w:val="en-GB"/>
        </w:rPr>
        <w:t xml:space="preserve">elementary </w:t>
      </w:r>
      <w:r w:rsidRPr="000F149F">
        <w:rPr>
          <w:lang w:val="en-GB"/>
        </w:rPr>
        <w:t>sequences could only be picked up on line SCAN 888 (</w:t>
      </w:r>
      <w:r w:rsidRPr="007C229B">
        <w:rPr>
          <w:lang w:val="en-GB"/>
        </w:rPr>
        <w:t>Fig. S1</w:t>
      </w:r>
      <w:r>
        <w:rPr>
          <w:lang w:val="en-GB"/>
        </w:rPr>
        <w:t>)</w:t>
      </w:r>
      <w:r w:rsidRPr="000F149F">
        <w:rPr>
          <w:lang w:val="en-GB"/>
        </w:rPr>
        <w:t>.</w:t>
      </w:r>
      <w:r>
        <w:rPr>
          <w:lang w:val="en-GB"/>
        </w:rPr>
        <w:t xml:space="preserve"> </w:t>
      </w:r>
      <w:r w:rsidRPr="000F149F">
        <w:rPr>
          <w:lang w:val="en-GB"/>
        </w:rPr>
        <w:t>The elementary sequences in unit 1 correlate around the seismic grid in the SW Bahia-Jama depocenter</w:t>
      </w:r>
      <w:r>
        <w:rPr>
          <w:lang w:val="en-GB"/>
        </w:rPr>
        <w:t xml:space="preserve"> (SWBJ)</w:t>
      </w:r>
      <w:r w:rsidRPr="000F149F">
        <w:rPr>
          <w:lang w:val="en-GB"/>
        </w:rPr>
        <w:t xml:space="preserve">. These sequences, which are mostly lacunar on the shelf promontory, were interpreted on the northern flank of the shelf promontory from their identification farther north in the Pedernales Basin. </w:t>
      </w:r>
      <w:r>
        <w:rPr>
          <w:lang w:val="en-GB"/>
        </w:rPr>
        <w:t xml:space="preserve">Although </w:t>
      </w:r>
      <w:r w:rsidRPr="000F149F">
        <w:rPr>
          <w:lang w:val="en-GB"/>
        </w:rPr>
        <w:t xml:space="preserve">units 2 and 3 were identified in </w:t>
      </w:r>
      <w:r>
        <w:rPr>
          <w:lang w:val="en-GB"/>
        </w:rPr>
        <w:t xml:space="preserve">both </w:t>
      </w:r>
      <w:r w:rsidRPr="000F149F">
        <w:rPr>
          <w:lang w:val="en-GB"/>
        </w:rPr>
        <w:t>the SWBJ depocenter and</w:t>
      </w:r>
      <w:r>
        <w:rPr>
          <w:lang w:val="en-GB"/>
        </w:rPr>
        <w:t xml:space="preserve"> </w:t>
      </w:r>
      <w:r w:rsidRPr="000F149F">
        <w:rPr>
          <w:lang w:val="en-GB"/>
        </w:rPr>
        <w:t>the Pedernales Basin</w:t>
      </w:r>
      <w:r>
        <w:rPr>
          <w:lang w:val="en-GB"/>
        </w:rPr>
        <w:t xml:space="preserve">, their elementary sequences were only picked up in </w:t>
      </w:r>
      <w:r w:rsidRPr="000F149F">
        <w:rPr>
          <w:lang w:val="en-GB"/>
        </w:rPr>
        <w:t>the SW</w:t>
      </w:r>
      <w:r>
        <w:rPr>
          <w:lang w:val="en-GB"/>
        </w:rPr>
        <w:t>BJ</w:t>
      </w:r>
      <w:r w:rsidRPr="000F149F">
        <w:rPr>
          <w:lang w:val="en-GB"/>
        </w:rPr>
        <w:t xml:space="preserve"> depocenter.</w:t>
      </w:r>
      <w:r>
        <w:rPr>
          <w:lang w:val="en-GB"/>
        </w:rPr>
        <w:t xml:space="preserve"> </w:t>
      </w:r>
      <w:r w:rsidRPr="000F149F">
        <w:rPr>
          <w:lang w:val="en-GB"/>
        </w:rPr>
        <w:t xml:space="preserve">In the SWBJ depocenter, the seismic records </w:t>
      </w:r>
      <w:r w:rsidRPr="000E6BBC">
        <w:rPr>
          <w:lang w:val="en-GB"/>
        </w:rPr>
        <w:t xml:space="preserve">indicate 10 T-R seismic sequences in Unit 1 named </w:t>
      </w:r>
      <w:r w:rsidRPr="000E713F">
        <w:rPr>
          <w:lang w:val="en-GB"/>
        </w:rPr>
        <w:t>UTR</w:t>
      </w:r>
      <w:r w:rsidRPr="000E6BBC">
        <w:rPr>
          <w:lang w:val="en-GB"/>
        </w:rPr>
        <w:t xml:space="preserve"> 1 to 10, 5 in Unit 2 named </w:t>
      </w:r>
      <w:r w:rsidRPr="000E713F">
        <w:rPr>
          <w:lang w:val="en-GB"/>
        </w:rPr>
        <w:t>MTR</w:t>
      </w:r>
      <w:r w:rsidRPr="000E6BBC">
        <w:rPr>
          <w:lang w:val="en-GB"/>
        </w:rPr>
        <w:t xml:space="preserve"> A to E, and 19 in</w:t>
      </w:r>
      <w:r w:rsidRPr="000F149F">
        <w:rPr>
          <w:lang w:val="en-GB"/>
        </w:rPr>
        <w:t xml:space="preserve"> Unit 3 named </w:t>
      </w:r>
      <w:r w:rsidRPr="000E713F">
        <w:rPr>
          <w:lang w:val="en-GB"/>
        </w:rPr>
        <w:t>LTR</w:t>
      </w:r>
      <w:r w:rsidRPr="000F149F">
        <w:rPr>
          <w:lang w:val="en-GB"/>
        </w:rPr>
        <w:t xml:space="preserve"> F to X (</w:t>
      </w:r>
      <w:r w:rsidRPr="007C229B">
        <w:rPr>
          <w:lang w:val="en-GB"/>
        </w:rPr>
        <w:t>Fig. S1</w:t>
      </w:r>
      <w:r w:rsidRPr="000F149F">
        <w:rPr>
          <w:lang w:val="en-GB"/>
        </w:rPr>
        <w:t xml:space="preserve">). The sequences were numbered assuming a minimum time gap along their unconformities due to potential erosion. </w:t>
      </w:r>
    </w:p>
    <w:p w14:paraId="66B71002" w14:textId="5DE8E2B1" w:rsidR="00AE548F" w:rsidRPr="00BC7522" w:rsidRDefault="00AE548F" w:rsidP="00BC7522">
      <w:pPr>
        <w:pStyle w:val="Paragraphedeliste"/>
        <w:numPr>
          <w:ilvl w:val="0"/>
          <w:numId w:val="19"/>
        </w:numPr>
        <w:spacing w:line="360" w:lineRule="auto"/>
        <w:contextualSpacing/>
        <w:rPr>
          <w:b/>
          <w:bCs/>
          <w:lang w:val="en-GB"/>
        </w:rPr>
      </w:pPr>
      <w:proofErr w:type="spellStart"/>
      <w:r w:rsidRPr="00BC7522">
        <w:rPr>
          <w:b/>
          <w:bCs/>
          <w:lang w:val="en-GB"/>
        </w:rPr>
        <w:t>Biostratigraphic and radiocarbon</w:t>
      </w:r>
      <w:proofErr w:type="spellEnd"/>
      <w:r w:rsidRPr="00BC7522">
        <w:rPr>
          <w:b/>
          <w:bCs/>
          <w:lang w:val="en-GB"/>
        </w:rPr>
        <w:t xml:space="preserve"> age dating</w:t>
      </w:r>
    </w:p>
    <w:p w14:paraId="17EDF85E" w14:textId="472E36FB" w:rsidR="00AE548F" w:rsidRPr="00BC7522" w:rsidRDefault="00AE548F" w:rsidP="00AE548F">
      <w:pPr>
        <w:spacing w:line="360" w:lineRule="auto"/>
        <w:ind w:firstLine="708"/>
        <w:jc w:val="both"/>
        <w:rPr>
          <w:bCs/>
          <w:lang w:val="en-GB"/>
        </w:rPr>
      </w:pPr>
      <w:r w:rsidRPr="00BC7522">
        <w:rPr>
          <w:bCs/>
          <w:lang w:val="en-GB"/>
        </w:rPr>
        <w:t>2</w:t>
      </w:r>
      <w:r w:rsidR="00BC7522" w:rsidRPr="00BC7522">
        <w:rPr>
          <w:bCs/>
          <w:lang w:val="en-GB"/>
        </w:rPr>
        <w:t>.</w:t>
      </w:r>
      <w:r w:rsidRPr="00BC7522">
        <w:rPr>
          <w:bCs/>
          <w:lang w:val="en-GB"/>
        </w:rPr>
        <w:t>1</w:t>
      </w:r>
      <w:r w:rsidR="00BC7522" w:rsidRPr="00BC7522">
        <w:rPr>
          <w:bCs/>
          <w:lang w:val="en-GB"/>
        </w:rPr>
        <w:t xml:space="preserve">. </w:t>
      </w:r>
      <w:proofErr w:type="spellStart"/>
      <w:r w:rsidRPr="00BC7522">
        <w:rPr>
          <w:bCs/>
          <w:lang w:val="en-GB"/>
        </w:rPr>
        <w:t>Biostratigraphic</w:t>
      </w:r>
      <w:proofErr w:type="spellEnd"/>
      <w:r w:rsidRPr="00BC7522">
        <w:rPr>
          <w:bCs/>
          <w:lang w:val="en-GB"/>
        </w:rPr>
        <w:t xml:space="preserve"> results</w:t>
      </w:r>
    </w:p>
    <w:p w14:paraId="1F5DE73F" w14:textId="77777777" w:rsidR="00AE548F" w:rsidRDefault="00AE548F" w:rsidP="00AE548F">
      <w:pPr>
        <w:spacing w:line="360" w:lineRule="auto"/>
        <w:ind w:firstLine="708"/>
        <w:jc w:val="both"/>
        <w:rPr>
          <w:lang w:val="en-GB"/>
        </w:rPr>
      </w:pPr>
      <w:r>
        <w:rPr>
          <w:lang w:val="en-GB"/>
        </w:rPr>
        <w:t>The seven</w:t>
      </w:r>
      <w:r w:rsidRPr="000F149F">
        <w:rPr>
          <w:lang w:val="en-GB"/>
        </w:rPr>
        <w:t xml:space="preserve"> piston cores available in the study area </w:t>
      </w:r>
      <w:r>
        <w:rPr>
          <w:lang w:val="en-GB"/>
        </w:rPr>
        <w:t>(</w:t>
      </w:r>
      <w:r w:rsidRPr="000F149F">
        <w:rPr>
          <w:lang w:val="en-GB"/>
        </w:rPr>
        <w:t xml:space="preserve">see location map </w:t>
      </w:r>
      <w:r w:rsidRPr="007C229B">
        <w:rPr>
          <w:lang w:val="en-GB"/>
        </w:rPr>
        <w:t xml:space="preserve">Fig. 1c and seismic lines in </w:t>
      </w:r>
      <w:r w:rsidRPr="004E73F5">
        <w:rPr>
          <w:lang w:val="en-GB"/>
        </w:rPr>
        <w:t xml:space="preserve">Fig. </w:t>
      </w:r>
      <w:r>
        <w:rPr>
          <w:lang w:val="en-GB"/>
        </w:rPr>
        <w:t>6</w:t>
      </w:r>
      <w:r w:rsidRPr="004E73F5">
        <w:rPr>
          <w:lang w:val="en-GB"/>
        </w:rPr>
        <w:t xml:space="preserve"> </w:t>
      </w:r>
      <w:r w:rsidRPr="00B81EE5">
        <w:rPr>
          <w:lang w:val="en-GB"/>
        </w:rPr>
        <w:t>and S2</w:t>
      </w:r>
      <w:r>
        <w:rPr>
          <w:lang w:val="en-GB"/>
        </w:rPr>
        <w:t>)</w:t>
      </w:r>
      <w:r w:rsidRPr="004E73F5">
        <w:rPr>
          <w:lang w:val="en-GB"/>
        </w:rPr>
        <w:t xml:space="preserve"> </w:t>
      </w:r>
      <w:r w:rsidRPr="000F149F">
        <w:rPr>
          <w:lang w:val="en-GB"/>
        </w:rPr>
        <w:t>comprise bioclastic silty clays to coarse sands</w:t>
      </w:r>
      <w:r>
        <w:rPr>
          <w:lang w:val="en-GB"/>
        </w:rPr>
        <w:t xml:space="preserve"> (Table S2)</w:t>
      </w:r>
      <w:r w:rsidRPr="000F149F">
        <w:rPr>
          <w:lang w:val="en-GB"/>
        </w:rPr>
        <w:t>. The</w:t>
      </w:r>
      <w:r w:rsidRPr="000F149F">
        <w:rPr>
          <w:spacing w:val="6"/>
          <w:lang w:val="en-GB"/>
        </w:rPr>
        <w:t xml:space="preserve"> selected </w:t>
      </w:r>
      <w:r w:rsidRPr="000F149F">
        <w:rPr>
          <w:lang w:val="en-GB"/>
        </w:rPr>
        <w:t>samples</w:t>
      </w:r>
      <w:r w:rsidRPr="000F149F">
        <w:rPr>
          <w:spacing w:val="6"/>
          <w:lang w:val="en-GB"/>
        </w:rPr>
        <w:t xml:space="preserve"> </w:t>
      </w:r>
      <w:r w:rsidRPr="000F149F">
        <w:rPr>
          <w:lang w:val="en-GB"/>
        </w:rPr>
        <w:t>are</w:t>
      </w:r>
      <w:r w:rsidRPr="000F149F">
        <w:rPr>
          <w:spacing w:val="6"/>
          <w:lang w:val="en-GB"/>
        </w:rPr>
        <w:t xml:space="preserve"> </w:t>
      </w:r>
      <w:r w:rsidRPr="000F149F">
        <w:rPr>
          <w:lang w:val="en-GB"/>
        </w:rPr>
        <w:t>rich</w:t>
      </w:r>
      <w:r w:rsidRPr="000F149F">
        <w:rPr>
          <w:spacing w:val="6"/>
          <w:lang w:val="en-GB"/>
        </w:rPr>
        <w:t xml:space="preserve"> </w:t>
      </w:r>
      <w:r w:rsidRPr="000F149F">
        <w:rPr>
          <w:lang w:val="en-GB"/>
        </w:rPr>
        <w:t>in</w:t>
      </w:r>
      <w:r w:rsidRPr="000F149F">
        <w:rPr>
          <w:spacing w:val="6"/>
          <w:lang w:val="en-GB"/>
        </w:rPr>
        <w:t xml:space="preserve"> </w:t>
      </w:r>
      <w:r w:rsidRPr="000F149F">
        <w:rPr>
          <w:lang w:val="en-GB"/>
        </w:rPr>
        <w:t xml:space="preserve">microfossils, and </w:t>
      </w:r>
      <w:r>
        <w:rPr>
          <w:lang w:val="en-GB"/>
        </w:rPr>
        <w:t xml:space="preserve">were </w:t>
      </w:r>
      <w:r w:rsidRPr="000F149F">
        <w:rPr>
          <w:lang w:val="en-GB"/>
        </w:rPr>
        <w:t>analysed</w:t>
      </w:r>
      <w:r w:rsidRPr="000F149F">
        <w:rPr>
          <w:spacing w:val="4"/>
          <w:lang w:val="en-GB"/>
        </w:rPr>
        <w:t xml:space="preserve"> </w:t>
      </w:r>
      <w:r w:rsidRPr="000F149F">
        <w:rPr>
          <w:lang w:val="en-GB"/>
        </w:rPr>
        <w:t>for</w:t>
      </w:r>
      <w:r w:rsidRPr="000F149F">
        <w:rPr>
          <w:spacing w:val="4"/>
          <w:lang w:val="en-GB"/>
        </w:rPr>
        <w:t xml:space="preserve"> </w:t>
      </w:r>
      <w:r w:rsidRPr="000F149F">
        <w:rPr>
          <w:lang w:val="en-GB"/>
        </w:rPr>
        <w:t>their</w:t>
      </w:r>
      <w:r w:rsidRPr="000F149F">
        <w:rPr>
          <w:spacing w:val="4"/>
          <w:lang w:val="en-GB"/>
        </w:rPr>
        <w:t xml:space="preserve"> </w:t>
      </w:r>
      <w:r w:rsidRPr="000F149F">
        <w:rPr>
          <w:lang w:val="en-GB"/>
        </w:rPr>
        <w:t>planktonic</w:t>
      </w:r>
      <w:r w:rsidRPr="000F149F">
        <w:rPr>
          <w:spacing w:val="4"/>
          <w:lang w:val="en-GB"/>
        </w:rPr>
        <w:t xml:space="preserve"> </w:t>
      </w:r>
      <w:r w:rsidRPr="000F149F">
        <w:rPr>
          <w:lang w:val="en-GB"/>
        </w:rPr>
        <w:t>and</w:t>
      </w:r>
      <w:r w:rsidRPr="000F149F">
        <w:rPr>
          <w:spacing w:val="4"/>
          <w:lang w:val="en-GB"/>
        </w:rPr>
        <w:t xml:space="preserve"> </w:t>
      </w:r>
      <w:r w:rsidRPr="000F149F">
        <w:rPr>
          <w:lang w:val="en-GB"/>
        </w:rPr>
        <w:lastRenderedPageBreak/>
        <w:t>benthic</w:t>
      </w:r>
      <w:r w:rsidRPr="000F149F">
        <w:rPr>
          <w:spacing w:val="4"/>
          <w:lang w:val="en-GB"/>
        </w:rPr>
        <w:t xml:space="preserve"> </w:t>
      </w:r>
      <w:r w:rsidRPr="000F149F">
        <w:rPr>
          <w:lang w:val="en-GB"/>
        </w:rPr>
        <w:t>foraminifer</w:t>
      </w:r>
      <w:r w:rsidRPr="000F149F">
        <w:rPr>
          <w:spacing w:val="4"/>
          <w:lang w:val="en-GB"/>
        </w:rPr>
        <w:t xml:space="preserve"> </w:t>
      </w:r>
      <w:r w:rsidRPr="000F149F">
        <w:rPr>
          <w:lang w:val="en-GB"/>
        </w:rPr>
        <w:t>assemblages</w:t>
      </w:r>
      <w:r w:rsidRPr="000F149F">
        <w:rPr>
          <w:spacing w:val="4"/>
          <w:lang w:val="en-GB"/>
        </w:rPr>
        <w:t xml:space="preserve"> </w:t>
      </w:r>
      <w:r w:rsidRPr="000F149F">
        <w:rPr>
          <w:lang w:val="en-GB"/>
        </w:rPr>
        <w:t>in</w:t>
      </w:r>
      <w:r w:rsidRPr="000F149F">
        <w:rPr>
          <w:spacing w:val="4"/>
          <w:lang w:val="en-GB"/>
        </w:rPr>
        <w:t xml:space="preserve"> </w:t>
      </w:r>
      <w:r w:rsidRPr="000F149F">
        <w:rPr>
          <w:lang w:val="en-GB"/>
        </w:rPr>
        <w:t>order</w:t>
      </w:r>
      <w:r w:rsidRPr="000F149F">
        <w:rPr>
          <w:spacing w:val="4"/>
          <w:lang w:val="en-GB"/>
        </w:rPr>
        <w:t xml:space="preserve"> </w:t>
      </w:r>
      <w:r w:rsidRPr="000F149F">
        <w:rPr>
          <w:lang w:val="en-GB"/>
        </w:rPr>
        <w:t>to provide biostratigraphy and paleoenvironment (Table S2</w:t>
      </w:r>
      <w:r>
        <w:rPr>
          <w:lang w:val="en-GB"/>
        </w:rPr>
        <w:t xml:space="preserve"> and </w:t>
      </w:r>
      <w:r w:rsidRPr="00B81EE5">
        <w:rPr>
          <w:lang w:val="en-GB"/>
        </w:rPr>
        <w:t>Popescu, 2021</w:t>
      </w:r>
      <w:r w:rsidRPr="000F149F">
        <w:rPr>
          <w:lang w:val="en-GB"/>
        </w:rPr>
        <w:t>).</w:t>
      </w:r>
      <w:r>
        <w:rPr>
          <w:lang w:val="en-GB"/>
        </w:rPr>
        <w:t xml:space="preserve"> </w:t>
      </w:r>
      <w:r w:rsidRPr="00E45011">
        <w:rPr>
          <w:lang w:val="en-GB"/>
        </w:rPr>
        <w:t xml:space="preserve">Samples </w:t>
      </w:r>
      <w:r>
        <w:rPr>
          <w:lang w:val="en-GB"/>
        </w:rPr>
        <w:t>collected on</w:t>
      </w:r>
      <w:r w:rsidRPr="00E45011">
        <w:rPr>
          <w:lang w:val="en-GB"/>
        </w:rPr>
        <w:t xml:space="preserve"> the CP </w:t>
      </w:r>
      <w:r>
        <w:rPr>
          <w:lang w:val="en-GB"/>
        </w:rPr>
        <w:t xml:space="preserve">shelf promontory (Fig. 3) from interpreted </w:t>
      </w:r>
      <w:r w:rsidRPr="00E45011">
        <w:rPr>
          <w:lang w:val="en-GB"/>
        </w:rPr>
        <w:t>seismic unit L3b (KAT29 and 24) and</w:t>
      </w:r>
      <w:r>
        <w:rPr>
          <w:lang w:val="en-GB"/>
        </w:rPr>
        <w:t xml:space="preserve"> seismic </w:t>
      </w:r>
      <w:r w:rsidRPr="00E45011">
        <w:rPr>
          <w:lang w:val="en-GB"/>
        </w:rPr>
        <w:t>unit 1 (KAT25</w:t>
      </w:r>
      <w:r>
        <w:rPr>
          <w:lang w:val="en-GB"/>
        </w:rPr>
        <w:t xml:space="preserve"> and 30) </w:t>
      </w:r>
      <w:r w:rsidRPr="00E45011">
        <w:rPr>
          <w:lang w:val="en-GB"/>
        </w:rPr>
        <w:t xml:space="preserve">provide </w:t>
      </w:r>
      <w:r>
        <w:rPr>
          <w:lang w:val="en-GB"/>
        </w:rPr>
        <w:t xml:space="preserve">a </w:t>
      </w:r>
      <w:r w:rsidRPr="00E45011">
        <w:rPr>
          <w:lang w:val="en-GB"/>
        </w:rPr>
        <w:t>Piacenzian</w:t>
      </w:r>
      <w:r>
        <w:rPr>
          <w:lang w:val="en-GB"/>
        </w:rPr>
        <w:t xml:space="preserve"> to </w:t>
      </w:r>
      <w:r w:rsidRPr="00E45011">
        <w:rPr>
          <w:lang w:val="en-GB"/>
        </w:rPr>
        <w:t>Pleistocene</w:t>
      </w:r>
      <w:r>
        <w:rPr>
          <w:lang w:val="en-GB"/>
        </w:rPr>
        <w:t xml:space="preserve"> or Holocene age range</w:t>
      </w:r>
      <w:r w:rsidRPr="00E45011">
        <w:rPr>
          <w:lang w:val="en-GB"/>
        </w:rPr>
        <w:t>.</w:t>
      </w:r>
    </w:p>
    <w:p w14:paraId="707D1F18" w14:textId="77777777" w:rsidR="00AE548F" w:rsidRPr="000F149F" w:rsidRDefault="00AE548F" w:rsidP="00AE548F">
      <w:pPr>
        <w:spacing w:line="360" w:lineRule="auto"/>
        <w:ind w:firstLine="708"/>
        <w:jc w:val="both"/>
        <w:rPr>
          <w:lang w:val="en-GB"/>
        </w:rPr>
      </w:pPr>
      <w:r w:rsidRPr="00E45011">
        <w:rPr>
          <w:lang w:val="en-GB"/>
        </w:rPr>
        <w:t xml:space="preserve">Samples from the </w:t>
      </w:r>
      <w:r>
        <w:rPr>
          <w:lang w:val="en-GB"/>
        </w:rPr>
        <w:t>Manta</w:t>
      </w:r>
      <w:r w:rsidRPr="00E45011">
        <w:rPr>
          <w:lang w:val="en-GB"/>
        </w:rPr>
        <w:t xml:space="preserve"> anticline</w:t>
      </w:r>
      <w:r>
        <w:rPr>
          <w:lang w:val="en-GB"/>
        </w:rPr>
        <w:t xml:space="preserve"> (Fig. S2)</w:t>
      </w:r>
      <w:r w:rsidRPr="00E45011">
        <w:rPr>
          <w:lang w:val="en-GB"/>
        </w:rPr>
        <w:t xml:space="preserve"> provide a </w:t>
      </w:r>
      <w:r w:rsidRPr="000F149F">
        <w:rPr>
          <w:lang w:val="en-GB"/>
        </w:rPr>
        <w:t>Piacenzian-Gelasian</w:t>
      </w:r>
      <w:r>
        <w:rPr>
          <w:lang w:val="en-GB"/>
        </w:rPr>
        <w:t xml:space="preserve"> (~3.6-1.8 Ma) age </w:t>
      </w:r>
      <w:r w:rsidRPr="00E45011">
        <w:rPr>
          <w:lang w:val="en-GB"/>
        </w:rPr>
        <w:t xml:space="preserve">for </w:t>
      </w:r>
      <w:r>
        <w:rPr>
          <w:lang w:val="en-GB"/>
        </w:rPr>
        <w:t xml:space="preserve">interpreted </w:t>
      </w:r>
      <w:r w:rsidRPr="00E45011">
        <w:rPr>
          <w:lang w:val="en-GB"/>
        </w:rPr>
        <w:t xml:space="preserve">seismic unit L3b </w:t>
      </w:r>
      <w:r>
        <w:rPr>
          <w:lang w:val="en-GB"/>
        </w:rPr>
        <w:t xml:space="preserve">at site </w:t>
      </w:r>
      <w:r w:rsidRPr="00E45011">
        <w:rPr>
          <w:lang w:val="en-GB"/>
        </w:rPr>
        <w:t>KAT</w:t>
      </w:r>
      <w:r>
        <w:rPr>
          <w:lang w:val="en-GB"/>
        </w:rPr>
        <w:t>33, and a Zanclean-Holocene</w:t>
      </w:r>
      <w:r w:rsidRPr="00E45011">
        <w:rPr>
          <w:lang w:val="en-GB"/>
        </w:rPr>
        <w:t xml:space="preserve"> age</w:t>
      </w:r>
      <w:r>
        <w:rPr>
          <w:lang w:val="en-GB"/>
        </w:rPr>
        <w:t>-range</w:t>
      </w:r>
      <w:r w:rsidRPr="00E45011">
        <w:rPr>
          <w:lang w:val="en-GB"/>
        </w:rPr>
        <w:t xml:space="preserve"> </w:t>
      </w:r>
      <w:r>
        <w:rPr>
          <w:lang w:val="en-GB"/>
        </w:rPr>
        <w:t xml:space="preserve">at both site </w:t>
      </w:r>
      <w:r w:rsidRPr="00E45011">
        <w:rPr>
          <w:lang w:val="en-GB"/>
        </w:rPr>
        <w:t>KAT</w:t>
      </w:r>
      <w:r>
        <w:rPr>
          <w:lang w:val="en-GB"/>
        </w:rPr>
        <w:t>31</w:t>
      </w:r>
      <w:r w:rsidRPr="00E45011">
        <w:rPr>
          <w:lang w:val="en-GB"/>
        </w:rPr>
        <w:t xml:space="preserve"> </w:t>
      </w:r>
      <w:r>
        <w:rPr>
          <w:lang w:val="en-GB"/>
        </w:rPr>
        <w:t xml:space="preserve">and </w:t>
      </w:r>
      <w:r w:rsidRPr="00E45011">
        <w:rPr>
          <w:lang w:val="en-GB"/>
        </w:rPr>
        <w:t>KAT</w:t>
      </w:r>
      <w:r>
        <w:rPr>
          <w:lang w:val="en-GB"/>
        </w:rPr>
        <w:t>32</w:t>
      </w:r>
      <w:r w:rsidRPr="00E45011">
        <w:rPr>
          <w:lang w:val="en-GB"/>
        </w:rPr>
        <w:t>.</w:t>
      </w:r>
      <w:r>
        <w:rPr>
          <w:lang w:val="en-GB"/>
        </w:rPr>
        <w:t xml:space="preserve"> </w:t>
      </w:r>
      <w:r w:rsidRPr="000F149F">
        <w:rPr>
          <w:lang w:val="en-GB"/>
        </w:rPr>
        <w:t xml:space="preserve">However, </w:t>
      </w:r>
      <w:r>
        <w:rPr>
          <w:lang w:val="en-GB"/>
        </w:rPr>
        <w:t>based on specific fauna (</w:t>
      </w:r>
      <w:r w:rsidRPr="00B81EE5">
        <w:rPr>
          <w:lang w:val="en-GB"/>
        </w:rPr>
        <w:t>Popescu, 2021),</w:t>
      </w:r>
      <w:r>
        <w:rPr>
          <w:lang w:val="en-GB"/>
        </w:rPr>
        <w:t xml:space="preserve"> </w:t>
      </w:r>
      <w:r w:rsidRPr="000F149F">
        <w:rPr>
          <w:lang w:val="en-GB"/>
        </w:rPr>
        <w:t xml:space="preserve">the </w:t>
      </w:r>
      <w:r>
        <w:rPr>
          <w:lang w:val="en-GB"/>
        </w:rPr>
        <w:t xml:space="preserve">time window for the deposition of </w:t>
      </w:r>
      <w:r w:rsidRPr="000F149F">
        <w:rPr>
          <w:lang w:val="en-GB"/>
        </w:rPr>
        <w:t xml:space="preserve">sediments from </w:t>
      </w:r>
      <w:r>
        <w:rPr>
          <w:lang w:val="en-GB"/>
        </w:rPr>
        <w:t>sample</w:t>
      </w:r>
      <w:r w:rsidRPr="000F149F">
        <w:rPr>
          <w:lang w:val="en-GB"/>
        </w:rPr>
        <w:t xml:space="preserve"> KAT3</w:t>
      </w:r>
      <w:r>
        <w:rPr>
          <w:lang w:val="en-GB"/>
        </w:rPr>
        <w:t>2 might be</w:t>
      </w:r>
      <w:r w:rsidRPr="000F149F">
        <w:rPr>
          <w:lang w:val="en-GB"/>
        </w:rPr>
        <w:t xml:space="preserve"> </w:t>
      </w:r>
      <w:r>
        <w:rPr>
          <w:lang w:val="en-GB"/>
        </w:rPr>
        <w:t>reduced to</w:t>
      </w:r>
      <w:r w:rsidRPr="000F149F">
        <w:rPr>
          <w:lang w:val="en-GB"/>
        </w:rPr>
        <w:t xml:space="preserve"> Piacenzian</w:t>
      </w:r>
      <w:r>
        <w:rPr>
          <w:lang w:val="en-GB"/>
        </w:rPr>
        <w:t>-Middle Pleistocene</w:t>
      </w:r>
      <w:r w:rsidRPr="000F149F">
        <w:rPr>
          <w:lang w:val="en-GB"/>
        </w:rPr>
        <w:t xml:space="preserve">. Thus, </w:t>
      </w:r>
      <w:r>
        <w:rPr>
          <w:lang w:val="en-GB"/>
        </w:rPr>
        <w:t>sediment</w:t>
      </w:r>
      <w:r w:rsidRPr="000F149F">
        <w:rPr>
          <w:lang w:val="en-GB"/>
        </w:rPr>
        <w:t xml:space="preserve"> </w:t>
      </w:r>
      <w:r>
        <w:rPr>
          <w:lang w:val="en-GB"/>
        </w:rPr>
        <w:t>of</w:t>
      </w:r>
      <w:r w:rsidRPr="000F149F">
        <w:rPr>
          <w:lang w:val="en-GB"/>
        </w:rPr>
        <w:t xml:space="preserve"> core</w:t>
      </w:r>
      <w:r>
        <w:rPr>
          <w:lang w:val="en-GB"/>
        </w:rPr>
        <w:t xml:space="preserve"> </w:t>
      </w:r>
      <w:r w:rsidRPr="000F149F">
        <w:rPr>
          <w:lang w:val="en-GB"/>
        </w:rPr>
        <w:t>KAT31</w:t>
      </w:r>
      <w:r>
        <w:rPr>
          <w:lang w:val="en-GB"/>
        </w:rPr>
        <w:t>, which are</w:t>
      </w:r>
      <w:r w:rsidRPr="000F149F">
        <w:rPr>
          <w:lang w:val="en-GB"/>
        </w:rPr>
        <w:t xml:space="preserve"> stratigraphically younger </w:t>
      </w:r>
      <w:r>
        <w:rPr>
          <w:lang w:val="en-GB"/>
        </w:rPr>
        <w:t xml:space="preserve">(upper L3b) than those at site KAT33 (Lower L3b) </w:t>
      </w:r>
      <w:r w:rsidRPr="000F149F">
        <w:rPr>
          <w:lang w:val="en-GB"/>
        </w:rPr>
        <w:t xml:space="preserve">could be Gelasian in age (2.58-1.8Ma) and those of core KAT32 </w:t>
      </w:r>
      <w:r>
        <w:rPr>
          <w:lang w:val="en-GB"/>
        </w:rPr>
        <w:t xml:space="preserve">taken in interpreted </w:t>
      </w:r>
      <w:r w:rsidRPr="000F149F">
        <w:rPr>
          <w:lang w:val="en-GB"/>
        </w:rPr>
        <w:t xml:space="preserve">seismic unit </w:t>
      </w:r>
      <w:r>
        <w:rPr>
          <w:lang w:val="en-GB"/>
        </w:rPr>
        <w:t>1 could be</w:t>
      </w:r>
      <w:r w:rsidRPr="000F149F">
        <w:rPr>
          <w:lang w:val="en-GB"/>
        </w:rPr>
        <w:t xml:space="preserve"> younger,</w:t>
      </w:r>
      <w:r>
        <w:rPr>
          <w:lang w:val="en-GB"/>
        </w:rPr>
        <w:t xml:space="preserve"> potentially</w:t>
      </w:r>
      <w:r w:rsidRPr="000F149F">
        <w:rPr>
          <w:lang w:val="en-GB"/>
        </w:rPr>
        <w:t xml:space="preserve"> </w:t>
      </w:r>
      <w:r>
        <w:rPr>
          <w:lang w:val="en-GB"/>
        </w:rPr>
        <w:t>Ionian</w:t>
      </w:r>
      <w:r w:rsidRPr="000F149F">
        <w:rPr>
          <w:lang w:val="en-GB"/>
        </w:rPr>
        <w:t xml:space="preserve"> (</w:t>
      </w:r>
      <w:r w:rsidRPr="009C01DE">
        <w:rPr>
          <w:lang w:val="en-GB"/>
        </w:rPr>
        <w:t>0,781-0,126 Ma</w:t>
      </w:r>
      <w:r>
        <w:rPr>
          <w:lang w:val="en-GB"/>
        </w:rPr>
        <w:t>) in age.</w:t>
      </w:r>
    </w:p>
    <w:p w14:paraId="0B1ED94D" w14:textId="253F99B6" w:rsidR="00AE548F" w:rsidRPr="00BC7522" w:rsidRDefault="00AE548F" w:rsidP="00AE548F">
      <w:pPr>
        <w:spacing w:line="360" w:lineRule="auto"/>
        <w:ind w:firstLine="708"/>
        <w:jc w:val="both"/>
        <w:rPr>
          <w:bCs/>
          <w:lang w:val="en-GB"/>
        </w:rPr>
      </w:pPr>
      <w:r w:rsidRPr="00BC7522">
        <w:rPr>
          <w:bCs/>
          <w:lang w:val="en-GB"/>
        </w:rPr>
        <w:t>2</w:t>
      </w:r>
      <w:r w:rsidR="00BC7522" w:rsidRPr="00BC7522">
        <w:rPr>
          <w:bCs/>
          <w:lang w:val="en-GB"/>
        </w:rPr>
        <w:t>.</w:t>
      </w:r>
      <w:r w:rsidRPr="00BC7522">
        <w:rPr>
          <w:bCs/>
          <w:lang w:val="en-GB"/>
        </w:rPr>
        <w:t>2</w:t>
      </w:r>
      <w:r w:rsidR="00BC7522" w:rsidRPr="00BC7522">
        <w:rPr>
          <w:bCs/>
          <w:lang w:val="en-GB"/>
        </w:rPr>
        <w:t>.</w:t>
      </w:r>
      <w:r w:rsidRPr="00BC7522">
        <w:rPr>
          <w:bCs/>
          <w:lang w:val="en-GB"/>
        </w:rPr>
        <w:t xml:space="preserve"> Radiocarbon age dating </w:t>
      </w:r>
    </w:p>
    <w:p w14:paraId="398322EF" w14:textId="302D9095" w:rsidR="00AE548F" w:rsidRPr="000F149F" w:rsidRDefault="00AE548F" w:rsidP="00AE548F">
      <w:pPr>
        <w:spacing w:line="360" w:lineRule="auto"/>
        <w:ind w:firstLine="708"/>
        <w:jc w:val="both"/>
        <w:rPr>
          <w:lang w:val="en-GB"/>
        </w:rPr>
      </w:pPr>
      <w:r w:rsidRPr="000F149F">
        <w:rPr>
          <w:lang w:val="en-GB"/>
        </w:rPr>
        <w:t xml:space="preserve"> </w:t>
      </w:r>
      <w:r>
        <w:rPr>
          <w:lang w:val="en-GB"/>
        </w:rPr>
        <w:t>O</w:t>
      </w:r>
      <w:r w:rsidRPr="000F149F">
        <w:rPr>
          <w:lang w:val="en-GB"/>
        </w:rPr>
        <w:t xml:space="preserve">nly core KAT25 yielded material datable in absolute age with </w:t>
      </w:r>
      <w:r w:rsidRPr="008C4F9D">
        <w:rPr>
          <w:vertAlign w:val="superscript"/>
          <w:lang w:val="en-GB"/>
        </w:rPr>
        <w:t>14</w:t>
      </w:r>
      <w:r w:rsidRPr="000F149F">
        <w:rPr>
          <w:lang w:val="en-GB"/>
        </w:rPr>
        <w:t>C. The 1.77 m-long core KAT25 was taken on seismic line 46.1</w:t>
      </w:r>
      <w:r>
        <w:rPr>
          <w:lang w:val="en-GB"/>
        </w:rPr>
        <w:t xml:space="preserve"> (Fig. 6-I) in the upper part of Unit 1 at the contact between UTR 8 and 9</w:t>
      </w:r>
      <w:r w:rsidRPr="000F149F">
        <w:rPr>
          <w:lang w:val="en-GB"/>
        </w:rPr>
        <w:t xml:space="preserve"> </w:t>
      </w:r>
      <w:r w:rsidRPr="00B81EE5">
        <w:rPr>
          <w:lang w:val="en-GB"/>
        </w:rPr>
        <w:t>(Fig. S3).</w:t>
      </w:r>
      <w:r w:rsidRPr="000F149F">
        <w:rPr>
          <w:lang w:val="en-GB"/>
        </w:rPr>
        <w:t xml:space="preserve"> The lower section of the core, from 1.77 m to 1.05 m, presents </w:t>
      </w:r>
      <w:r w:rsidR="0082102E" w:rsidRPr="000F149F">
        <w:rPr>
          <w:lang w:val="en-GB"/>
        </w:rPr>
        <w:t>homogeneous facies</w:t>
      </w:r>
      <w:r w:rsidRPr="000F149F">
        <w:rPr>
          <w:lang w:val="en-GB"/>
        </w:rPr>
        <w:t xml:space="preserve"> with medium sand grains with mm-sized bioclasts. At 1.05</w:t>
      </w:r>
      <w:r>
        <w:rPr>
          <w:lang w:val="en-GB"/>
        </w:rPr>
        <w:t xml:space="preserve"> </w:t>
      </w:r>
      <w:r w:rsidRPr="000F149F">
        <w:rPr>
          <w:lang w:val="en-GB"/>
        </w:rPr>
        <w:t xml:space="preserve">m, an erosional unconformity separates the lower homogeneous facies from the upper facies of fine olive-glauconitic green sand. The latter is highly bioturbated from 1 to 0.50 m with cm-large burrows filled with dark-green sand grains. We interpret this 0.5m-thick, burrowed, olive-green mid-shelf sand overlying the unconformity as the transgressive systems tract of UTR 9. A carbonate shell sample was selected for </w:t>
      </w:r>
      <w:r w:rsidRPr="008C4F9D">
        <w:rPr>
          <w:vertAlign w:val="superscript"/>
          <w:lang w:val="en-GB"/>
        </w:rPr>
        <w:t>14</w:t>
      </w:r>
      <w:r w:rsidRPr="000F149F">
        <w:rPr>
          <w:lang w:val="en-GB"/>
        </w:rPr>
        <w:t xml:space="preserve">C dating at 1.04 m just above the unconformity. This sample provided a laboratory age of 43400 ± 1300 BP, and an age of 46400 </w:t>
      </w:r>
      <w:proofErr w:type="spellStart"/>
      <w:r w:rsidRPr="000F149F">
        <w:rPr>
          <w:lang w:val="en-GB"/>
        </w:rPr>
        <w:t>cal</w:t>
      </w:r>
      <w:proofErr w:type="spellEnd"/>
      <w:r w:rsidRPr="000F149F">
        <w:rPr>
          <w:lang w:val="en-GB"/>
        </w:rPr>
        <w:t xml:space="preserve"> </w:t>
      </w:r>
      <w:proofErr w:type="spellStart"/>
      <w:r w:rsidRPr="000F149F">
        <w:rPr>
          <w:lang w:val="en-GB"/>
        </w:rPr>
        <w:t>yr</w:t>
      </w:r>
      <w:proofErr w:type="spellEnd"/>
      <w:r w:rsidRPr="000F149F">
        <w:rPr>
          <w:lang w:val="en-GB"/>
        </w:rPr>
        <w:t xml:space="preserve"> BP with correction for marine reservoir effects.</w:t>
      </w:r>
      <w:r>
        <w:rPr>
          <w:lang w:val="en-GB"/>
        </w:rPr>
        <w:t xml:space="preserve"> Core KAT30 (Fig.1c and 6-II) was tentatively dated with </w:t>
      </w:r>
      <w:r w:rsidRPr="008C4F9D">
        <w:rPr>
          <w:vertAlign w:val="superscript"/>
          <w:lang w:val="en-GB"/>
        </w:rPr>
        <w:t>14</w:t>
      </w:r>
      <w:r>
        <w:rPr>
          <w:lang w:val="en-GB"/>
        </w:rPr>
        <w:t xml:space="preserve">C and provided an age older than 50 000 </w:t>
      </w:r>
      <w:proofErr w:type="spellStart"/>
      <w:r>
        <w:rPr>
          <w:lang w:val="en-GB"/>
        </w:rPr>
        <w:t>yr</w:t>
      </w:r>
      <w:proofErr w:type="spellEnd"/>
      <w:r>
        <w:rPr>
          <w:lang w:val="en-GB"/>
        </w:rPr>
        <w:t xml:space="preserve"> BP.</w:t>
      </w:r>
    </w:p>
    <w:p w14:paraId="09ACF01E" w14:textId="65FFE6A1" w:rsidR="00AE548F" w:rsidRDefault="00AE548F" w:rsidP="00AE548F">
      <w:pPr>
        <w:spacing w:line="360" w:lineRule="auto"/>
        <w:ind w:firstLine="708"/>
        <w:jc w:val="both"/>
        <w:rPr>
          <w:b/>
          <w:lang w:val="en-GB"/>
        </w:rPr>
      </w:pPr>
      <w:r w:rsidRPr="00A932F9">
        <w:rPr>
          <w:b/>
          <w:lang w:val="en-GB"/>
        </w:rPr>
        <w:t>3</w:t>
      </w:r>
      <w:r w:rsidR="00BC7522">
        <w:rPr>
          <w:b/>
          <w:lang w:val="en-GB"/>
        </w:rPr>
        <w:t>.</w:t>
      </w:r>
      <w:r w:rsidRPr="00A932F9">
        <w:rPr>
          <w:b/>
          <w:lang w:val="en-GB"/>
        </w:rPr>
        <w:t xml:space="preserve"> </w:t>
      </w:r>
      <w:r w:rsidR="00BC7522">
        <w:rPr>
          <w:b/>
          <w:lang w:val="en-GB"/>
        </w:rPr>
        <w:t>D</w:t>
      </w:r>
      <w:r w:rsidRPr="00A932F9">
        <w:rPr>
          <w:b/>
          <w:lang w:val="en-GB"/>
        </w:rPr>
        <w:t>ating of units L3b</w:t>
      </w:r>
      <w:r>
        <w:rPr>
          <w:b/>
          <w:lang w:val="en-GB"/>
        </w:rPr>
        <w:t>,</w:t>
      </w:r>
      <w:r w:rsidRPr="00A932F9">
        <w:rPr>
          <w:b/>
          <w:lang w:val="en-GB"/>
        </w:rPr>
        <w:t xml:space="preserve"> 1, 2</w:t>
      </w:r>
      <w:r>
        <w:rPr>
          <w:b/>
          <w:lang w:val="en-GB"/>
        </w:rPr>
        <w:t xml:space="preserve"> and</w:t>
      </w:r>
      <w:r w:rsidRPr="00A932F9">
        <w:rPr>
          <w:b/>
          <w:lang w:val="en-GB"/>
        </w:rPr>
        <w:t xml:space="preserve"> 3 </w:t>
      </w:r>
    </w:p>
    <w:p w14:paraId="4A845C88" w14:textId="77777777" w:rsidR="00AE548F" w:rsidRPr="004E73F5" w:rsidRDefault="00AE548F" w:rsidP="00AE548F">
      <w:pPr>
        <w:spacing w:line="360" w:lineRule="auto"/>
        <w:ind w:firstLine="708"/>
        <w:jc w:val="both"/>
        <w:rPr>
          <w:lang w:val="en-GB"/>
        </w:rPr>
      </w:pPr>
      <w:proofErr w:type="spellStart"/>
      <w:r w:rsidRPr="004E73F5">
        <w:rPr>
          <w:lang w:val="en-GB"/>
        </w:rPr>
        <w:t>B</w:t>
      </w:r>
      <w:r>
        <w:rPr>
          <w:lang w:val="en-GB"/>
        </w:rPr>
        <w:t>iostratigraphic</w:t>
      </w:r>
      <w:proofErr w:type="spellEnd"/>
      <w:r>
        <w:rPr>
          <w:lang w:val="en-GB"/>
        </w:rPr>
        <w:t xml:space="preserve"> data show that u</w:t>
      </w:r>
      <w:r w:rsidRPr="004E73F5">
        <w:rPr>
          <w:lang w:val="en-GB"/>
        </w:rPr>
        <w:t xml:space="preserve">nit L3b </w:t>
      </w:r>
      <w:r>
        <w:rPr>
          <w:lang w:val="en-GB"/>
        </w:rPr>
        <w:t>is</w:t>
      </w:r>
      <w:r w:rsidRPr="004E73F5">
        <w:rPr>
          <w:lang w:val="en-GB"/>
        </w:rPr>
        <w:t xml:space="preserve"> </w:t>
      </w:r>
      <w:r>
        <w:rPr>
          <w:lang w:val="en-GB"/>
        </w:rPr>
        <w:t>Late</w:t>
      </w:r>
      <w:r w:rsidRPr="004E73F5">
        <w:rPr>
          <w:lang w:val="en-GB"/>
        </w:rPr>
        <w:t xml:space="preserve"> Pliocene to </w:t>
      </w:r>
      <w:r>
        <w:rPr>
          <w:lang w:val="en-GB"/>
        </w:rPr>
        <w:t>Lower Early</w:t>
      </w:r>
      <w:r w:rsidRPr="004E73F5">
        <w:rPr>
          <w:lang w:val="en-GB"/>
        </w:rPr>
        <w:t xml:space="preserve"> </w:t>
      </w:r>
      <w:r>
        <w:rPr>
          <w:lang w:val="en-GB"/>
        </w:rPr>
        <w:t xml:space="preserve">Pleistocene in age, an equivalent to the onshore Middle </w:t>
      </w:r>
      <w:proofErr w:type="spellStart"/>
      <w:r>
        <w:rPr>
          <w:lang w:val="en-GB"/>
        </w:rPr>
        <w:t>Borbon</w:t>
      </w:r>
      <w:proofErr w:type="spellEnd"/>
      <w:r>
        <w:rPr>
          <w:lang w:val="en-GB"/>
        </w:rPr>
        <w:t xml:space="preserve"> formation (Reyes and Michaud, 2012). The overlying u</w:t>
      </w:r>
      <w:r w:rsidRPr="004E73F5">
        <w:rPr>
          <w:lang w:val="en-GB"/>
        </w:rPr>
        <w:t xml:space="preserve">nits 1, 2 and 3 are therefore younger and </w:t>
      </w:r>
      <w:r>
        <w:rPr>
          <w:lang w:val="en-GB"/>
        </w:rPr>
        <w:t>likely</w:t>
      </w:r>
      <w:r w:rsidRPr="004E73F5">
        <w:rPr>
          <w:lang w:val="en-GB"/>
        </w:rPr>
        <w:t xml:space="preserve"> </w:t>
      </w:r>
      <w:r>
        <w:rPr>
          <w:lang w:val="en-GB"/>
        </w:rPr>
        <w:t>Upper Early</w:t>
      </w:r>
      <w:r w:rsidRPr="004E73F5">
        <w:rPr>
          <w:lang w:val="en-GB"/>
        </w:rPr>
        <w:t xml:space="preserve"> Pleistocene to Holocene.</w:t>
      </w:r>
    </w:p>
    <w:p w14:paraId="52DE98A2" w14:textId="77777777" w:rsidR="00AE548F" w:rsidRPr="00CC6E40" w:rsidRDefault="00AE548F" w:rsidP="00AE548F">
      <w:pPr>
        <w:spacing w:line="360" w:lineRule="auto"/>
        <w:ind w:firstLine="708"/>
        <w:jc w:val="both"/>
        <w:rPr>
          <w:lang w:val="en-GB"/>
        </w:rPr>
      </w:pPr>
      <w:r w:rsidRPr="00E03ECC">
        <w:rPr>
          <w:lang w:val="en-GB"/>
        </w:rPr>
        <w:lastRenderedPageBreak/>
        <w:t xml:space="preserve">On </w:t>
      </w:r>
      <w:r w:rsidRPr="00E03ECC">
        <w:rPr>
          <w:bCs/>
          <w:lang w:val="en-GB"/>
        </w:rPr>
        <w:t>the Manta-La Plata shelf</w:t>
      </w:r>
      <w:r w:rsidRPr="000F149F" w:rsidDel="006223B6">
        <w:rPr>
          <w:lang w:val="en-GB"/>
        </w:rPr>
        <w:t xml:space="preserve"> </w:t>
      </w:r>
      <w:r w:rsidRPr="007C229B">
        <w:rPr>
          <w:lang w:val="en-GB"/>
        </w:rPr>
        <w:t>(Fig. 1a</w:t>
      </w:r>
      <w:r w:rsidRPr="000F149F">
        <w:rPr>
          <w:lang w:val="en-GB"/>
        </w:rPr>
        <w:t>)</w:t>
      </w:r>
      <w:r>
        <w:rPr>
          <w:lang w:val="en-GB"/>
        </w:rPr>
        <w:t>,</w:t>
      </w:r>
      <w:r w:rsidRPr="000F149F">
        <w:rPr>
          <w:lang w:val="en-GB"/>
        </w:rPr>
        <w:t xml:space="preserve"> where seismic data are correlated to piston core data and onshore exposures</w:t>
      </w:r>
      <w:r>
        <w:rPr>
          <w:lang w:val="en-GB"/>
        </w:rPr>
        <w:t>,</w:t>
      </w:r>
      <w:r w:rsidRPr="000F149F">
        <w:rPr>
          <w:lang w:val="en-GB"/>
        </w:rPr>
        <w:t xml:space="preserve"> </w:t>
      </w:r>
      <w:r>
        <w:rPr>
          <w:lang w:val="en-GB"/>
        </w:rPr>
        <w:t>u</w:t>
      </w:r>
      <w:r w:rsidRPr="000F149F">
        <w:rPr>
          <w:lang w:val="en-GB"/>
        </w:rPr>
        <w:t>nit 1 is dated from the Middle (Ionian, 0,781-0,126 Ma) to Upper (Tarantian, 0,126-0,0117 Ma) Pleistocene age (Proust et al., 2016). The</w:t>
      </w:r>
      <w:r>
        <w:rPr>
          <w:lang w:val="en-GB"/>
        </w:rPr>
        <w:t>re, the</w:t>
      </w:r>
      <w:r w:rsidRPr="000F149F">
        <w:rPr>
          <w:lang w:val="en-GB"/>
        </w:rPr>
        <w:t xml:space="preserve"> 10 UTR sequences in Unit 1 are composed of terrestrial and marine sediments whose deposition was controlled by the post-MPT (Mid Pleistocene climatic Transition) eccentricity-driven (100 ka-scale) glacio-eustatic changes in sea level. </w:t>
      </w:r>
      <w:r w:rsidRPr="00E03ECC">
        <w:rPr>
          <w:lang w:val="en-GB"/>
        </w:rPr>
        <w:t xml:space="preserve">In our study area, unit 1 comprises the same 10 UTR sequences as in the Manta-La Plata area, and the age of UTR9 is </w:t>
      </w:r>
      <w:r w:rsidRPr="00E03ECC">
        <w:rPr>
          <w:vertAlign w:val="superscript"/>
          <w:lang w:val="en-GB"/>
        </w:rPr>
        <w:t>14</w:t>
      </w:r>
      <w:r w:rsidRPr="00E03ECC">
        <w:rPr>
          <w:lang w:val="en-GB"/>
        </w:rPr>
        <w:t xml:space="preserve">C-controlled </w:t>
      </w:r>
      <w:r>
        <w:rPr>
          <w:lang w:val="en-GB"/>
        </w:rPr>
        <w:t>in</w:t>
      </w:r>
      <w:r w:rsidRPr="00E03ECC">
        <w:rPr>
          <w:lang w:val="en-GB"/>
        </w:rPr>
        <w:t xml:space="preserve"> both </w:t>
      </w:r>
      <w:r>
        <w:rPr>
          <w:lang w:val="en-GB"/>
        </w:rPr>
        <w:t>areas</w:t>
      </w:r>
      <w:r w:rsidRPr="00E03ECC">
        <w:rPr>
          <w:lang w:val="en-GB"/>
        </w:rPr>
        <w:t>, implying that unit 1 sequences occurred synchronously</w:t>
      </w:r>
      <w:r>
        <w:rPr>
          <w:lang w:val="en-GB"/>
        </w:rPr>
        <w:t xml:space="preserve"> and in</w:t>
      </w:r>
      <w:r w:rsidRPr="00E03ECC">
        <w:rPr>
          <w:lang w:val="en-GB"/>
        </w:rPr>
        <w:t xml:space="preserve"> in the same environment</w:t>
      </w:r>
      <w:r>
        <w:rPr>
          <w:lang w:val="en-GB"/>
        </w:rPr>
        <w:t xml:space="preserve"> at both places</w:t>
      </w:r>
      <w:r w:rsidRPr="00E03ECC">
        <w:rPr>
          <w:lang w:val="en-GB"/>
        </w:rPr>
        <w:t>.</w:t>
      </w:r>
    </w:p>
    <w:p w14:paraId="409266C7" w14:textId="77777777" w:rsidR="00AE548F" w:rsidRPr="000F149F" w:rsidRDefault="00AE548F" w:rsidP="00AE548F">
      <w:pPr>
        <w:spacing w:line="360" w:lineRule="auto"/>
        <w:ind w:firstLine="708"/>
        <w:jc w:val="both"/>
        <w:rPr>
          <w:lang w:val="en-GB"/>
        </w:rPr>
      </w:pPr>
      <w:r w:rsidRPr="000F149F">
        <w:rPr>
          <w:lang w:val="en-GB"/>
        </w:rPr>
        <w:t xml:space="preserve">Assuming that </w:t>
      </w:r>
      <w:proofErr w:type="spellStart"/>
      <w:r w:rsidRPr="000F149F">
        <w:rPr>
          <w:lang w:val="en-GB"/>
        </w:rPr>
        <w:t>climato</w:t>
      </w:r>
      <w:proofErr w:type="spellEnd"/>
      <w:r w:rsidRPr="000F149F">
        <w:rPr>
          <w:lang w:val="en-GB"/>
        </w:rPr>
        <w:t xml:space="preserve">-eustasy was the main driver of the changes in accommodation space at these short time scales (10’s ka) (e.g. </w:t>
      </w:r>
      <w:r w:rsidRPr="00997239">
        <w:rPr>
          <w:lang w:val="en-GB"/>
        </w:rPr>
        <w:fldChar w:fldCharType="begin"/>
      </w:r>
      <w:r>
        <w:rPr>
          <w:lang w:val="en-GB"/>
        </w:rPr>
        <w:instrText xml:space="preserve"> ADDIN EN.CITE &lt;EndNote&gt;&lt;Cite AuthorYear="1"&gt;&lt;Author&gt;Proust&lt;/Author&gt;&lt;Year&gt;2004&lt;/Year&gt;&lt;RecNum&gt;2766&lt;/RecNum&gt;&lt;DisplayText&gt;Proust and Chanier (2004)&lt;/DisplayText&gt;&lt;record&gt;&lt;rec-number&gt;2766&lt;/rec-number&gt;&lt;foreign-keys&gt;&lt;key app="EN" db-id="5dt5rr9f39pd5iepxsbx99zlxaxewpv22p99" timestamp="1634890982"&gt;2766&lt;/key&gt;&lt;/foreign-keys&gt;&lt;ref-type name="Journal Article"&gt;17&lt;/ref-type&gt;&lt;contributors&gt;&lt;authors&gt;&lt;author&gt;Proust, J.N.&lt;/author&gt;&lt;author&gt;Chanier, F.&lt;/author&gt;&lt;/authors&gt;&lt;/contributors&gt;&lt;titles&gt;&lt;title&gt;The Pleistocene cape Kidnappers section in New Zealand: orbitally-forced controls on active margin sedimentation. &lt;/title&gt;&lt;secondary-title&gt;Journal of Quaternary Science&lt;/secondary-title&gt;&lt;/titles&gt;&lt;periodical&gt;&lt;full-title&gt;Journal of Quaternary Science&lt;/full-title&gt;&lt;/periodical&gt;&lt;pages&gt;591-603&lt;/pages&gt;&lt;volume&gt;19&lt;/volume&gt;&lt;number&gt;6&lt;/number&gt;&lt;dates&gt;&lt;year&gt;2004&lt;/year&gt;&lt;/dates&gt;&lt;urls&gt;&lt;/urls&gt;&lt;/record&gt;&lt;/Cite&gt;&lt;/EndNote&gt;</w:instrText>
      </w:r>
      <w:r w:rsidRPr="00997239">
        <w:rPr>
          <w:lang w:val="en-GB"/>
        </w:rPr>
        <w:fldChar w:fldCharType="separate"/>
      </w:r>
      <w:r>
        <w:rPr>
          <w:noProof/>
          <w:lang w:val="en-GB"/>
        </w:rPr>
        <w:t>Proust and Chanier (2004)</w:t>
      </w:r>
      <w:r w:rsidRPr="00997239">
        <w:rPr>
          <w:lang w:val="en-GB"/>
        </w:rPr>
        <w:fldChar w:fldCharType="end"/>
      </w:r>
      <w:r w:rsidRPr="000F149F">
        <w:rPr>
          <w:lang w:val="en-GB"/>
        </w:rPr>
        <w:t xml:space="preserve">, we propose a time frame for the sediment deposition in the study area by tying the seismic sequences unconformities to the well-dated transition between the even (cold climate, low sea level) and odd (warm climate, high sea-level) marine isotopic stages (MIS) </w:t>
      </w:r>
      <w:r w:rsidRPr="00B82943">
        <w:rPr>
          <w:lang w:val="en-GB"/>
        </w:rPr>
        <w:t>(Table S1).</w:t>
      </w:r>
      <w:r w:rsidRPr="000F149F">
        <w:rPr>
          <w:lang w:val="en-GB"/>
        </w:rPr>
        <w:t xml:space="preserve"> Older Units 2 and 3 comprises 24 elementary sequences deposited before the MPT, a time when the accommodation space was controlled by obliquity-driven (40 ka-scale) glacio-eustatic changes in sea level (e. g. in </w:t>
      </w:r>
      <w:r w:rsidRPr="00997239">
        <w:rPr>
          <w:lang w:val="en-GB"/>
        </w:rPr>
        <w:fldChar w:fldCharType="begin"/>
      </w:r>
      <w:r>
        <w:rPr>
          <w:lang w:val="en-GB"/>
        </w:rPr>
        <w:instrText xml:space="preserve"> ADDIN EN.CITE &lt;EndNote&gt;&lt;Cite AuthorYear="1"&gt;&lt;Author&gt;Proust&lt;/Author&gt;&lt;Year&gt;2004&lt;/Year&gt;&lt;RecNum&gt;2766&lt;/RecNum&gt;&lt;DisplayText&gt;Proust and Chanier (2004)&lt;/DisplayText&gt;&lt;record&gt;&lt;rec-number&gt;2766&lt;/rec-number&gt;&lt;foreign-keys&gt;&lt;key app="EN" db-id="5dt5rr9f39pd5iepxsbx99zlxaxewpv22p99" timestamp="1634890982"&gt;2766&lt;/key&gt;&lt;/foreign-keys&gt;&lt;ref-type name="Journal Article"&gt;17&lt;/ref-type&gt;&lt;contributors&gt;&lt;authors&gt;&lt;author&gt;Proust, J.N.&lt;/author&gt;&lt;author&gt;Chanier, F.&lt;/author&gt;&lt;/authors&gt;&lt;/contributors&gt;&lt;titles&gt;&lt;title&gt;The Pleistocene cape Kidnappers section in New Zealand: orbitally-forced controls on active margin sedimentation. &lt;/title&gt;&lt;secondary-title&gt;Journal of Quaternary Science&lt;/secondary-title&gt;&lt;/titles&gt;&lt;periodical&gt;&lt;full-title&gt;Journal of Quaternary Science&lt;/full-title&gt;&lt;/periodical&gt;&lt;pages&gt;591-603&lt;/pages&gt;&lt;volume&gt;19&lt;/volume&gt;&lt;number&gt;6&lt;/number&gt;&lt;dates&gt;&lt;year&gt;2004&lt;/year&gt;&lt;/dates&gt;&lt;urls&gt;&lt;/urls&gt;&lt;/record&gt;&lt;/Cite&gt;&lt;/EndNote&gt;</w:instrText>
      </w:r>
      <w:r w:rsidRPr="00997239">
        <w:rPr>
          <w:lang w:val="en-GB"/>
        </w:rPr>
        <w:fldChar w:fldCharType="separate"/>
      </w:r>
      <w:r>
        <w:rPr>
          <w:noProof/>
          <w:lang w:val="en-GB"/>
        </w:rPr>
        <w:t>Proust and Chanier (2004)</w:t>
      </w:r>
      <w:r w:rsidRPr="00997239">
        <w:rPr>
          <w:lang w:val="en-GB"/>
        </w:rPr>
        <w:fldChar w:fldCharType="end"/>
      </w:r>
      <w:r w:rsidRPr="000F149F">
        <w:rPr>
          <w:lang w:val="en-GB"/>
        </w:rPr>
        <w:t>). As their thickness is smaller due to their higher frequency, it is more difficult to assign them a precise age.</w:t>
      </w:r>
    </w:p>
    <w:p w14:paraId="4B7DB7A9" w14:textId="77777777" w:rsidR="00AE548F" w:rsidRPr="000F149F" w:rsidRDefault="00AE548F" w:rsidP="00AE548F">
      <w:pPr>
        <w:spacing w:line="360" w:lineRule="auto"/>
        <w:ind w:firstLine="708"/>
        <w:jc w:val="both"/>
        <w:rPr>
          <w:lang w:val="en-GB"/>
        </w:rPr>
      </w:pPr>
      <w:r w:rsidRPr="000F149F">
        <w:rPr>
          <w:lang w:val="en-GB"/>
        </w:rPr>
        <w:t>The main sources of error in the proposed dates are:</w:t>
      </w:r>
    </w:p>
    <w:p w14:paraId="30FBA04B" w14:textId="6C78E608" w:rsidR="00AE548F" w:rsidRPr="000F149F" w:rsidRDefault="00AE548F" w:rsidP="00AE548F">
      <w:pPr>
        <w:spacing w:line="360" w:lineRule="auto"/>
        <w:ind w:firstLine="708"/>
        <w:jc w:val="both"/>
        <w:rPr>
          <w:lang w:val="en-GB"/>
        </w:rPr>
      </w:pPr>
      <w:r w:rsidRPr="000F149F">
        <w:rPr>
          <w:lang w:val="en-GB"/>
        </w:rPr>
        <w:t>- For unit 1 (</w:t>
      </w:r>
      <w:proofErr w:type="spellStart"/>
      <w:r w:rsidRPr="000F149F">
        <w:rPr>
          <w:lang w:val="en-GB"/>
        </w:rPr>
        <w:t>i</w:t>
      </w:r>
      <w:proofErr w:type="spellEnd"/>
      <w:r w:rsidRPr="000F149F">
        <w:rPr>
          <w:lang w:val="en-GB"/>
        </w:rPr>
        <w:t>) uncertainties in lateral correlations from one profile to another and (ii) possible confusion with higher frequency variations of the sea level superimposed on the 100</w:t>
      </w:r>
      <w:r w:rsidR="00C465DB">
        <w:rPr>
          <w:lang w:val="en-GB"/>
        </w:rPr>
        <w:t xml:space="preserve"> </w:t>
      </w:r>
      <w:r w:rsidRPr="000F149F">
        <w:rPr>
          <w:lang w:val="en-GB"/>
        </w:rPr>
        <w:t>k</w:t>
      </w:r>
      <w:r>
        <w:rPr>
          <w:lang w:val="en-GB"/>
        </w:rPr>
        <w:t>a</w:t>
      </w:r>
      <w:r w:rsidRPr="000F149F">
        <w:rPr>
          <w:lang w:val="en-GB"/>
        </w:rPr>
        <w:t xml:space="preserve"> sea level variations. These uncertainties may lead to an error of plus or minus one sequence;</w:t>
      </w:r>
    </w:p>
    <w:p w14:paraId="4041252D" w14:textId="751DC168" w:rsidR="00AE548F" w:rsidRPr="000F149F" w:rsidRDefault="00AE548F" w:rsidP="00AE548F">
      <w:pPr>
        <w:spacing w:line="360" w:lineRule="auto"/>
        <w:ind w:firstLine="708"/>
        <w:jc w:val="both"/>
        <w:rPr>
          <w:lang w:val="en-GB"/>
        </w:rPr>
      </w:pPr>
      <w:r w:rsidRPr="000F149F">
        <w:rPr>
          <w:lang w:val="en-GB"/>
        </w:rPr>
        <w:t>- For units 2 and 3, lack of accuracy of the picking due to (</w:t>
      </w:r>
      <w:proofErr w:type="spellStart"/>
      <w:r w:rsidRPr="000F149F">
        <w:rPr>
          <w:lang w:val="en-GB"/>
        </w:rPr>
        <w:t>i</w:t>
      </w:r>
      <w:proofErr w:type="spellEnd"/>
      <w:r w:rsidRPr="000F149F">
        <w:rPr>
          <w:lang w:val="en-GB"/>
        </w:rPr>
        <w:t>) the progressive decrease in resolution with depth, (ii) the thinness of the 40 k</w:t>
      </w:r>
      <w:r>
        <w:rPr>
          <w:lang w:val="en-GB"/>
        </w:rPr>
        <w:t>a</w:t>
      </w:r>
      <w:r w:rsidRPr="000F149F">
        <w:rPr>
          <w:lang w:val="en-GB"/>
        </w:rPr>
        <w:t xml:space="preserve"> T-R sequences compared to the 100</w:t>
      </w:r>
      <w:r w:rsidR="00C465DB">
        <w:rPr>
          <w:lang w:val="en-GB"/>
        </w:rPr>
        <w:t xml:space="preserve"> </w:t>
      </w:r>
      <w:r>
        <w:rPr>
          <w:lang w:val="en-GB"/>
        </w:rPr>
        <w:t>ka</w:t>
      </w:r>
      <w:r w:rsidRPr="000F149F">
        <w:rPr>
          <w:lang w:val="en-GB"/>
        </w:rPr>
        <w:t xml:space="preserve">’ possibly accentuated by unexpected changes in sedimentation rates, and (iv) underestimated erosion beneath major surfaces </w:t>
      </w:r>
      <w:proofErr w:type="spellStart"/>
      <w:r w:rsidRPr="000F149F">
        <w:rPr>
          <w:lang w:val="en-GB"/>
        </w:rPr>
        <w:t>Ua</w:t>
      </w:r>
      <w:proofErr w:type="spellEnd"/>
      <w:r w:rsidRPr="000F149F">
        <w:rPr>
          <w:lang w:val="en-GB"/>
        </w:rPr>
        <w:t xml:space="preserve"> and </w:t>
      </w:r>
      <w:proofErr w:type="spellStart"/>
      <w:r w:rsidRPr="000F149F">
        <w:rPr>
          <w:lang w:val="en-GB"/>
        </w:rPr>
        <w:t>Ub</w:t>
      </w:r>
      <w:proofErr w:type="spellEnd"/>
      <w:r w:rsidRPr="000F149F">
        <w:rPr>
          <w:lang w:val="en-GB"/>
        </w:rPr>
        <w:t xml:space="preserve"> in the absence of absolute age control.</w:t>
      </w:r>
    </w:p>
    <w:p w14:paraId="1E3C1793" w14:textId="77777777" w:rsidR="00AE548F" w:rsidRPr="000F149F" w:rsidRDefault="00AE548F" w:rsidP="00AE548F">
      <w:pPr>
        <w:spacing w:line="360" w:lineRule="auto"/>
        <w:ind w:firstLine="708"/>
        <w:jc w:val="both"/>
        <w:rPr>
          <w:lang w:val="en-GB"/>
        </w:rPr>
      </w:pPr>
      <w:r w:rsidRPr="000F149F">
        <w:rPr>
          <w:lang w:val="en-GB"/>
        </w:rPr>
        <w:t>- Finally, uncertainties in the age model of global sea level variations LR014 that is estimated at 6 k</w:t>
      </w:r>
      <w:r>
        <w:rPr>
          <w:lang w:val="en-GB"/>
        </w:rPr>
        <w:t>a</w:t>
      </w:r>
      <w:r w:rsidRPr="000F149F">
        <w:rPr>
          <w:lang w:val="en-GB"/>
        </w:rPr>
        <w:t xml:space="preserve"> from 3 - 1 Ma, and 4 k</w:t>
      </w:r>
      <w:r>
        <w:rPr>
          <w:lang w:val="en-GB"/>
        </w:rPr>
        <w:t>a</w:t>
      </w:r>
      <w:r w:rsidRPr="000F149F">
        <w:rPr>
          <w:lang w:val="en-GB"/>
        </w:rPr>
        <w:t xml:space="preserve"> from 1 - 0 Ma </w:t>
      </w:r>
      <w:r w:rsidRPr="00997239">
        <w:rPr>
          <w:lang w:val="en-GB"/>
        </w:rPr>
        <w:fldChar w:fldCharType="begin"/>
      </w:r>
      <w:r>
        <w:rPr>
          <w:lang w:val="en-GB"/>
        </w:rPr>
        <w:instrText xml:space="preserve"> ADDIN EN.CITE &lt;EndNote&gt;&lt;Cite&gt;&lt;Author&gt;Lisiecki&lt;/Author&gt;&lt;Year&gt;2005&lt;/Year&gt;&lt;RecNum&gt;2173&lt;/RecNum&gt;&lt;DisplayText&gt;(Lisiecki and Raymo, 2005)&lt;/DisplayText&gt;&lt;record&gt;&lt;rec-number&gt;2173&lt;/rec-number&gt;&lt;foreign-keys&gt;&lt;key app="EN" db-id="5dt5rr9f39pd5iepxsbx99zlxaxewpv22p99" timestamp="1300531953"&gt;2173&lt;/key&gt;&lt;/foreign-keys&gt;&lt;ref-type name="Journal Article"&gt;17&lt;/ref-type&gt;&lt;contributors&gt;&lt;authors&gt;&lt;author&gt;Lisiecki, L. E.&lt;/author&gt;&lt;author&gt;Raymo, M. E. &lt;/author&gt;&lt;/authors&gt;&lt;/contributors&gt;&lt;titles&gt;&lt;title&gt;A Pliocene-Pleistocene stack of 57 globally distributed benthic D18O records&lt;/title&gt;&lt;secondary-title&gt;Paleoceanography&lt;/secondary-title&gt;&lt;/titles&gt;&lt;periodical&gt;&lt;full-title&gt;Paleoceanography&lt;/full-title&gt;&lt;/periodical&gt;&lt;pages&gt;doi:10.1029/2004PA001071&lt;/pages&gt;&lt;volume&gt;20&lt;/volume&gt;&lt;dates&gt;&lt;year&gt;2005&lt;/year&gt;&lt;/dates&gt;&lt;urls&gt;&lt;/urls&gt;&lt;/record&gt;&lt;/Cite&gt;&lt;/EndNote&gt;</w:instrText>
      </w:r>
      <w:r w:rsidRPr="00997239">
        <w:rPr>
          <w:lang w:val="en-GB"/>
        </w:rPr>
        <w:fldChar w:fldCharType="separate"/>
      </w:r>
      <w:r>
        <w:rPr>
          <w:noProof/>
          <w:lang w:val="en-GB"/>
        </w:rPr>
        <w:t>(Lisiecki and Raymo, 2005)</w:t>
      </w:r>
      <w:r w:rsidRPr="00997239">
        <w:rPr>
          <w:lang w:val="en-GB"/>
        </w:rPr>
        <w:fldChar w:fldCharType="end"/>
      </w:r>
      <w:r w:rsidRPr="000F149F">
        <w:rPr>
          <w:lang w:val="en-GB"/>
        </w:rPr>
        <w:t xml:space="preserve">. </w:t>
      </w:r>
    </w:p>
    <w:p w14:paraId="58875AD6" w14:textId="13F8B230" w:rsidR="00BC7522" w:rsidRDefault="00AE548F" w:rsidP="00AE548F">
      <w:pPr>
        <w:spacing w:line="360" w:lineRule="auto"/>
        <w:ind w:firstLine="708"/>
        <w:jc w:val="both"/>
        <w:rPr>
          <w:lang w:val="en-GB"/>
        </w:rPr>
        <w:sectPr w:rsidR="00BC7522" w:rsidSect="004B4F62">
          <w:pgSz w:w="12240" w:h="15840"/>
          <w:pgMar w:top="1440" w:right="1800" w:bottom="1440" w:left="1800" w:header="720" w:footer="720" w:gutter="0"/>
          <w:cols w:space="720"/>
          <w:docGrid w:linePitch="360"/>
        </w:sectPr>
      </w:pPr>
      <w:r w:rsidRPr="000F149F">
        <w:rPr>
          <w:lang w:val="en-GB"/>
        </w:rPr>
        <w:lastRenderedPageBreak/>
        <w:t xml:space="preserve">Considering these sources of error allow estimating the minimum error to be 100 ka for unit 1, 40 ka for unit 2 and 40 ka for unit 3 plus 10 ka for the age model. Thus, the proposed ages for the main discontinuities are as follows: </w:t>
      </w:r>
      <w:proofErr w:type="spellStart"/>
      <w:r w:rsidRPr="000F149F">
        <w:rPr>
          <w:lang w:val="en-GB"/>
        </w:rPr>
        <w:t>Ua</w:t>
      </w:r>
      <w:proofErr w:type="spellEnd"/>
      <w:r w:rsidRPr="000F149F">
        <w:rPr>
          <w:lang w:val="en-GB"/>
        </w:rPr>
        <w:t xml:space="preserve">, 790 ka +/-110; </w:t>
      </w:r>
      <w:proofErr w:type="spellStart"/>
      <w:r w:rsidRPr="000F149F">
        <w:rPr>
          <w:lang w:val="en-GB"/>
        </w:rPr>
        <w:t>Ub</w:t>
      </w:r>
      <w:proofErr w:type="spellEnd"/>
      <w:r w:rsidRPr="000F149F">
        <w:rPr>
          <w:lang w:val="en-GB"/>
        </w:rPr>
        <w:t xml:space="preserve">, 1031 ka+/-150; </w:t>
      </w:r>
      <w:proofErr w:type="spellStart"/>
      <w:r w:rsidRPr="000F149F">
        <w:rPr>
          <w:lang w:val="en-GB"/>
        </w:rPr>
        <w:t>Uc</w:t>
      </w:r>
      <w:proofErr w:type="spellEnd"/>
      <w:r w:rsidRPr="000F149F">
        <w:rPr>
          <w:lang w:val="en-GB"/>
        </w:rPr>
        <w:t>, 18</w:t>
      </w:r>
      <w:r>
        <w:rPr>
          <w:lang w:val="en-GB"/>
        </w:rPr>
        <w:t>3</w:t>
      </w:r>
      <w:r w:rsidRPr="000F149F">
        <w:rPr>
          <w:lang w:val="en-GB"/>
        </w:rPr>
        <w:t>2 ka +/-200</w:t>
      </w:r>
      <w:r>
        <w:rPr>
          <w:lang w:val="en-GB"/>
        </w:rPr>
        <w:t>, and ages for UTR, MTR and LTR sequences within units 1, 2 and 3 are as indicated in Table S1.</w:t>
      </w:r>
    </w:p>
    <w:p w14:paraId="3C7A16EF" w14:textId="6DE0775C" w:rsidR="009A5287" w:rsidRPr="00CE6EAA" w:rsidRDefault="00BC7522" w:rsidP="00BC7522">
      <w:pPr>
        <w:pStyle w:val="SMText"/>
        <w:ind w:firstLine="0"/>
        <w:rPr>
          <w:rFonts w:ascii="Myriad Pro" w:hAnsi="Myriad Pro"/>
        </w:rPr>
      </w:pPr>
      <w:r>
        <w:rPr>
          <w:rFonts w:ascii="Myriad Pro" w:hAnsi="Myriad Pro"/>
          <w:noProof/>
          <w:sz w:val="22"/>
          <w:szCs w:val="22"/>
        </w:rPr>
        <w:lastRenderedPageBreak/>
        <w:drawing>
          <wp:anchor distT="0" distB="0" distL="114300" distR="114300" simplePos="0" relativeHeight="251658240" behindDoc="0" locked="0" layoutInCell="1" allowOverlap="1" wp14:anchorId="2F4F94E2" wp14:editId="049E51ED">
            <wp:simplePos x="0" y="0"/>
            <wp:positionH relativeFrom="margin">
              <wp:posOffset>286101</wp:posOffset>
            </wp:positionH>
            <wp:positionV relativeFrom="margin">
              <wp:posOffset>-355600</wp:posOffset>
            </wp:positionV>
            <wp:extent cx="4829175" cy="5889625"/>
            <wp:effectExtent l="0" t="0" r="0"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1" cstate="print">
                      <a:extLst>
                        <a:ext uri="{28A0092B-C50C-407E-A947-70E740481C1C}">
                          <a14:useLocalDpi xmlns:a14="http://schemas.microsoft.com/office/drawing/2010/main" val="0"/>
                        </a:ext>
                      </a:extLst>
                    </a:blip>
                    <a:srcRect l="7707" t="8458" r="6730" b="17726"/>
                    <a:stretch/>
                  </pic:blipFill>
                  <pic:spPr bwMode="auto">
                    <a:xfrm>
                      <a:off x="0" y="0"/>
                      <a:ext cx="4829175" cy="588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E9E2D" w14:textId="77777777" w:rsidR="003E1980" w:rsidRPr="00CE6EAA" w:rsidRDefault="003E1980" w:rsidP="009A5287">
      <w:pPr>
        <w:pStyle w:val="SMcaption"/>
        <w:rPr>
          <w:rFonts w:ascii="Myriad Pro" w:hAnsi="Myriad Pro"/>
        </w:rPr>
      </w:pPr>
    </w:p>
    <w:p w14:paraId="2D8AD164" w14:textId="77777777" w:rsidR="00464734" w:rsidRDefault="00464734" w:rsidP="00464734">
      <w:pPr>
        <w:pStyle w:val="SMHeading"/>
        <w:spacing w:line="360" w:lineRule="auto"/>
        <w:rPr>
          <w:rFonts w:ascii="Myriad Pro" w:hAnsi="Myriad Pro"/>
          <w:sz w:val="22"/>
          <w:szCs w:val="22"/>
        </w:rPr>
      </w:pPr>
    </w:p>
    <w:p w14:paraId="3E8210DE" w14:textId="77777777" w:rsidR="00464734" w:rsidRDefault="00464734" w:rsidP="00464734">
      <w:pPr>
        <w:pStyle w:val="SMHeading"/>
        <w:spacing w:line="360" w:lineRule="auto"/>
        <w:rPr>
          <w:rFonts w:ascii="Myriad Pro" w:hAnsi="Myriad Pro"/>
          <w:sz w:val="22"/>
          <w:szCs w:val="22"/>
        </w:rPr>
      </w:pPr>
    </w:p>
    <w:p w14:paraId="5F1A6DDF" w14:textId="77777777" w:rsidR="00464734" w:rsidRDefault="00464734" w:rsidP="00464734">
      <w:pPr>
        <w:pStyle w:val="SMHeading"/>
        <w:spacing w:line="360" w:lineRule="auto"/>
        <w:rPr>
          <w:rFonts w:ascii="Myriad Pro" w:hAnsi="Myriad Pro"/>
          <w:sz w:val="22"/>
          <w:szCs w:val="22"/>
        </w:rPr>
      </w:pPr>
    </w:p>
    <w:p w14:paraId="5C6EED4B" w14:textId="77777777" w:rsidR="00464734" w:rsidRDefault="00464734" w:rsidP="00464734">
      <w:pPr>
        <w:pStyle w:val="SMHeading"/>
        <w:spacing w:line="360" w:lineRule="auto"/>
        <w:rPr>
          <w:rFonts w:ascii="Myriad Pro" w:hAnsi="Myriad Pro"/>
          <w:sz w:val="22"/>
          <w:szCs w:val="22"/>
        </w:rPr>
      </w:pPr>
    </w:p>
    <w:p w14:paraId="549E6762" w14:textId="77777777" w:rsidR="00464734" w:rsidRDefault="00464734" w:rsidP="00464734">
      <w:pPr>
        <w:pStyle w:val="SMHeading"/>
        <w:spacing w:line="360" w:lineRule="auto"/>
        <w:rPr>
          <w:rFonts w:ascii="Myriad Pro" w:hAnsi="Myriad Pro"/>
          <w:sz w:val="22"/>
          <w:szCs w:val="22"/>
        </w:rPr>
      </w:pPr>
    </w:p>
    <w:p w14:paraId="46F8180C" w14:textId="77777777" w:rsidR="00464734" w:rsidRDefault="00464734" w:rsidP="00464734">
      <w:pPr>
        <w:pStyle w:val="SMHeading"/>
        <w:spacing w:line="360" w:lineRule="auto"/>
        <w:rPr>
          <w:rFonts w:ascii="Myriad Pro" w:hAnsi="Myriad Pro"/>
          <w:sz w:val="22"/>
          <w:szCs w:val="22"/>
        </w:rPr>
      </w:pPr>
    </w:p>
    <w:p w14:paraId="6933FDAD" w14:textId="77777777" w:rsidR="00464734" w:rsidRDefault="00464734" w:rsidP="00464734">
      <w:pPr>
        <w:pStyle w:val="SMHeading"/>
        <w:spacing w:line="360" w:lineRule="auto"/>
        <w:rPr>
          <w:rFonts w:ascii="Myriad Pro" w:hAnsi="Myriad Pro"/>
          <w:sz w:val="22"/>
          <w:szCs w:val="22"/>
        </w:rPr>
      </w:pPr>
    </w:p>
    <w:p w14:paraId="7BE4DA72" w14:textId="77777777" w:rsidR="00464734" w:rsidRDefault="00464734" w:rsidP="00464734">
      <w:pPr>
        <w:pStyle w:val="SMHeading"/>
        <w:spacing w:line="360" w:lineRule="auto"/>
        <w:rPr>
          <w:rFonts w:ascii="Myriad Pro" w:hAnsi="Myriad Pro"/>
          <w:sz w:val="22"/>
          <w:szCs w:val="22"/>
        </w:rPr>
      </w:pPr>
    </w:p>
    <w:p w14:paraId="4DA34C37" w14:textId="77777777" w:rsidR="00464734" w:rsidRDefault="00464734" w:rsidP="00464734">
      <w:pPr>
        <w:pStyle w:val="SMHeading"/>
        <w:spacing w:line="360" w:lineRule="auto"/>
        <w:rPr>
          <w:rFonts w:ascii="Myriad Pro" w:hAnsi="Myriad Pro"/>
          <w:sz w:val="22"/>
          <w:szCs w:val="22"/>
        </w:rPr>
      </w:pPr>
    </w:p>
    <w:p w14:paraId="4AEE7855" w14:textId="77777777" w:rsidR="00464734" w:rsidRDefault="00464734" w:rsidP="00464734">
      <w:pPr>
        <w:pStyle w:val="SMHeading"/>
        <w:spacing w:line="360" w:lineRule="auto"/>
        <w:rPr>
          <w:rFonts w:ascii="Myriad Pro" w:hAnsi="Myriad Pro"/>
          <w:sz w:val="22"/>
          <w:szCs w:val="22"/>
        </w:rPr>
      </w:pPr>
    </w:p>
    <w:p w14:paraId="2C2FF325" w14:textId="77777777" w:rsidR="00464734" w:rsidRDefault="00464734" w:rsidP="00464734">
      <w:pPr>
        <w:pStyle w:val="SMHeading"/>
        <w:spacing w:line="360" w:lineRule="auto"/>
        <w:rPr>
          <w:rFonts w:ascii="Myriad Pro" w:hAnsi="Myriad Pro"/>
          <w:sz w:val="22"/>
          <w:szCs w:val="22"/>
        </w:rPr>
      </w:pPr>
    </w:p>
    <w:p w14:paraId="50FC94D4" w14:textId="4CD417BC" w:rsidR="00464734" w:rsidRDefault="00227D86" w:rsidP="00464734">
      <w:pPr>
        <w:pStyle w:val="SMHeading"/>
        <w:spacing w:line="360" w:lineRule="auto"/>
        <w:rPr>
          <w:b w:val="0"/>
          <w:bCs w:val="0"/>
          <w:lang w:val="en-GB"/>
        </w:rPr>
        <w:sectPr w:rsidR="00464734" w:rsidSect="004B4F62">
          <w:pgSz w:w="12240" w:h="15840"/>
          <w:pgMar w:top="1440" w:right="1800" w:bottom="1440" w:left="1800" w:header="720" w:footer="720" w:gutter="0"/>
          <w:pgNumType w:start="1"/>
          <w:cols w:space="720"/>
          <w:titlePg/>
          <w:docGrid w:linePitch="360"/>
        </w:sectPr>
      </w:pPr>
      <w:r w:rsidRPr="005314B5">
        <w:rPr>
          <w:rFonts w:ascii="Myriad Pro" w:hAnsi="Myriad Pro"/>
          <w:sz w:val="22"/>
          <w:szCs w:val="22"/>
        </w:rPr>
        <w:t>Figure S1</w:t>
      </w:r>
      <w:r w:rsidR="003E1980" w:rsidRPr="005314B5">
        <w:rPr>
          <w:rFonts w:ascii="Myriad Pro" w:hAnsi="Myriad Pro"/>
          <w:sz w:val="22"/>
          <w:szCs w:val="22"/>
        </w:rPr>
        <w:t xml:space="preserve">. </w:t>
      </w:r>
      <w:r w:rsidR="00BC7522" w:rsidRPr="00BC7522">
        <w:rPr>
          <w:b w:val="0"/>
          <w:bCs w:val="0"/>
          <w:lang w:val="en-GB"/>
        </w:rPr>
        <w:t xml:space="preserve">Seismic reflection line SCAN-888 across the SWBJ depocenter and A1-SBJ fault system; (a) un-interpreted section with crossing lines and seismic units 1, 2 and 3. Depth in </w:t>
      </w:r>
      <w:proofErr w:type="spellStart"/>
      <w:r w:rsidR="00BC7522" w:rsidRPr="00BC7522">
        <w:rPr>
          <w:b w:val="0"/>
          <w:bCs w:val="0"/>
          <w:lang w:val="en-GB"/>
        </w:rPr>
        <w:t>stwtt</w:t>
      </w:r>
      <w:proofErr w:type="spellEnd"/>
      <w:r w:rsidR="00BC7522" w:rsidRPr="00BC7522">
        <w:rPr>
          <w:b w:val="0"/>
          <w:bCs w:val="0"/>
          <w:lang w:val="en-GB"/>
        </w:rPr>
        <w:t xml:space="preserve"> (second two-travel time); VE= Vertical exaggeration; (b) interpreted section indicates major unconformities </w:t>
      </w:r>
      <w:proofErr w:type="spellStart"/>
      <w:r w:rsidR="00BC7522" w:rsidRPr="00BC7522">
        <w:rPr>
          <w:b w:val="0"/>
          <w:bCs w:val="0"/>
          <w:lang w:val="en-GB"/>
        </w:rPr>
        <w:t>Ua</w:t>
      </w:r>
      <w:proofErr w:type="spellEnd"/>
      <w:r w:rsidR="00BC7522" w:rsidRPr="00BC7522">
        <w:rPr>
          <w:b w:val="0"/>
          <w:bCs w:val="0"/>
          <w:lang w:val="en-GB"/>
        </w:rPr>
        <w:t xml:space="preserve">, </w:t>
      </w:r>
      <w:proofErr w:type="spellStart"/>
      <w:r w:rsidR="00BC7522" w:rsidRPr="00BC7522">
        <w:rPr>
          <w:b w:val="0"/>
          <w:bCs w:val="0"/>
          <w:lang w:val="en-GB"/>
        </w:rPr>
        <w:t>Ub</w:t>
      </w:r>
      <w:proofErr w:type="spellEnd"/>
      <w:r w:rsidR="00BC7522" w:rsidRPr="00BC7522">
        <w:rPr>
          <w:b w:val="0"/>
          <w:bCs w:val="0"/>
          <w:lang w:val="en-GB"/>
        </w:rPr>
        <w:t xml:space="preserve"> and </w:t>
      </w:r>
      <w:proofErr w:type="spellStart"/>
      <w:r w:rsidR="00BC7522" w:rsidRPr="00BC7522">
        <w:rPr>
          <w:b w:val="0"/>
          <w:bCs w:val="0"/>
          <w:lang w:val="en-GB"/>
        </w:rPr>
        <w:t>Uc</w:t>
      </w:r>
      <w:proofErr w:type="spellEnd"/>
      <w:r w:rsidR="00BC7522" w:rsidRPr="00BC7522">
        <w:rPr>
          <w:b w:val="0"/>
          <w:bCs w:val="0"/>
          <w:lang w:val="en-GB"/>
        </w:rPr>
        <w:t xml:space="preserve"> and their respective inferred ages. Blue arrows = interpreted elementary seismic sequences UTR 1 to 10 (see Table S1). Purple arrows = interpreted elementary seismic sequences MTR A to E. Note that </w:t>
      </w:r>
      <w:r w:rsidR="00BC7522" w:rsidRPr="00BC7522">
        <w:rPr>
          <w:b w:val="0"/>
          <w:bCs w:val="0"/>
        </w:rPr>
        <w:t xml:space="preserve">due to the wedge shape of Unit 3, </w:t>
      </w:r>
      <w:r w:rsidR="00C022B2">
        <w:rPr>
          <w:b w:val="0"/>
          <w:bCs w:val="0"/>
        </w:rPr>
        <w:t xml:space="preserve">sequence </w:t>
      </w:r>
      <w:r w:rsidR="00BC7522" w:rsidRPr="00BC7522">
        <w:rPr>
          <w:b w:val="0"/>
          <w:bCs w:val="0"/>
          <w:lang w:val="en-GB"/>
        </w:rPr>
        <w:t>A is absent in SCAN 888 but present in crossing line ATAC- 51 (Fig. 4). Green arrows = interpreted elementary seismic sequences LTR F to X. Unit L3a is Lower Pliocene after Hernandez et al., (2020). SBJ is South Bahia Jama fault segment; A1 is branching fault; (c) Location</w:t>
      </w:r>
      <w:r w:rsidR="00C022B2">
        <w:rPr>
          <w:b w:val="0"/>
          <w:bCs w:val="0"/>
          <w:lang w:val="en-GB"/>
        </w:rPr>
        <w:t xml:space="preserve"> map</w:t>
      </w:r>
    </w:p>
    <w:p w14:paraId="310504A6" w14:textId="77777777" w:rsidR="00464734" w:rsidRDefault="00464734" w:rsidP="00464734">
      <w:pPr>
        <w:pStyle w:val="SMHeading"/>
        <w:spacing w:line="360" w:lineRule="auto"/>
        <w:rPr>
          <w:rFonts w:ascii="Myriad Pro" w:hAnsi="Myriad Pro"/>
          <w:b w:val="0"/>
          <w:bCs w:val="0"/>
          <w:sz w:val="22"/>
          <w:szCs w:val="22"/>
        </w:rPr>
      </w:pPr>
      <w:r>
        <w:rPr>
          <w:rFonts w:ascii="Myriad Pro" w:hAnsi="Myriad Pro"/>
          <w:noProof/>
          <w:sz w:val="22"/>
          <w:szCs w:val="22"/>
        </w:rPr>
        <w:lastRenderedPageBreak/>
        <w:drawing>
          <wp:anchor distT="0" distB="0" distL="114300" distR="114300" simplePos="0" relativeHeight="251659264" behindDoc="0" locked="0" layoutInCell="1" allowOverlap="1" wp14:anchorId="73B12451" wp14:editId="66C5A750">
            <wp:simplePos x="0" y="0"/>
            <wp:positionH relativeFrom="margin">
              <wp:posOffset>-450850</wp:posOffset>
            </wp:positionH>
            <wp:positionV relativeFrom="margin">
              <wp:posOffset>-320040</wp:posOffset>
            </wp:positionV>
            <wp:extent cx="6490335" cy="545084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0335" cy="5450840"/>
                    </a:xfrm>
                    <a:prstGeom prst="rect">
                      <a:avLst/>
                    </a:prstGeom>
                  </pic:spPr>
                </pic:pic>
              </a:graphicData>
            </a:graphic>
            <wp14:sizeRelH relativeFrom="margin">
              <wp14:pctWidth>0</wp14:pctWidth>
            </wp14:sizeRelH>
            <wp14:sizeRelV relativeFrom="margin">
              <wp14:pctHeight>0</wp14:pctHeight>
            </wp14:sizeRelV>
          </wp:anchor>
        </w:drawing>
      </w:r>
    </w:p>
    <w:p w14:paraId="77CC0231" w14:textId="77777777" w:rsidR="002F1864" w:rsidRDefault="00464734" w:rsidP="00464734">
      <w:pPr>
        <w:pStyle w:val="SMHeading"/>
        <w:spacing w:line="360" w:lineRule="auto"/>
        <w:rPr>
          <w:b w:val="0"/>
          <w:bCs w:val="0"/>
        </w:rPr>
        <w:sectPr w:rsidR="002F1864" w:rsidSect="00F125EE">
          <w:pgSz w:w="12240" w:h="15840"/>
          <w:pgMar w:top="1440" w:right="1800" w:bottom="1440" w:left="1800" w:header="720" w:footer="720" w:gutter="0"/>
          <w:pgNumType w:start="1"/>
          <w:cols w:space="720"/>
          <w:docGrid w:linePitch="360"/>
        </w:sectPr>
      </w:pPr>
      <w:r w:rsidRPr="00464734">
        <w:rPr>
          <w:rFonts w:ascii="Myriad Pro" w:hAnsi="Myriad Pro"/>
          <w:sz w:val="22"/>
          <w:szCs w:val="22"/>
        </w:rPr>
        <w:t>Figure S2.</w:t>
      </w:r>
      <w:r w:rsidRPr="00464734">
        <w:rPr>
          <w:rFonts w:ascii="Myriad Pro" w:hAnsi="Myriad Pro"/>
          <w:b w:val="0"/>
          <w:bCs w:val="0"/>
          <w:sz w:val="22"/>
          <w:szCs w:val="22"/>
        </w:rPr>
        <w:t xml:space="preserve"> </w:t>
      </w:r>
      <w:r w:rsidRPr="00464734">
        <w:rPr>
          <w:b w:val="0"/>
          <w:bCs w:val="0"/>
        </w:rPr>
        <w:t>Seismic reflection line ATAC-50 across the Manta anticline with sediment core location; (a) un-interpreted section with crossing lines; (b) interpreted section (see Figure 4 for caption) with sedimentary cores KAT31, 32, 33 and their length; (c) location map.</w:t>
      </w:r>
    </w:p>
    <w:p w14:paraId="23444125" w14:textId="61F7F1FF" w:rsidR="00752CFD" w:rsidRDefault="007220EE" w:rsidP="00752CFD">
      <w:pPr>
        <w:pStyle w:val="SMHeading"/>
        <w:spacing w:line="360" w:lineRule="auto"/>
        <w:rPr>
          <w:rFonts w:ascii="Myriad Pro" w:hAnsi="Myriad Pro"/>
          <w:b w:val="0"/>
          <w:bCs w:val="0"/>
          <w:sz w:val="22"/>
          <w:szCs w:val="22"/>
        </w:rPr>
      </w:pPr>
      <w:r w:rsidRPr="00752CFD">
        <w:rPr>
          <w:rFonts w:ascii="Myriad Pro" w:hAnsi="Myriad Pro"/>
          <w:noProof/>
          <w:sz w:val="22"/>
          <w:szCs w:val="22"/>
        </w:rPr>
        <w:lastRenderedPageBreak/>
        <w:drawing>
          <wp:anchor distT="0" distB="0" distL="114300" distR="114300" simplePos="0" relativeHeight="251660288" behindDoc="0" locked="0" layoutInCell="1" allowOverlap="1" wp14:anchorId="0536B0AE" wp14:editId="000BB35C">
            <wp:simplePos x="0" y="0"/>
            <wp:positionH relativeFrom="margin">
              <wp:posOffset>-15875</wp:posOffset>
            </wp:positionH>
            <wp:positionV relativeFrom="margin">
              <wp:posOffset>-275590</wp:posOffset>
            </wp:positionV>
            <wp:extent cx="5495290" cy="6081395"/>
            <wp:effectExtent l="0" t="0" r="3810" b="190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rcRect l="76" r="76"/>
                    <a:stretch>
                      <a:fillRect/>
                    </a:stretch>
                  </pic:blipFill>
                  <pic:spPr bwMode="auto">
                    <a:xfrm>
                      <a:off x="0" y="0"/>
                      <a:ext cx="5495290" cy="608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61B7F" w14:textId="5D5F0237" w:rsidR="002F1864" w:rsidRPr="00752CFD" w:rsidRDefault="00752CFD" w:rsidP="00752CFD">
      <w:pPr>
        <w:pStyle w:val="SMHeading"/>
        <w:spacing w:line="360" w:lineRule="auto"/>
        <w:rPr>
          <w:rFonts w:ascii="Myriad Pro" w:hAnsi="Myriad Pro"/>
          <w:b w:val="0"/>
          <w:bCs w:val="0"/>
          <w:sz w:val="22"/>
          <w:szCs w:val="22"/>
        </w:rPr>
      </w:pPr>
      <w:r w:rsidRPr="00752CFD">
        <w:rPr>
          <w:rFonts w:ascii="Myriad Pro" w:hAnsi="Myriad Pro"/>
          <w:sz w:val="22"/>
          <w:szCs w:val="22"/>
        </w:rPr>
        <w:t>Figure S</w:t>
      </w:r>
      <w:r>
        <w:rPr>
          <w:rFonts w:ascii="Myriad Pro" w:hAnsi="Myriad Pro"/>
          <w:sz w:val="22"/>
          <w:szCs w:val="22"/>
        </w:rPr>
        <w:t>3</w:t>
      </w:r>
      <w:r w:rsidRPr="00752CFD">
        <w:t>.</w:t>
      </w:r>
      <w:r>
        <w:t xml:space="preserve"> </w:t>
      </w:r>
      <w:r w:rsidR="002F1864" w:rsidRPr="00752CFD">
        <w:rPr>
          <w:b w:val="0"/>
          <w:bCs w:val="0"/>
          <w:lang w:val="en-GB"/>
        </w:rPr>
        <w:t xml:space="preserve">Piston core data collected along line ATAC-46-1 (Fig. 1c and 6-I). top: Core KAT25 is 1.77 m-long; the core shows the sharp contact between bioclastic medium sand below and glauconitic fine sand above interpreted as the unconformity between UTR sequences 8 and 9 of unit 1; a shell collected 3 cm above the unconformity provided a </w:t>
      </w:r>
      <w:r w:rsidR="0008084B" w:rsidRPr="008C4F9D">
        <w:rPr>
          <w:vertAlign w:val="superscript"/>
          <w:lang w:val="en-GB"/>
        </w:rPr>
        <w:t>14</w:t>
      </w:r>
      <w:r w:rsidR="0008084B" w:rsidRPr="000F149F">
        <w:rPr>
          <w:lang w:val="en-GB"/>
        </w:rPr>
        <w:t>C</w:t>
      </w:r>
      <w:r w:rsidR="002F1864" w:rsidRPr="00752CFD">
        <w:rPr>
          <w:b w:val="0"/>
          <w:bCs w:val="0"/>
          <w:lang w:val="en-GB"/>
        </w:rPr>
        <w:t xml:space="preserve"> age of 46,400 </w:t>
      </w:r>
      <w:proofErr w:type="spellStart"/>
      <w:r w:rsidR="002F1864" w:rsidRPr="00752CFD">
        <w:rPr>
          <w:b w:val="0"/>
          <w:bCs w:val="0"/>
          <w:lang w:val="en-GB"/>
        </w:rPr>
        <w:t>kyrs</w:t>
      </w:r>
      <w:proofErr w:type="spellEnd"/>
      <w:r w:rsidR="002F1864" w:rsidRPr="00752CFD">
        <w:rPr>
          <w:b w:val="0"/>
          <w:bCs w:val="0"/>
          <w:lang w:val="en-GB"/>
        </w:rPr>
        <w:t xml:space="preserve"> BP;</w:t>
      </w:r>
      <w:r w:rsidR="002F1864" w:rsidRPr="00752CFD">
        <w:rPr>
          <w:b w:val="0"/>
          <w:bCs w:val="0"/>
        </w:rPr>
        <w:t xml:space="preserve"> bottom: core location on Chirp line 46-1 (Fig; 6-Id).</w:t>
      </w:r>
    </w:p>
    <w:p w14:paraId="14EC24EA" w14:textId="77777777" w:rsidR="002F1864" w:rsidRDefault="002F1864" w:rsidP="00477182">
      <w:pPr>
        <w:pStyle w:val="SMcaption"/>
        <w:rPr>
          <w:rFonts w:ascii="Myriad Pro" w:hAnsi="Myriad Pro"/>
          <w:b/>
          <w:bCs/>
          <w:sz w:val="22"/>
          <w:szCs w:val="22"/>
        </w:rPr>
        <w:sectPr w:rsidR="002F1864" w:rsidSect="00F125EE">
          <w:pgSz w:w="12240" w:h="15840"/>
          <w:pgMar w:top="1440" w:right="1800" w:bottom="1440" w:left="1800" w:header="720" w:footer="720" w:gutter="0"/>
          <w:pgNumType w:start="1"/>
          <w:cols w:space="720"/>
          <w:docGrid w:linePitch="360"/>
        </w:sectPr>
      </w:pPr>
    </w:p>
    <w:p w14:paraId="2534C083" w14:textId="31A50932" w:rsidR="00464734" w:rsidRPr="00464734" w:rsidRDefault="002F1864" w:rsidP="00477182">
      <w:pPr>
        <w:pStyle w:val="SMcaption"/>
        <w:rPr>
          <w:rFonts w:ascii="Myriad Pro" w:hAnsi="Myriad Pro"/>
          <w:b/>
          <w:bCs/>
          <w:sz w:val="22"/>
          <w:szCs w:val="22"/>
        </w:rPr>
      </w:pPr>
      <w:r>
        <w:rPr>
          <w:rFonts w:ascii="Myriad Pro" w:hAnsi="Myriad Pro"/>
          <w:b/>
          <w:bCs/>
          <w:noProof/>
          <w:sz w:val="22"/>
          <w:szCs w:val="22"/>
        </w:rPr>
        <w:lastRenderedPageBreak/>
        <w:drawing>
          <wp:anchor distT="0" distB="0" distL="114300" distR="114300" simplePos="0" relativeHeight="251663360" behindDoc="0" locked="0" layoutInCell="1" allowOverlap="1" wp14:anchorId="235E9117" wp14:editId="48B4C0DD">
            <wp:simplePos x="0" y="0"/>
            <wp:positionH relativeFrom="margin">
              <wp:posOffset>-281940</wp:posOffset>
            </wp:positionH>
            <wp:positionV relativeFrom="margin">
              <wp:posOffset>-195580</wp:posOffset>
            </wp:positionV>
            <wp:extent cx="6321425" cy="4429760"/>
            <wp:effectExtent l="0" t="0" r="3175" b="25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1425" cy="4429760"/>
                    </a:xfrm>
                    <a:prstGeom prst="rect">
                      <a:avLst/>
                    </a:prstGeom>
                  </pic:spPr>
                </pic:pic>
              </a:graphicData>
            </a:graphic>
            <wp14:sizeRelH relativeFrom="margin">
              <wp14:pctWidth>0</wp14:pctWidth>
            </wp14:sizeRelH>
            <wp14:sizeRelV relativeFrom="margin">
              <wp14:pctHeight>0</wp14:pctHeight>
            </wp14:sizeRelV>
          </wp:anchor>
        </w:drawing>
      </w:r>
    </w:p>
    <w:p w14:paraId="2E73D25C" w14:textId="2C59EEC3" w:rsidR="00464734" w:rsidRDefault="00464734" w:rsidP="00477182">
      <w:pPr>
        <w:pStyle w:val="SMcaption"/>
        <w:rPr>
          <w:rFonts w:ascii="Myriad Pro" w:hAnsi="Myriad Pro"/>
          <w:sz w:val="22"/>
          <w:szCs w:val="22"/>
        </w:rPr>
      </w:pPr>
    </w:p>
    <w:p w14:paraId="3E26F66B" w14:textId="77777777" w:rsidR="002F1864" w:rsidRDefault="002F1864" w:rsidP="002F1864">
      <w:pPr>
        <w:spacing w:line="360" w:lineRule="auto"/>
        <w:rPr>
          <w:lang w:val="en-GB"/>
        </w:rPr>
        <w:sectPr w:rsidR="002F1864" w:rsidSect="00F125EE">
          <w:pgSz w:w="12240" w:h="15840"/>
          <w:pgMar w:top="1440" w:right="1800" w:bottom="1440" w:left="1800" w:header="720" w:footer="720" w:gutter="0"/>
          <w:pgNumType w:start="1"/>
          <w:cols w:space="720"/>
          <w:docGrid w:linePitch="360"/>
        </w:sectPr>
      </w:pPr>
      <w:r w:rsidRPr="002F1864">
        <w:rPr>
          <w:rFonts w:ascii="Myriad Pro" w:hAnsi="Myriad Pro"/>
          <w:b/>
          <w:bCs/>
          <w:sz w:val="22"/>
          <w:szCs w:val="22"/>
        </w:rPr>
        <w:t>Figure S</w:t>
      </w:r>
      <w:r>
        <w:rPr>
          <w:rFonts w:ascii="Myriad Pro" w:hAnsi="Myriad Pro"/>
          <w:b/>
          <w:bCs/>
          <w:sz w:val="22"/>
          <w:szCs w:val="22"/>
        </w:rPr>
        <w:t>4</w:t>
      </w:r>
      <w:r>
        <w:t xml:space="preserve">. </w:t>
      </w:r>
      <w:r w:rsidRPr="000F149F">
        <w:rPr>
          <w:lang w:val="en-GB"/>
        </w:rPr>
        <w:t>Seismic reflection line ATAC-65 across the northern end of the shelf promontory; a) un-interpreted section with crossing lines; b) interpreted section (see Figure 4 for stratigraphy and ages caption). Note the seaward thickening of sequence UTR1 pointing to a period of subsidence of the shelf promontory; c) As identified in line ATAC-61(Fig. 9) the zoom images the landward diverging pattern of lower strata of sequence UTR2 (thin black double arrows beneath the red arrow) that contrasts with the trenchward diverging pattern of sequence UTR1, thus dating the recent uplift and landward tilt of the outer shelf (see text)</w:t>
      </w:r>
      <w:r>
        <w:rPr>
          <w:lang w:val="en-GB"/>
        </w:rPr>
        <w:t xml:space="preserve">; d) </w:t>
      </w:r>
      <w:r w:rsidRPr="000F149F">
        <w:rPr>
          <w:lang w:val="en-GB"/>
        </w:rPr>
        <w:t xml:space="preserve">Location </w:t>
      </w:r>
      <w:r>
        <w:rPr>
          <w:lang w:val="en-GB"/>
        </w:rPr>
        <w:t>map;</w:t>
      </w:r>
    </w:p>
    <w:p w14:paraId="55762E25" w14:textId="572BDDF6" w:rsidR="002F1864" w:rsidRPr="000F149F" w:rsidRDefault="002F1864" w:rsidP="002F1864">
      <w:pPr>
        <w:spacing w:line="360" w:lineRule="auto"/>
        <w:rPr>
          <w:lang w:val="en-GB"/>
        </w:rPr>
      </w:pPr>
      <w:r>
        <w:rPr>
          <w:noProof/>
          <w:lang w:val="en-GB"/>
        </w:rPr>
        <w:lastRenderedPageBreak/>
        <w:drawing>
          <wp:anchor distT="0" distB="0" distL="114300" distR="114300" simplePos="0" relativeHeight="251664384" behindDoc="0" locked="0" layoutInCell="1" allowOverlap="1" wp14:anchorId="48EF1C61" wp14:editId="79536D72">
            <wp:simplePos x="0" y="0"/>
            <wp:positionH relativeFrom="margin">
              <wp:posOffset>-184785</wp:posOffset>
            </wp:positionH>
            <wp:positionV relativeFrom="margin">
              <wp:posOffset>-231140</wp:posOffset>
            </wp:positionV>
            <wp:extent cx="5948045" cy="650684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8045" cy="6506845"/>
                    </a:xfrm>
                    <a:prstGeom prst="rect">
                      <a:avLst/>
                    </a:prstGeom>
                  </pic:spPr>
                </pic:pic>
              </a:graphicData>
            </a:graphic>
            <wp14:sizeRelH relativeFrom="margin">
              <wp14:pctWidth>0</wp14:pctWidth>
            </wp14:sizeRelH>
            <wp14:sizeRelV relativeFrom="margin">
              <wp14:pctHeight>0</wp14:pctHeight>
            </wp14:sizeRelV>
          </wp:anchor>
        </w:drawing>
      </w:r>
    </w:p>
    <w:p w14:paraId="7EA32FEE" w14:textId="46C10080" w:rsidR="002F1864" w:rsidRPr="000F149F" w:rsidRDefault="002F1864" w:rsidP="002F1864">
      <w:pPr>
        <w:spacing w:line="360" w:lineRule="auto"/>
        <w:rPr>
          <w:lang w:val="en-GB"/>
        </w:rPr>
      </w:pPr>
      <w:r w:rsidRPr="002F1864">
        <w:rPr>
          <w:rFonts w:ascii="Myriad Pro" w:hAnsi="Myriad Pro"/>
          <w:b/>
          <w:bCs/>
          <w:sz w:val="22"/>
          <w:szCs w:val="22"/>
        </w:rPr>
        <w:t>Figure S</w:t>
      </w:r>
      <w:r>
        <w:rPr>
          <w:rFonts w:ascii="Myriad Pro" w:hAnsi="Myriad Pro"/>
          <w:b/>
          <w:bCs/>
          <w:sz w:val="22"/>
          <w:szCs w:val="22"/>
        </w:rPr>
        <w:t xml:space="preserve">5. </w:t>
      </w:r>
      <w:r w:rsidRPr="000F149F">
        <w:rPr>
          <w:lang w:val="en-GB"/>
        </w:rPr>
        <w:t>Mass Transport Deposits (MTD</w:t>
      </w:r>
      <w:r>
        <w:rPr>
          <w:lang w:val="en-GB"/>
        </w:rPr>
        <w:t>) in s</w:t>
      </w:r>
      <w:r w:rsidRPr="000F149F">
        <w:rPr>
          <w:lang w:val="en-GB"/>
        </w:rPr>
        <w:t>eismic reflection line ATAC-83</w:t>
      </w:r>
      <w:r>
        <w:rPr>
          <w:lang w:val="en-GB"/>
        </w:rPr>
        <w:t xml:space="preserve">; a) </w:t>
      </w:r>
      <w:r w:rsidRPr="000F149F">
        <w:rPr>
          <w:lang w:val="en-GB"/>
        </w:rPr>
        <w:t>un-interpreted section with crossing lines; b) interpreted section (see Figure 4 for stratigraphy and ages caption) shows poorly stratified bodies returning incoherent reflections, interpreted as MTD</w:t>
      </w:r>
      <w:r>
        <w:rPr>
          <w:lang w:val="en-GB"/>
        </w:rPr>
        <w:t>;</w:t>
      </w:r>
      <w:r w:rsidRPr="000F149F">
        <w:rPr>
          <w:lang w:val="en-GB"/>
        </w:rPr>
        <w:t xml:space="preserve"> </w:t>
      </w:r>
      <w:r>
        <w:rPr>
          <w:lang w:val="en-GB"/>
        </w:rPr>
        <w:t>t</w:t>
      </w:r>
      <w:r w:rsidRPr="000F149F">
        <w:rPr>
          <w:lang w:val="en-GB"/>
        </w:rPr>
        <w:t>hese sedimentary bodies were emplaced between UTR 2 and 3</w:t>
      </w:r>
      <w:r>
        <w:rPr>
          <w:lang w:val="en-GB"/>
        </w:rPr>
        <w:t>,</w:t>
      </w:r>
      <w:r w:rsidRPr="000F149F">
        <w:rPr>
          <w:lang w:val="en-GB"/>
        </w:rPr>
        <w:t xml:space="preserve"> immediately south of the Canoa Ridge and North Canoa Fault (</w:t>
      </w:r>
      <w:proofErr w:type="spellStart"/>
      <w:r w:rsidRPr="000F149F">
        <w:rPr>
          <w:lang w:val="en-GB"/>
        </w:rPr>
        <w:t>NCa</w:t>
      </w:r>
      <w:proofErr w:type="spellEnd"/>
      <w:r w:rsidRPr="000F149F">
        <w:rPr>
          <w:lang w:val="en-GB"/>
        </w:rPr>
        <w:t>)</w:t>
      </w:r>
      <w:r>
        <w:rPr>
          <w:lang w:val="en-GB"/>
        </w:rPr>
        <w:t xml:space="preserve">; c) </w:t>
      </w:r>
      <w:r w:rsidRPr="000F149F">
        <w:rPr>
          <w:lang w:val="en-GB"/>
        </w:rPr>
        <w:t xml:space="preserve">Location </w:t>
      </w:r>
      <w:r>
        <w:rPr>
          <w:lang w:val="en-GB"/>
        </w:rPr>
        <w:t>map; pink patch shows geographic extent of the MT</w:t>
      </w:r>
      <w:r w:rsidR="001D620A">
        <w:rPr>
          <w:lang w:val="en-GB"/>
        </w:rPr>
        <w:t>D</w:t>
      </w:r>
      <w:r w:rsidRPr="000F149F">
        <w:rPr>
          <w:lang w:val="en-GB"/>
        </w:rPr>
        <w:t>.</w:t>
      </w:r>
    </w:p>
    <w:p w14:paraId="22322425" w14:textId="62D6B1EF" w:rsidR="002F1864" w:rsidRDefault="002F1864" w:rsidP="0066722B">
      <w:pPr>
        <w:pStyle w:val="SMHeading"/>
        <w:rPr>
          <w:rFonts w:ascii="Myriad Pro" w:hAnsi="Myriad Pro"/>
          <w:sz w:val="22"/>
          <w:szCs w:val="22"/>
        </w:rPr>
      </w:pPr>
      <w:r>
        <w:rPr>
          <w:rFonts w:ascii="Myriad Pro" w:hAnsi="Myriad Pro"/>
          <w:noProof/>
          <w:sz w:val="22"/>
          <w:szCs w:val="22"/>
        </w:rPr>
        <w:lastRenderedPageBreak/>
        <w:drawing>
          <wp:anchor distT="0" distB="0" distL="114300" distR="114300" simplePos="0" relativeHeight="251661312" behindDoc="0" locked="0" layoutInCell="1" allowOverlap="1" wp14:anchorId="61750A8B" wp14:editId="24C0C4C8">
            <wp:simplePos x="0" y="0"/>
            <wp:positionH relativeFrom="margin">
              <wp:posOffset>57150</wp:posOffset>
            </wp:positionH>
            <wp:positionV relativeFrom="margin">
              <wp:posOffset>-249555</wp:posOffset>
            </wp:positionV>
            <wp:extent cx="5208905" cy="629983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6">
                      <a:extLst>
                        <a:ext uri="{28A0092B-C50C-407E-A947-70E740481C1C}">
                          <a14:useLocalDpi xmlns:a14="http://schemas.microsoft.com/office/drawing/2010/main" val="0"/>
                        </a:ext>
                      </a:extLst>
                    </a:blip>
                    <a:srcRect l="3199" t="3773" r="4366" b="9846"/>
                    <a:stretch/>
                  </pic:blipFill>
                  <pic:spPr bwMode="auto">
                    <a:xfrm>
                      <a:off x="0" y="0"/>
                      <a:ext cx="5208905" cy="629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FC707" w14:textId="77777777" w:rsidR="002F1864" w:rsidRDefault="0066722B" w:rsidP="002F1864">
      <w:pPr>
        <w:pStyle w:val="SMHeading"/>
        <w:spacing w:line="360" w:lineRule="auto"/>
        <w:rPr>
          <w:b w:val="0"/>
          <w:bCs w:val="0"/>
          <w:lang w:val="en-GB"/>
        </w:rPr>
        <w:sectPr w:rsidR="002F1864" w:rsidSect="00F125EE">
          <w:pgSz w:w="12240" w:h="15840"/>
          <w:pgMar w:top="1440" w:right="1800" w:bottom="1440" w:left="1800" w:header="720" w:footer="720" w:gutter="0"/>
          <w:pgNumType w:start="1"/>
          <w:cols w:space="720"/>
          <w:docGrid w:linePitch="360"/>
        </w:sectPr>
      </w:pPr>
      <w:r w:rsidRPr="005314B5">
        <w:rPr>
          <w:rFonts w:ascii="Myriad Pro" w:hAnsi="Myriad Pro"/>
          <w:sz w:val="22"/>
          <w:szCs w:val="22"/>
        </w:rPr>
        <w:t xml:space="preserve">Table S1. </w:t>
      </w:r>
      <w:r w:rsidR="002F1864" w:rsidRPr="002F1864">
        <w:rPr>
          <w:b w:val="0"/>
          <w:bCs w:val="0"/>
          <w:lang w:val="en-GB"/>
        </w:rPr>
        <w:t>T-R sequences from the seismic stratigraphy and the proposed correlation of their boundaries to Marine Isotopic Stages (MIS) and their associated ages (</w:t>
      </w:r>
      <w:hyperlink r:id="rId17" w:history="1">
        <w:r w:rsidR="002F1864" w:rsidRPr="002F1864">
          <w:rPr>
            <w:b w:val="0"/>
            <w:bCs w:val="0"/>
            <w:lang w:val="en-GB"/>
          </w:rPr>
          <w:t>http://www.lorraine-lisiecki.com/LR04_MISboundaries.txt</w:t>
        </w:r>
      </w:hyperlink>
      <w:r w:rsidR="002F1864" w:rsidRPr="002F1864">
        <w:rPr>
          <w:b w:val="0"/>
          <w:bCs w:val="0"/>
          <w:lang w:val="en-GB"/>
        </w:rPr>
        <w:t>)</w:t>
      </w:r>
    </w:p>
    <w:p w14:paraId="67433767" w14:textId="3554EFF5" w:rsidR="0066722B" w:rsidRPr="002F1864" w:rsidRDefault="002F1864" w:rsidP="002F1864">
      <w:pPr>
        <w:pStyle w:val="SMHeading"/>
        <w:spacing w:line="360" w:lineRule="auto"/>
        <w:rPr>
          <w:rFonts w:ascii="Myriad Pro" w:hAnsi="Myriad Pro"/>
          <w:b w:val="0"/>
          <w:bCs w:val="0"/>
          <w:sz w:val="22"/>
          <w:szCs w:val="22"/>
        </w:rPr>
      </w:pPr>
      <w:r>
        <w:rPr>
          <w:rFonts w:ascii="Myriad Pro" w:hAnsi="Myriad Pro"/>
          <w:b w:val="0"/>
          <w:bCs w:val="0"/>
          <w:noProof/>
          <w:sz w:val="22"/>
          <w:szCs w:val="22"/>
        </w:rPr>
        <w:lastRenderedPageBreak/>
        <w:drawing>
          <wp:anchor distT="0" distB="0" distL="114300" distR="114300" simplePos="0" relativeHeight="251662336" behindDoc="0" locked="0" layoutInCell="1" allowOverlap="1" wp14:anchorId="16864C3E" wp14:editId="28A93188">
            <wp:simplePos x="0" y="0"/>
            <wp:positionH relativeFrom="margin">
              <wp:posOffset>-367665</wp:posOffset>
            </wp:positionH>
            <wp:positionV relativeFrom="margin">
              <wp:posOffset>-267970</wp:posOffset>
            </wp:positionV>
            <wp:extent cx="6354445" cy="395033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8">
                      <a:extLst>
                        <a:ext uri="{28A0092B-C50C-407E-A947-70E740481C1C}">
                          <a14:useLocalDpi xmlns:a14="http://schemas.microsoft.com/office/drawing/2010/main" val="0"/>
                        </a:ext>
                      </a:extLst>
                    </a:blip>
                    <a:srcRect l="4210" t="11913" r="5870" b="8976"/>
                    <a:stretch/>
                  </pic:blipFill>
                  <pic:spPr bwMode="auto">
                    <a:xfrm>
                      <a:off x="0" y="0"/>
                      <a:ext cx="6354445" cy="395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792F84" w14:textId="4EC8333B" w:rsidR="00B9440A" w:rsidRPr="002F1864" w:rsidRDefault="002F1864" w:rsidP="002F1864">
      <w:pPr>
        <w:pStyle w:val="SMcaption"/>
        <w:spacing w:line="360" w:lineRule="auto"/>
        <w:rPr>
          <w:rFonts w:ascii="Myriad Pro" w:hAnsi="Myriad Pro"/>
          <w:sz w:val="22"/>
          <w:szCs w:val="22"/>
        </w:rPr>
      </w:pPr>
      <w:r w:rsidRPr="002F1864">
        <w:rPr>
          <w:rFonts w:ascii="Myriad Pro" w:hAnsi="Myriad Pro"/>
          <w:b/>
          <w:bCs/>
          <w:sz w:val="22"/>
          <w:szCs w:val="22"/>
        </w:rPr>
        <w:t>Table S</w:t>
      </w:r>
      <w:r>
        <w:rPr>
          <w:rFonts w:ascii="Myriad Pro" w:hAnsi="Myriad Pro"/>
          <w:b/>
          <w:bCs/>
          <w:sz w:val="22"/>
          <w:szCs w:val="22"/>
        </w:rPr>
        <w:t>2</w:t>
      </w:r>
      <w:r w:rsidRPr="002F1864">
        <w:rPr>
          <w:rFonts w:ascii="Myriad Pro" w:hAnsi="Myriad Pro"/>
          <w:b/>
          <w:bCs/>
          <w:sz w:val="22"/>
          <w:szCs w:val="22"/>
        </w:rPr>
        <w:t>.</w:t>
      </w:r>
      <w:r>
        <w:rPr>
          <w:rFonts w:ascii="Myriad Pro" w:hAnsi="Myriad Pro"/>
          <w:sz w:val="22"/>
          <w:szCs w:val="22"/>
        </w:rPr>
        <w:t xml:space="preserve"> </w:t>
      </w:r>
      <w:r>
        <w:rPr>
          <w:lang w:val="en-GB"/>
        </w:rPr>
        <w:t xml:space="preserve">Lithology, Depositional environment and Ages of sediment cored at site KAT24 and 25, and KAT29 to 33 offshore Central Ecuador (Location in Fig. 1c); ages and depositional environment were derived from </w:t>
      </w:r>
      <w:r w:rsidRPr="000F149F">
        <w:rPr>
          <w:lang w:val="en-GB"/>
        </w:rPr>
        <w:t>planktonic</w:t>
      </w:r>
      <w:r w:rsidRPr="000F149F">
        <w:rPr>
          <w:spacing w:val="4"/>
          <w:lang w:val="en-GB"/>
        </w:rPr>
        <w:t xml:space="preserve"> </w:t>
      </w:r>
      <w:r w:rsidRPr="000F149F">
        <w:rPr>
          <w:lang w:val="en-GB"/>
        </w:rPr>
        <w:t>and</w:t>
      </w:r>
      <w:r w:rsidRPr="000F149F">
        <w:rPr>
          <w:spacing w:val="4"/>
          <w:lang w:val="en-GB"/>
        </w:rPr>
        <w:t xml:space="preserve"> </w:t>
      </w:r>
      <w:r w:rsidRPr="000F149F">
        <w:rPr>
          <w:lang w:val="en-GB"/>
        </w:rPr>
        <w:t>benthic</w:t>
      </w:r>
      <w:r w:rsidRPr="000F149F">
        <w:rPr>
          <w:spacing w:val="4"/>
          <w:lang w:val="en-GB"/>
        </w:rPr>
        <w:t xml:space="preserve"> </w:t>
      </w:r>
      <w:r w:rsidRPr="000F149F">
        <w:rPr>
          <w:lang w:val="en-GB"/>
        </w:rPr>
        <w:t>foraminifer</w:t>
      </w:r>
      <w:r w:rsidRPr="000F149F">
        <w:rPr>
          <w:spacing w:val="4"/>
          <w:lang w:val="en-GB"/>
        </w:rPr>
        <w:t xml:space="preserve"> </w:t>
      </w:r>
      <w:r w:rsidRPr="000F149F">
        <w:rPr>
          <w:lang w:val="en-GB"/>
        </w:rPr>
        <w:t>assemblages</w:t>
      </w:r>
      <w:r w:rsidRPr="000F149F">
        <w:rPr>
          <w:spacing w:val="4"/>
          <w:lang w:val="en-GB"/>
        </w:rPr>
        <w:t xml:space="preserve"> </w:t>
      </w:r>
      <w:r w:rsidRPr="00150253">
        <w:rPr>
          <w:lang w:val="en-GB"/>
        </w:rPr>
        <w:t>(Popescu, 2021</w:t>
      </w:r>
      <w:r w:rsidRPr="000F149F">
        <w:rPr>
          <w:lang w:val="en-GB"/>
        </w:rPr>
        <w:t>).</w:t>
      </w:r>
    </w:p>
    <w:sectPr w:rsidR="00B9440A" w:rsidRPr="002F1864"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7366E" w14:textId="77777777" w:rsidR="00925C76" w:rsidRDefault="00925C76">
      <w:r>
        <w:separator/>
      </w:r>
    </w:p>
  </w:endnote>
  <w:endnote w:type="continuationSeparator" w:id="0">
    <w:p w14:paraId="04EE7A2F" w14:textId="77777777" w:rsidR="00925C76" w:rsidRDefault="00925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font>
  <w:font w:name="Myriad Pro">
    <w:altName w:val="Segoe UI"/>
    <w:panose1 w:val="020B0604020202020204"/>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25207338"/>
      <w:docPartObj>
        <w:docPartGallery w:val="Page Numbers (Bottom of Page)"/>
        <w:docPartUnique/>
      </w:docPartObj>
    </w:sdtPr>
    <w:sdtEndPr>
      <w:rPr>
        <w:rStyle w:val="Numrodepage"/>
      </w:rPr>
    </w:sdtEndPr>
    <w:sdtContent>
      <w:p w14:paraId="008B3F5F" w14:textId="2E784F28" w:rsidR="004B4F62" w:rsidRDefault="004B4F62" w:rsidP="004B4F6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BD5B4F0" w14:textId="77777777" w:rsidR="004B4F62" w:rsidRDefault="004B4F62" w:rsidP="004B4F6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99478259"/>
      <w:docPartObj>
        <w:docPartGallery w:val="Page Numbers (Bottom of Page)"/>
        <w:docPartUnique/>
      </w:docPartObj>
    </w:sdtPr>
    <w:sdtEndPr>
      <w:rPr>
        <w:rStyle w:val="Numrodepage"/>
      </w:rPr>
    </w:sdtEndPr>
    <w:sdtContent>
      <w:p w14:paraId="2213EE5E" w14:textId="112412AE" w:rsidR="004B4F62" w:rsidRDefault="004B4F62" w:rsidP="004B4F6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B78E7ED" w14:textId="4F0BCC1B" w:rsidR="00F125EE" w:rsidRDefault="00F125EE" w:rsidP="004B4F62">
    <w:pPr>
      <w:pStyle w:val="Pieddepage"/>
      <w:ind w:right="360"/>
      <w:jc w:val="right"/>
    </w:pPr>
  </w:p>
  <w:p w14:paraId="486656F3" w14:textId="77777777" w:rsidR="00F125EE" w:rsidRDefault="00F125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67986" w14:textId="77777777" w:rsidR="00925C76" w:rsidRDefault="00925C76">
      <w:r>
        <w:separator/>
      </w:r>
    </w:p>
  </w:footnote>
  <w:footnote w:type="continuationSeparator" w:id="0">
    <w:p w14:paraId="69698BFE" w14:textId="77777777" w:rsidR="00925C76" w:rsidRDefault="00925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7635966"/>
    <w:multiLevelType w:val="hybridMultilevel"/>
    <w:tmpl w:val="51242CF6"/>
    <w:lvl w:ilvl="0" w:tplc="9DB809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4C1C89"/>
    <w:multiLevelType w:val="hybridMultilevel"/>
    <w:tmpl w:val="0D0618FE"/>
    <w:lvl w:ilvl="0" w:tplc="27D22EFE">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046964"/>
    <w:multiLevelType w:val="hybridMultilevel"/>
    <w:tmpl w:val="F96E8AB6"/>
    <w:lvl w:ilvl="0" w:tplc="F42CEB9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num>
  <w:num w:numId="13">
    <w:abstractNumId w:val="11"/>
  </w:num>
  <w:num w:numId="14">
    <w:abstractNumId w:val="18"/>
  </w:num>
  <w:num w:numId="15">
    <w:abstractNumId w:val="17"/>
  </w:num>
  <w:num w:numId="16">
    <w:abstractNumId w:val="15"/>
  </w:num>
  <w:num w:numId="17">
    <w:abstractNumId w:val="10"/>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084B"/>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60CD2"/>
    <w:rsid w:val="0016337A"/>
    <w:rsid w:val="00164269"/>
    <w:rsid w:val="001966FD"/>
    <w:rsid w:val="00197826"/>
    <w:rsid w:val="001A1BDE"/>
    <w:rsid w:val="001C1B7E"/>
    <w:rsid w:val="001C7B4E"/>
    <w:rsid w:val="001D5ADC"/>
    <w:rsid w:val="001D620A"/>
    <w:rsid w:val="001F0876"/>
    <w:rsid w:val="001F167C"/>
    <w:rsid w:val="001F5E91"/>
    <w:rsid w:val="0020183F"/>
    <w:rsid w:val="002077B9"/>
    <w:rsid w:val="002104EC"/>
    <w:rsid w:val="00221C70"/>
    <w:rsid w:val="002251AF"/>
    <w:rsid w:val="00227D86"/>
    <w:rsid w:val="00243B68"/>
    <w:rsid w:val="00262D72"/>
    <w:rsid w:val="002800B6"/>
    <w:rsid w:val="002A5D78"/>
    <w:rsid w:val="002B35D4"/>
    <w:rsid w:val="002C030F"/>
    <w:rsid w:val="002F1864"/>
    <w:rsid w:val="002F3966"/>
    <w:rsid w:val="00320E2C"/>
    <w:rsid w:val="00331D75"/>
    <w:rsid w:val="00355362"/>
    <w:rsid w:val="00363E44"/>
    <w:rsid w:val="0039513A"/>
    <w:rsid w:val="00395E86"/>
    <w:rsid w:val="003A2FD8"/>
    <w:rsid w:val="003B40E6"/>
    <w:rsid w:val="003C007A"/>
    <w:rsid w:val="003E1980"/>
    <w:rsid w:val="003F6E14"/>
    <w:rsid w:val="00405336"/>
    <w:rsid w:val="004568BC"/>
    <w:rsid w:val="004571D5"/>
    <w:rsid w:val="00462F1B"/>
    <w:rsid w:val="0046356B"/>
    <w:rsid w:val="00464734"/>
    <w:rsid w:val="00477182"/>
    <w:rsid w:val="004779CB"/>
    <w:rsid w:val="00481118"/>
    <w:rsid w:val="00483460"/>
    <w:rsid w:val="004930F7"/>
    <w:rsid w:val="004B2481"/>
    <w:rsid w:val="004B4F62"/>
    <w:rsid w:val="004B7B3F"/>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220EE"/>
    <w:rsid w:val="007402FC"/>
    <w:rsid w:val="007411A1"/>
    <w:rsid w:val="00752CFD"/>
    <w:rsid w:val="007563F2"/>
    <w:rsid w:val="00763ACF"/>
    <w:rsid w:val="00764008"/>
    <w:rsid w:val="00795D4D"/>
    <w:rsid w:val="007D7F71"/>
    <w:rsid w:val="00802F73"/>
    <w:rsid w:val="00807D35"/>
    <w:rsid w:val="008115D9"/>
    <w:rsid w:val="0082102E"/>
    <w:rsid w:val="00825950"/>
    <w:rsid w:val="00885C9B"/>
    <w:rsid w:val="008927D0"/>
    <w:rsid w:val="00896FAB"/>
    <w:rsid w:val="008A1A25"/>
    <w:rsid w:val="008D5D2A"/>
    <w:rsid w:val="008E2CF1"/>
    <w:rsid w:val="008F08DC"/>
    <w:rsid w:val="008F5A8A"/>
    <w:rsid w:val="009055D1"/>
    <w:rsid w:val="00914B63"/>
    <w:rsid w:val="00922705"/>
    <w:rsid w:val="00924546"/>
    <w:rsid w:val="00925C7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3126"/>
    <w:rsid w:val="00AA76F3"/>
    <w:rsid w:val="00AC7DA6"/>
    <w:rsid w:val="00AD499C"/>
    <w:rsid w:val="00AE548F"/>
    <w:rsid w:val="00B30334"/>
    <w:rsid w:val="00B3147F"/>
    <w:rsid w:val="00B36869"/>
    <w:rsid w:val="00B43B31"/>
    <w:rsid w:val="00B47CFA"/>
    <w:rsid w:val="00B57F00"/>
    <w:rsid w:val="00B626CB"/>
    <w:rsid w:val="00B7560C"/>
    <w:rsid w:val="00B77E40"/>
    <w:rsid w:val="00B8241B"/>
    <w:rsid w:val="00B82C22"/>
    <w:rsid w:val="00B93DBA"/>
    <w:rsid w:val="00B9440A"/>
    <w:rsid w:val="00B952C1"/>
    <w:rsid w:val="00B968D7"/>
    <w:rsid w:val="00BA3953"/>
    <w:rsid w:val="00BB2D2A"/>
    <w:rsid w:val="00BC7522"/>
    <w:rsid w:val="00BD58CF"/>
    <w:rsid w:val="00BF1BEB"/>
    <w:rsid w:val="00BF1BF9"/>
    <w:rsid w:val="00C0051B"/>
    <w:rsid w:val="00C022B2"/>
    <w:rsid w:val="00C04CC1"/>
    <w:rsid w:val="00C071FC"/>
    <w:rsid w:val="00C22C02"/>
    <w:rsid w:val="00C27F6F"/>
    <w:rsid w:val="00C30E83"/>
    <w:rsid w:val="00C465DB"/>
    <w:rsid w:val="00C50C6D"/>
    <w:rsid w:val="00C600D9"/>
    <w:rsid w:val="00C634D7"/>
    <w:rsid w:val="00C73E09"/>
    <w:rsid w:val="00CB5072"/>
    <w:rsid w:val="00CC1384"/>
    <w:rsid w:val="00CD3720"/>
    <w:rsid w:val="00CE6EAA"/>
    <w:rsid w:val="00CF1848"/>
    <w:rsid w:val="00CF5C2F"/>
    <w:rsid w:val="00D04BCF"/>
    <w:rsid w:val="00D10134"/>
    <w:rsid w:val="00D143D9"/>
    <w:rsid w:val="00D4372A"/>
    <w:rsid w:val="00D60BB0"/>
    <w:rsid w:val="00D65708"/>
    <w:rsid w:val="00D8159F"/>
    <w:rsid w:val="00DD1D04"/>
    <w:rsid w:val="00DD79D7"/>
    <w:rsid w:val="00E20431"/>
    <w:rsid w:val="00E257C8"/>
    <w:rsid w:val="00E40896"/>
    <w:rsid w:val="00E43D2D"/>
    <w:rsid w:val="00E449CB"/>
    <w:rsid w:val="00E52A8F"/>
    <w:rsid w:val="00E63760"/>
    <w:rsid w:val="00E64049"/>
    <w:rsid w:val="00E9773B"/>
    <w:rsid w:val="00EC13A3"/>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lorraine-lisiecki.com/LR04_MISboundaries.txt"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2240</Words>
  <Characters>12323</Characters>
  <Application>Microsoft Office Word</Application>
  <DocSecurity>0</DocSecurity>
  <Lines>102</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JYC</cp:lastModifiedBy>
  <cp:revision>3</cp:revision>
  <cp:lastPrinted>2022-02-09T13:25:00Z</cp:lastPrinted>
  <dcterms:created xsi:type="dcterms:W3CDTF">2022-07-13T09:22:00Z</dcterms:created>
  <dcterms:modified xsi:type="dcterms:W3CDTF">2022-07-14T07:07:00Z</dcterms:modified>
</cp:coreProperties>
</file>