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2E9D9551" w:rsidR="00654E8F" w:rsidRPr="001549D3" w:rsidRDefault="00654E8F" w:rsidP="0001436A">
      <w:pPr>
        <w:pStyle w:val="SupplementaryMaterial"/>
        <w:rPr>
          <w:b w:val="0"/>
        </w:rPr>
      </w:pPr>
      <w:r w:rsidRPr="001549D3">
        <w:t>Supplement</w:t>
      </w:r>
      <w:r w:rsidR="006A214D">
        <w:t>ary material</w:t>
      </w:r>
    </w:p>
    <w:p w14:paraId="4F541091" w14:textId="3F34298B" w:rsidR="006A214D" w:rsidRDefault="0026000D" w:rsidP="00547F22">
      <w:pPr>
        <w:spacing w:before="100" w:beforeAutospacing="1" w:after="100" w:afterAutospacing="1"/>
        <w:jc w:val="both"/>
        <w:rPr>
          <w:rFonts w:eastAsia="Times New Roman" w:cs="Times New Roman"/>
          <w:szCs w:val="24"/>
          <w:lang w:val="en-GB" w:eastAsia="en-GB"/>
        </w:rPr>
      </w:pPr>
      <w:r>
        <w:rPr>
          <w:rFonts w:eastAsia="Times New Roman" w:cs="Times New Roman"/>
          <w:b/>
          <w:szCs w:val="24"/>
          <w:lang w:val="en-GB" w:eastAsia="en-GB"/>
        </w:rPr>
        <w:t xml:space="preserve">Supplementary </w:t>
      </w:r>
      <w:r w:rsidR="006A214D">
        <w:rPr>
          <w:rFonts w:eastAsia="Times New Roman" w:cs="Times New Roman"/>
          <w:b/>
          <w:szCs w:val="24"/>
          <w:lang w:val="en-GB" w:eastAsia="en-GB"/>
        </w:rPr>
        <w:t>Tabl</w:t>
      </w:r>
      <w:r w:rsidR="006A214D" w:rsidRPr="00DA6B91">
        <w:rPr>
          <w:rFonts w:eastAsia="Times New Roman" w:cs="Times New Roman"/>
          <w:b/>
          <w:szCs w:val="24"/>
          <w:lang w:val="en-GB" w:eastAsia="en-GB"/>
        </w:rPr>
        <w:t xml:space="preserve">e </w:t>
      </w:r>
      <w:r>
        <w:rPr>
          <w:rFonts w:eastAsia="Times New Roman" w:cs="Times New Roman"/>
          <w:b/>
          <w:szCs w:val="24"/>
          <w:lang w:val="en-GB" w:eastAsia="en-GB"/>
        </w:rPr>
        <w:t>S</w:t>
      </w:r>
      <w:r w:rsidR="006A214D">
        <w:rPr>
          <w:rFonts w:eastAsia="Times New Roman" w:cs="Times New Roman"/>
          <w:b/>
          <w:szCs w:val="24"/>
          <w:lang w:val="en-GB" w:eastAsia="en-GB"/>
        </w:rPr>
        <w:t>1</w:t>
      </w:r>
      <w:r w:rsidR="006A214D" w:rsidRPr="00DA6B91">
        <w:rPr>
          <w:rFonts w:eastAsia="Times New Roman" w:cs="Times New Roman"/>
          <w:b/>
          <w:szCs w:val="24"/>
          <w:lang w:val="en-GB" w:eastAsia="en-GB"/>
        </w:rPr>
        <w:t>.</w:t>
      </w:r>
      <w:r w:rsidR="006A214D">
        <w:rPr>
          <w:rFonts w:eastAsia="Times New Roman" w:cs="Times New Roman"/>
          <w:szCs w:val="24"/>
          <w:lang w:val="en-GB" w:eastAsia="en-GB"/>
        </w:rPr>
        <w:t xml:space="preserve"> </w:t>
      </w:r>
      <w:r w:rsidR="006A214D" w:rsidRPr="00F5037E">
        <w:rPr>
          <w:rFonts w:eastAsia="Times New Roman" w:cs="Times New Roman"/>
          <w:szCs w:val="24"/>
          <w:lang w:val="en-GB" w:eastAsia="en-GB"/>
        </w:rPr>
        <w:t xml:space="preserve">Available/in development monitoring technologies to cover the needs of </w:t>
      </w:r>
      <w:r w:rsidR="006A214D" w:rsidRPr="00F5037E">
        <w:rPr>
          <w:rFonts w:eastAsia="Times New Roman" w:cs="Times New Roman"/>
          <w:i/>
          <w:szCs w:val="24"/>
          <w:lang w:val="en-GB" w:eastAsia="en-GB"/>
        </w:rPr>
        <w:t>N. norvegicus</w:t>
      </w:r>
      <w:r w:rsidR="006A214D" w:rsidRPr="00F5037E">
        <w:rPr>
          <w:rFonts w:eastAsia="Times New Roman" w:cs="Times New Roman"/>
          <w:szCs w:val="24"/>
          <w:lang w:val="en-GB" w:eastAsia="en-GB"/>
        </w:rPr>
        <w:t xml:space="preserve"> stock-assessment. Sensors and vessel-assisted or autonomous platforms with different levels of monitoring footprint are presented, according to the population and individual level of analysis. Their Technology Readiness Level (TRL; assigned by the authors for levels below marketization; i.e., TRL 9) is provided as a metric of how advanced a specific technology is (Héder, 2017). Blue, green, yellow and red dots correspond to TRL3</w:t>
      </w:r>
      <w:r w:rsidR="00621C74">
        <w:rPr>
          <w:rFonts w:eastAsia="Times New Roman" w:cs="Times New Roman"/>
          <w:szCs w:val="24"/>
          <w:lang w:val="en-GB" w:eastAsia="en-GB"/>
        </w:rPr>
        <w:t xml:space="preserve"> (i.e., “experimental proof of concept”), </w:t>
      </w:r>
      <w:r w:rsidR="00CD22F9">
        <w:rPr>
          <w:rFonts w:eastAsia="Times New Roman" w:cs="Times New Roman"/>
          <w:szCs w:val="24"/>
          <w:lang w:val="en-GB" w:eastAsia="en-GB"/>
        </w:rPr>
        <w:t>TRL</w:t>
      </w:r>
      <w:r w:rsidR="00621C74">
        <w:rPr>
          <w:rFonts w:eastAsia="Times New Roman" w:cs="Times New Roman"/>
          <w:szCs w:val="24"/>
          <w:lang w:val="en-GB" w:eastAsia="en-GB"/>
        </w:rPr>
        <w:t>7</w:t>
      </w:r>
      <w:r w:rsidR="00621C74" w:rsidRPr="00621C74">
        <w:rPr>
          <w:rFonts w:eastAsia="Times New Roman" w:cs="Times New Roman"/>
          <w:szCs w:val="24"/>
          <w:lang w:val="en-GB" w:eastAsia="en-GB"/>
        </w:rPr>
        <w:t xml:space="preserve"> </w:t>
      </w:r>
      <w:r w:rsidR="00621C74">
        <w:rPr>
          <w:rFonts w:eastAsia="Times New Roman" w:cs="Times New Roman"/>
          <w:szCs w:val="24"/>
          <w:lang w:val="en-GB" w:eastAsia="en-GB"/>
        </w:rPr>
        <w:t>(i.e., “</w:t>
      </w:r>
      <w:r w:rsidR="00621C74" w:rsidRPr="00621C74">
        <w:rPr>
          <w:rFonts w:eastAsia="Times New Roman" w:cs="Times New Roman"/>
          <w:szCs w:val="24"/>
          <w:lang w:val="en-GB" w:eastAsia="en-GB"/>
        </w:rPr>
        <w:t>system prototype demonstration in operational environment</w:t>
      </w:r>
      <w:r w:rsidR="00621C74">
        <w:rPr>
          <w:rFonts w:eastAsia="Times New Roman" w:cs="Times New Roman"/>
          <w:szCs w:val="24"/>
          <w:lang w:val="en-GB" w:eastAsia="en-GB"/>
        </w:rPr>
        <w:t xml:space="preserve">”), </w:t>
      </w:r>
      <w:r w:rsidR="00CD22F9">
        <w:rPr>
          <w:rFonts w:eastAsia="Times New Roman" w:cs="Times New Roman"/>
          <w:szCs w:val="24"/>
          <w:lang w:val="en-GB" w:eastAsia="en-GB"/>
        </w:rPr>
        <w:t>TRL</w:t>
      </w:r>
      <w:r w:rsidR="00621C74">
        <w:rPr>
          <w:rFonts w:eastAsia="Times New Roman" w:cs="Times New Roman"/>
          <w:szCs w:val="24"/>
          <w:lang w:val="en-GB" w:eastAsia="en-GB"/>
        </w:rPr>
        <w:t xml:space="preserve">8 (i.e., “system complete and qualified”) and </w:t>
      </w:r>
      <w:r w:rsidR="00CD22F9">
        <w:rPr>
          <w:rFonts w:eastAsia="Times New Roman" w:cs="Times New Roman"/>
          <w:szCs w:val="24"/>
          <w:lang w:val="en-GB" w:eastAsia="en-GB"/>
        </w:rPr>
        <w:t>TRL</w:t>
      </w:r>
      <w:r w:rsidR="00621C74">
        <w:rPr>
          <w:rFonts w:eastAsia="Times New Roman" w:cs="Times New Roman"/>
          <w:szCs w:val="24"/>
          <w:lang w:val="en-GB" w:eastAsia="en-GB"/>
        </w:rPr>
        <w:t>9 (i.e., “</w:t>
      </w:r>
      <w:r w:rsidR="00621C74" w:rsidRPr="00621C74">
        <w:rPr>
          <w:rFonts w:eastAsia="Times New Roman" w:cs="Times New Roman"/>
          <w:szCs w:val="24"/>
          <w:lang w:val="en-GB" w:eastAsia="en-GB"/>
        </w:rPr>
        <w:t>actual system proven in operational environment</w:t>
      </w:r>
      <w:r w:rsidR="00621C74">
        <w:rPr>
          <w:rFonts w:eastAsia="Times New Roman" w:cs="Times New Roman"/>
          <w:szCs w:val="24"/>
          <w:lang w:val="en-GB" w:eastAsia="en-GB"/>
        </w:rPr>
        <w:t>”)</w:t>
      </w:r>
      <w:r w:rsidR="006A214D" w:rsidRPr="00F5037E">
        <w:rPr>
          <w:rFonts w:eastAsia="Times New Roman" w:cs="Times New Roman"/>
          <w:szCs w:val="24"/>
          <w:lang w:val="en-GB" w:eastAsia="en-GB"/>
        </w:rPr>
        <w:t>, respectively.</w:t>
      </w:r>
    </w:p>
    <w:p w14:paraId="78475A8B" w14:textId="35471669" w:rsidR="006A214D" w:rsidRDefault="0043778A" w:rsidP="00D03DA8">
      <w:pPr>
        <w:spacing w:before="100" w:beforeAutospacing="1" w:after="0"/>
        <w:jc w:val="center"/>
        <w:rPr>
          <w:rFonts w:eastAsia="Times New Roman" w:cs="Times New Roman"/>
          <w:szCs w:val="24"/>
          <w:lang w:eastAsia="en-GB"/>
        </w:rPr>
      </w:pPr>
      <w:r>
        <w:rPr>
          <w:noProof/>
          <w:lang w:val="el-GR" w:eastAsia="el-GR"/>
        </w:rPr>
        <w:drawing>
          <wp:inline distT="0" distB="0" distL="0" distR="0" wp14:anchorId="5B55099C" wp14:editId="5D482F2F">
            <wp:extent cx="8604000" cy="373636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04000" cy="3736367"/>
                    </a:xfrm>
                    <a:prstGeom prst="rect">
                      <a:avLst/>
                    </a:prstGeom>
                  </pic:spPr>
                </pic:pic>
              </a:graphicData>
            </a:graphic>
          </wp:inline>
        </w:drawing>
      </w:r>
    </w:p>
    <w:p w14:paraId="23924585" w14:textId="77777777" w:rsidR="006A214D" w:rsidRPr="00B70FEC" w:rsidRDefault="006A214D" w:rsidP="00D03DA8">
      <w:pPr>
        <w:spacing w:before="0" w:after="0"/>
        <w:contextualSpacing/>
        <w:jc w:val="both"/>
        <w:rPr>
          <w:rFonts w:eastAsia="Times New Roman" w:cs="Times New Roman"/>
          <w:sz w:val="20"/>
          <w:szCs w:val="24"/>
          <w:lang w:eastAsia="en-GB"/>
        </w:rPr>
      </w:pPr>
      <w:r w:rsidRPr="00B70FEC">
        <w:rPr>
          <w:rFonts w:eastAsia="Times New Roman" w:cs="Times New Roman"/>
          <w:sz w:val="20"/>
          <w:szCs w:val="24"/>
          <w:lang w:eastAsia="en-GB"/>
        </w:rPr>
        <w:t>*not yet a sensor, but on the pathway to becoming a central element for augmented monitoring.</w:t>
      </w:r>
    </w:p>
    <w:p w14:paraId="7359F755" w14:textId="3D81BD6F" w:rsidR="006A214D" w:rsidRPr="00B70FEC" w:rsidRDefault="006A214D" w:rsidP="00D03DA8">
      <w:pPr>
        <w:spacing w:before="0" w:after="100" w:afterAutospacing="1"/>
        <w:contextualSpacing/>
        <w:jc w:val="both"/>
        <w:rPr>
          <w:rFonts w:eastAsia="Times New Roman" w:cs="Times New Roman"/>
          <w:sz w:val="20"/>
          <w:szCs w:val="24"/>
          <w:lang w:eastAsia="en-GB"/>
        </w:rPr>
      </w:pPr>
      <w:r w:rsidRPr="00B70FEC">
        <w:rPr>
          <w:rFonts w:eastAsia="Times New Roman" w:cs="Times New Roman"/>
          <w:sz w:val="20"/>
          <w:szCs w:val="24"/>
          <w:lang w:eastAsia="en-GB"/>
        </w:rPr>
        <w:t>**Deployed by boats through garages, but only with a few days of full autonomy.</w:t>
      </w:r>
    </w:p>
    <w:p w14:paraId="00D5C489" w14:textId="6510B54E" w:rsidR="00D03DA8" w:rsidRDefault="0026000D" w:rsidP="00D03DA8">
      <w:pPr>
        <w:spacing w:before="100" w:beforeAutospacing="1" w:after="100" w:afterAutospacing="1"/>
        <w:jc w:val="both"/>
        <w:rPr>
          <w:rFonts w:eastAsia="Times New Roman" w:cs="Times New Roman"/>
          <w:szCs w:val="24"/>
          <w:lang w:val="en-GB" w:eastAsia="en-GB"/>
        </w:rPr>
      </w:pPr>
      <w:r>
        <w:rPr>
          <w:rFonts w:eastAsia="Times New Roman" w:cs="Times New Roman"/>
          <w:b/>
          <w:szCs w:val="24"/>
          <w:lang w:val="en-GB" w:eastAsia="en-GB"/>
        </w:rPr>
        <w:lastRenderedPageBreak/>
        <w:t xml:space="preserve">Supplementary </w:t>
      </w:r>
      <w:r w:rsidR="00D03DA8">
        <w:rPr>
          <w:rFonts w:eastAsia="Times New Roman" w:cs="Times New Roman"/>
          <w:b/>
          <w:szCs w:val="24"/>
          <w:lang w:val="en-GB" w:eastAsia="en-GB"/>
        </w:rPr>
        <w:t>Tabl</w:t>
      </w:r>
      <w:r w:rsidR="00D03DA8" w:rsidRPr="00DA6B91">
        <w:rPr>
          <w:rFonts w:eastAsia="Times New Roman" w:cs="Times New Roman"/>
          <w:b/>
          <w:szCs w:val="24"/>
          <w:lang w:val="en-GB" w:eastAsia="en-GB"/>
        </w:rPr>
        <w:t xml:space="preserve">e </w:t>
      </w:r>
      <w:r>
        <w:rPr>
          <w:rFonts w:eastAsia="Times New Roman" w:cs="Times New Roman"/>
          <w:b/>
          <w:szCs w:val="24"/>
          <w:lang w:val="en-GB" w:eastAsia="en-GB"/>
        </w:rPr>
        <w:t>S</w:t>
      </w:r>
      <w:r w:rsidR="00D03DA8">
        <w:rPr>
          <w:rFonts w:eastAsia="Times New Roman" w:cs="Times New Roman"/>
          <w:b/>
          <w:szCs w:val="24"/>
          <w:lang w:val="en-GB" w:eastAsia="en-GB"/>
        </w:rPr>
        <w:t>2</w:t>
      </w:r>
      <w:r w:rsidR="00D03DA8" w:rsidRPr="00DA6B91">
        <w:rPr>
          <w:rFonts w:eastAsia="Times New Roman" w:cs="Times New Roman"/>
          <w:b/>
          <w:szCs w:val="24"/>
          <w:lang w:val="en-GB" w:eastAsia="en-GB"/>
        </w:rPr>
        <w:t>.</w:t>
      </w:r>
      <w:r w:rsidR="00D03DA8">
        <w:rPr>
          <w:rFonts w:eastAsia="Times New Roman" w:cs="Times New Roman"/>
          <w:szCs w:val="24"/>
          <w:lang w:val="en-GB" w:eastAsia="en-GB"/>
        </w:rPr>
        <w:t xml:space="preserve"> </w:t>
      </w:r>
      <w:r w:rsidR="00D03DA8" w:rsidRPr="00C0712E">
        <w:rPr>
          <w:rFonts w:eastAsia="Times New Roman" w:cs="Times New Roman"/>
          <w:szCs w:val="24"/>
          <w:lang w:val="en-GB" w:eastAsia="en-GB"/>
        </w:rPr>
        <w:t xml:space="preserve">Environmental variables affecting </w:t>
      </w:r>
      <w:r w:rsidR="00D03DA8" w:rsidRPr="00C0712E">
        <w:rPr>
          <w:rFonts w:eastAsia="Times New Roman" w:cs="Times New Roman"/>
          <w:i/>
          <w:szCs w:val="24"/>
          <w:lang w:val="en-GB" w:eastAsia="en-GB"/>
        </w:rPr>
        <w:t>N. norvegicus</w:t>
      </w:r>
      <w:r w:rsidR="00D03DA8" w:rsidRPr="00C0712E">
        <w:rPr>
          <w:rFonts w:eastAsia="Times New Roman" w:cs="Times New Roman"/>
          <w:szCs w:val="24"/>
          <w:lang w:val="en-GB" w:eastAsia="en-GB"/>
        </w:rPr>
        <w:t xml:space="preserve"> physiology, behavior, and overall ecology. Examples of sensors able to measure these variables are provided, alongside the rationale for their measurement in the context of monitoring of stocks (i.e., experimentally observed or simulated effects of different climate or stressor scenarios).</w:t>
      </w:r>
    </w:p>
    <w:p w14:paraId="78A3C840" w14:textId="6435AFCC" w:rsidR="00273179" w:rsidRDefault="005300CE" w:rsidP="00D03DA8">
      <w:pPr>
        <w:spacing w:before="100" w:beforeAutospacing="1" w:after="100" w:afterAutospacing="1"/>
        <w:jc w:val="both"/>
        <w:rPr>
          <w:rFonts w:eastAsia="Times New Roman" w:cs="Times New Roman"/>
          <w:szCs w:val="24"/>
          <w:lang w:val="en-GB" w:eastAsia="en-GB"/>
        </w:rPr>
      </w:pPr>
      <w:r>
        <w:rPr>
          <w:noProof/>
          <w:lang w:val="el-GR" w:eastAsia="el-GR"/>
        </w:rPr>
        <w:drawing>
          <wp:inline distT="0" distB="0" distL="0" distR="0" wp14:anchorId="5E066DA7" wp14:editId="6C967C91">
            <wp:extent cx="8612769" cy="44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12769" cy="4428000"/>
                    </a:xfrm>
                    <a:prstGeom prst="rect">
                      <a:avLst/>
                    </a:prstGeom>
                  </pic:spPr>
                </pic:pic>
              </a:graphicData>
            </a:graphic>
          </wp:inline>
        </w:drawing>
      </w:r>
    </w:p>
    <w:p w14:paraId="6F1A9278" w14:textId="77777777" w:rsidR="00D03DA8" w:rsidRPr="00D03DA8" w:rsidRDefault="00D03DA8" w:rsidP="00D03DA8">
      <w:pPr>
        <w:spacing w:before="0" w:after="100" w:afterAutospacing="1"/>
        <w:contextualSpacing/>
        <w:jc w:val="both"/>
        <w:rPr>
          <w:rFonts w:eastAsia="Times New Roman" w:cs="Times New Roman"/>
          <w:szCs w:val="24"/>
          <w:lang w:val="en-GB" w:eastAsia="en-GB"/>
        </w:rPr>
      </w:pPr>
    </w:p>
    <w:p w14:paraId="48090D73" w14:textId="77777777" w:rsidR="00547F22" w:rsidRDefault="00547F22" w:rsidP="00547F22">
      <w:pPr>
        <w:spacing w:before="100" w:beforeAutospacing="1" w:after="100" w:afterAutospacing="1"/>
        <w:jc w:val="both"/>
        <w:rPr>
          <w:rFonts w:eastAsia="Times New Roman" w:cs="Times New Roman"/>
          <w:szCs w:val="24"/>
          <w:lang w:eastAsia="en-GB"/>
        </w:rPr>
        <w:sectPr w:rsidR="00547F22" w:rsidSect="00547F22">
          <w:headerReference w:type="even" r:id="rId10"/>
          <w:footerReference w:type="even" r:id="rId11"/>
          <w:footerReference w:type="default" r:id="rId12"/>
          <w:headerReference w:type="first" r:id="rId13"/>
          <w:pgSz w:w="15840" w:h="12240" w:orient="landscape"/>
          <w:pgMar w:top="1282" w:right="1138" w:bottom="1181" w:left="1138" w:header="720" w:footer="720" w:gutter="0"/>
          <w:cols w:space="720"/>
          <w:titlePg/>
          <w:docGrid w:linePitch="360"/>
        </w:sectPr>
      </w:pPr>
    </w:p>
    <w:p w14:paraId="6879F158" w14:textId="77777777" w:rsidR="005468A1" w:rsidRPr="00376CC5" w:rsidRDefault="005468A1" w:rsidP="00B70FEC">
      <w:pPr>
        <w:pStyle w:val="Heading1"/>
        <w:numPr>
          <w:ilvl w:val="0"/>
          <w:numId w:val="0"/>
        </w:numPr>
      </w:pPr>
      <w:r w:rsidRPr="00376CC5">
        <w:lastRenderedPageBreak/>
        <w:t>References</w:t>
      </w:r>
    </w:p>
    <w:p w14:paraId="6214DAC6" w14:textId="77777777" w:rsidR="007F2F20" w:rsidRPr="00B70FEC" w:rsidRDefault="007F2F20" w:rsidP="007F2F20">
      <w:pPr>
        <w:spacing w:after="0"/>
        <w:ind w:left="567" w:hanging="567"/>
      </w:pPr>
      <w:r w:rsidRPr="00671261">
        <w:t>Aguzzi</w:t>
      </w:r>
      <w:r>
        <w:t>,</w:t>
      </w:r>
      <w:r w:rsidRPr="00671261">
        <w:t xml:space="preserve"> J., </w:t>
      </w:r>
      <w:r>
        <w:t xml:space="preserve">and </w:t>
      </w:r>
      <w:r w:rsidRPr="00671261">
        <w:t>Company</w:t>
      </w:r>
      <w:r>
        <w:t>,</w:t>
      </w:r>
      <w:r w:rsidRPr="00671261">
        <w:t xml:space="preserve"> J.B. </w:t>
      </w:r>
      <w:r>
        <w:t>(</w:t>
      </w:r>
      <w:r w:rsidRPr="00671261">
        <w:t>2010</w:t>
      </w:r>
      <w:r>
        <w:t>)</w:t>
      </w:r>
      <w:r w:rsidRPr="00671261">
        <w:t xml:space="preserve">. Chronobiology of </w:t>
      </w:r>
      <w:r>
        <w:t>d</w:t>
      </w:r>
      <w:r w:rsidRPr="00671261">
        <w:t>eep-</w:t>
      </w:r>
      <w:r>
        <w:t>w</w:t>
      </w:r>
      <w:r w:rsidRPr="00671261">
        <w:t xml:space="preserve">ater </w:t>
      </w:r>
      <w:r>
        <w:t>decapod c</w:t>
      </w:r>
      <w:r w:rsidRPr="00671261">
        <w:t xml:space="preserve">rustaceans on </w:t>
      </w:r>
      <w:r>
        <w:t>c</w:t>
      </w:r>
      <w:r w:rsidRPr="00671261">
        <w:t xml:space="preserve">ontinental </w:t>
      </w:r>
      <w:r>
        <w:t>m</w:t>
      </w:r>
      <w:r w:rsidRPr="00671261">
        <w:t xml:space="preserve">argins. </w:t>
      </w:r>
      <w:r w:rsidRPr="00B70FEC">
        <w:rPr>
          <w:i/>
        </w:rPr>
        <w:t>Adv. Mar. Biol.</w:t>
      </w:r>
      <w:r w:rsidRPr="00B70FEC">
        <w:t xml:space="preserve"> 58, 155–225. doi: 10.1016/B978-0-12-381015-1.00003-4</w:t>
      </w:r>
    </w:p>
    <w:p w14:paraId="77DC7714" w14:textId="3B793C52" w:rsidR="00805318" w:rsidRPr="00621C74" w:rsidRDefault="00805318" w:rsidP="005259AB">
      <w:pPr>
        <w:spacing w:after="0"/>
        <w:ind w:left="567" w:hanging="567"/>
      </w:pPr>
      <w:r w:rsidRPr="00B70FEC">
        <w:t xml:space="preserve">Aguzzi, J., Company, J.B., Costa, C., Menesatti, P., Garcia, J.A., Bahamon, N., et al. </w:t>
      </w:r>
      <w:r>
        <w:t xml:space="preserve">(2011). </w:t>
      </w:r>
      <w:r w:rsidRPr="00805318">
        <w:t xml:space="preserve">Activity rhythms in the deep-sea: a chronobiological approach. </w:t>
      </w:r>
      <w:r w:rsidRPr="007479D3">
        <w:rPr>
          <w:i/>
        </w:rPr>
        <w:t xml:space="preserve">Front. </w:t>
      </w:r>
      <w:r w:rsidRPr="00621C74">
        <w:rPr>
          <w:i/>
        </w:rPr>
        <w:t>Biosci. Landmark Ed.</w:t>
      </w:r>
      <w:r w:rsidRPr="00621C74">
        <w:t xml:space="preserve"> 16, 131–150. doi: 10.2741/3680.</w:t>
      </w:r>
    </w:p>
    <w:p w14:paraId="0BD3CC92" w14:textId="1CAB6C8E" w:rsidR="00B3263F" w:rsidRPr="007F2F20" w:rsidRDefault="00B3263F" w:rsidP="005259AB">
      <w:pPr>
        <w:spacing w:after="0"/>
        <w:ind w:left="567" w:hanging="567"/>
      </w:pPr>
      <w:r w:rsidRPr="00621C74">
        <w:t xml:space="preserve">Aguzzi, J., Jamieson, A.J., Fujii, T., Sbragaglia, V., Costa, C., Menesatti, P., et al. </w:t>
      </w:r>
      <w:r w:rsidRPr="007479D3">
        <w:t xml:space="preserve">(2012). </w:t>
      </w:r>
      <w:r w:rsidRPr="00B3263F">
        <w:t xml:space="preserve">Shifting feeding behaviour of deep-sea buccinid gastropods at natural and simulated food falls. </w:t>
      </w:r>
      <w:r w:rsidRPr="007479D3">
        <w:rPr>
          <w:i/>
        </w:rPr>
        <w:t xml:space="preserve">Mar. Ecol. </w:t>
      </w:r>
      <w:r w:rsidRPr="007F2F20">
        <w:rPr>
          <w:i/>
        </w:rPr>
        <w:t>Prog. Ser.</w:t>
      </w:r>
      <w:r w:rsidRPr="007F2F20">
        <w:t xml:space="preserve"> 458, 247–253. doi: 10.3354/meps09758</w:t>
      </w:r>
    </w:p>
    <w:p w14:paraId="2B2569F7" w14:textId="555EE259" w:rsidR="00810F8B" w:rsidRPr="00A34DB1" w:rsidRDefault="00810F8B" w:rsidP="00810F8B">
      <w:pPr>
        <w:spacing w:after="0"/>
        <w:ind w:left="567" w:hanging="567"/>
      </w:pPr>
      <w:r w:rsidRPr="00D82FB7">
        <w:t>Baden</w:t>
      </w:r>
      <w:r>
        <w:t>,</w:t>
      </w:r>
      <w:r w:rsidRPr="00D82FB7">
        <w:t xml:space="preserve"> S., Pihl, L., Rosenberg, R. (1990). </w:t>
      </w:r>
      <w:r w:rsidRPr="00131B7D">
        <w:t xml:space="preserve">Effects of oxygen depletion on the ecology, blood physiology and fishery of the Norway lobster </w:t>
      </w:r>
      <w:r w:rsidRPr="00131B7D">
        <w:rPr>
          <w:i/>
        </w:rPr>
        <w:t>Nephrops norvegicus</w:t>
      </w:r>
      <w:r>
        <w:t xml:space="preserve">. </w:t>
      </w:r>
      <w:r w:rsidRPr="00A34DB1">
        <w:rPr>
          <w:i/>
        </w:rPr>
        <w:t>Mar. Ecol. Prog. Ser.</w:t>
      </w:r>
      <w:r w:rsidRPr="00A34DB1">
        <w:t xml:space="preserve"> 67, 141–155. doi: 10.3354/meps067141</w:t>
      </w:r>
    </w:p>
    <w:p w14:paraId="1EB53CF3" w14:textId="36C42C47" w:rsidR="00A34DB1" w:rsidRDefault="00A34DB1" w:rsidP="007F2F20">
      <w:pPr>
        <w:spacing w:after="0"/>
        <w:ind w:left="567" w:hanging="567"/>
      </w:pPr>
      <w:r w:rsidRPr="00A34DB1">
        <w:t>Bednaršek, N., Ambros</w:t>
      </w:r>
      <w:r>
        <w:t>e, R., Calosi, P., Childers, R.K., Feely, R.A., Litvin, S.</w:t>
      </w:r>
      <w:r w:rsidRPr="00A34DB1">
        <w:t xml:space="preserve">Y., </w:t>
      </w:r>
      <w:r>
        <w:t>et al</w:t>
      </w:r>
      <w:r w:rsidRPr="00A34DB1">
        <w:t xml:space="preserve">. (2021). Synthesis of </w:t>
      </w:r>
      <w:r>
        <w:t>t</w:t>
      </w:r>
      <w:r w:rsidRPr="00A34DB1">
        <w:t xml:space="preserve">hresholds of </w:t>
      </w:r>
      <w:r>
        <w:t>o</w:t>
      </w:r>
      <w:r w:rsidRPr="00A34DB1">
        <w:t xml:space="preserve">cean </w:t>
      </w:r>
      <w:r>
        <w:t>a</w:t>
      </w:r>
      <w:r w:rsidRPr="00A34DB1">
        <w:t xml:space="preserve">cidification </w:t>
      </w:r>
      <w:r>
        <w:t>i</w:t>
      </w:r>
      <w:r w:rsidRPr="00A34DB1">
        <w:t xml:space="preserve">mpacts on </w:t>
      </w:r>
      <w:r>
        <w:t>d</w:t>
      </w:r>
      <w:r w:rsidRPr="00A34DB1">
        <w:t xml:space="preserve">ecapods. </w:t>
      </w:r>
      <w:r w:rsidRPr="00A34DB1">
        <w:rPr>
          <w:i/>
        </w:rPr>
        <w:t>Front. Mar. Sci.</w:t>
      </w:r>
      <w:r w:rsidRPr="00A34DB1">
        <w:t xml:space="preserve"> 8:651102.</w:t>
      </w:r>
      <w:r>
        <w:t xml:space="preserve"> </w:t>
      </w:r>
      <w:r w:rsidRPr="00A34DB1">
        <w:t>doi: 10.3389/fmars.2021.651102</w:t>
      </w:r>
    </w:p>
    <w:p w14:paraId="4669CB22" w14:textId="77777777" w:rsidR="007F2F20" w:rsidRDefault="007F2F20" w:rsidP="007F2F20">
      <w:pPr>
        <w:spacing w:after="0"/>
        <w:ind w:left="567" w:hanging="567"/>
      </w:pPr>
      <w:r w:rsidRPr="00206D6E">
        <w:t>Be</w:t>
      </w:r>
      <w:r>
        <w:t>ll, M.C., Redant, F., Tuck, I. (</w:t>
      </w:r>
      <w:r w:rsidRPr="00206D6E">
        <w:t>2006</w:t>
      </w:r>
      <w:r>
        <w:t>)</w:t>
      </w:r>
      <w:r w:rsidRPr="00206D6E">
        <w:t xml:space="preserve">. </w:t>
      </w:r>
      <w:r>
        <w:t>“</w:t>
      </w:r>
      <w:r w:rsidRPr="00206D6E">
        <w:rPr>
          <w:i/>
        </w:rPr>
        <w:t>Nephrops</w:t>
      </w:r>
      <w:r w:rsidRPr="00206D6E">
        <w:t xml:space="preserve"> species</w:t>
      </w:r>
      <w:r>
        <w:t>” i</w:t>
      </w:r>
      <w:r w:rsidRPr="00206D6E">
        <w:t>n Lobsters</w:t>
      </w:r>
      <w:r>
        <w:t xml:space="preserve">: </w:t>
      </w:r>
      <w:r w:rsidRPr="00206D6E">
        <w:t>biology, manage</w:t>
      </w:r>
      <w:r>
        <w:t>ment, aquaculture and fisheries, ed. B.F.</w:t>
      </w:r>
      <w:r w:rsidRPr="00206D6E">
        <w:t xml:space="preserve"> Phillips</w:t>
      </w:r>
      <w:r>
        <w:t xml:space="preserve"> (</w:t>
      </w:r>
      <w:r w:rsidRPr="00206D6E">
        <w:t>Oxford</w:t>
      </w:r>
      <w:r>
        <w:t>, UK: Blackwell Publishing),</w:t>
      </w:r>
      <w:r w:rsidRPr="00206D6E">
        <w:t xml:space="preserve"> 412</w:t>
      </w:r>
      <w:r>
        <w:t>–</w:t>
      </w:r>
      <w:r w:rsidRPr="00206D6E">
        <w:t>461.</w:t>
      </w:r>
      <w:r>
        <w:t xml:space="preserve"> doi: </w:t>
      </w:r>
      <w:r w:rsidRPr="007A1CEE">
        <w:t>10.1002/9780470995969.ch13</w:t>
      </w:r>
    </w:p>
    <w:p w14:paraId="1144C59A" w14:textId="3529B4C1" w:rsidR="003E60FD" w:rsidRDefault="003E60FD" w:rsidP="003E60FD">
      <w:pPr>
        <w:spacing w:after="0"/>
        <w:ind w:left="567" w:hanging="567"/>
      </w:pPr>
      <w:r w:rsidRPr="00683B52">
        <w:t>Chapman</w:t>
      </w:r>
      <w:r>
        <w:t>,</w:t>
      </w:r>
      <w:r w:rsidRPr="00683B52">
        <w:t xml:space="preserve"> C.J., Johnstone</w:t>
      </w:r>
      <w:r>
        <w:t>,</w:t>
      </w:r>
      <w:r w:rsidRPr="00683B52">
        <w:t xml:space="preserve"> A.D.F., Rice</w:t>
      </w:r>
      <w:r>
        <w:t>,</w:t>
      </w:r>
      <w:r w:rsidRPr="00683B52">
        <w:t xml:space="preserve"> A.L. </w:t>
      </w:r>
      <w:r>
        <w:t>(</w:t>
      </w:r>
      <w:r w:rsidRPr="00683B52">
        <w:t>1975</w:t>
      </w:r>
      <w:r>
        <w:t>).</w:t>
      </w:r>
      <w:r w:rsidRPr="00683B52">
        <w:t xml:space="preserve"> </w:t>
      </w:r>
      <w:r>
        <w:t>“</w:t>
      </w:r>
      <w:r w:rsidRPr="00683B52">
        <w:t xml:space="preserve">The behaviour and ecology of the Norway lobster </w:t>
      </w:r>
      <w:r w:rsidRPr="00683B52">
        <w:rPr>
          <w:i/>
        </w:rPr>
        <w:t>Nephrops norvegicus</w:t>
      </w:r>
      <w:r w:rsidRPr="00683B52">
        <w:t xml:space="preserve"> (L)</w:t>
      </w:r>
      <w:r>
        <w:t>” in</w:t>
      </w:r>
      <w:r w:rsidRPr="00683B52">
        <w:t xml:space="preserve"> Proc</w:t>
      </w:r>
      <w:r>
        <w:t>eedings of the</w:t>
      </w:r>
      <w:r w:rsidRPr="00683B52">
        <w:t xml:space="preserve"> 9th Europ</w:t>
      </w:r>
      <w:r>
        <w:t>ean</w:t>
      </w:r>
      <w:r w:rsidRPr="00683B52">
        <w:t xml:space="preserve"> Mar</w:t>
      </w:r>
      <w:r>
        <w:t>ine</w:t>
      </w:r>
      <w:r w:rsidRPr="00683B52">
        <w:t xml:space="preserve"> Biol</w:t>
      </w:r>
      <w:r>
        <w:t>ogy</w:t>
      </w:r>
      <w:r w:rsidRPr="00683B52">
        <w:t xml:space="preserve"> Symp</w:t>
      </w:r>
      <w:r>
        <w:t>osium,</w:t>
      </w:r>
      <w:r w:rsidRPr="00683B52">
        <w:t xml:space="preserve"> </w:t>
      </w:r>
      <w:r>
        <w:t>ed. H.B.</w:t>
      </w:r>
      <w:r w:rsidRPr="00683B52">
        <w:t xml:space="preserve"> Barnes </w:t>
      </w:r>
      <w:r>
        <w:t xml:space="preserve">(Aberdeen, UK: </w:t>
      </w:r>
      <w:r w:rsidRPr="00683B52">
        <w:t xml:space="preserve">Aberdeen University </w:t>
      </w:r>
      <w:r>
        <w:t>P</w:t>
      </w:r>
      <w:r w:rsidRPr="00683B52">
        <w:t>ress</w:t>
      </w:r>
      <w:r>
        <w:t>),</w:t>
      </w:r>
      <w:r w:rsidR="008B0A8B">
        <w:t xml:space="preserve"> 59-74</w:t>
      </w:r>
    </w:p>
    <w:p w14:paraId="60CD41C4" w14:textId="311C006A" w:rsidR="008446F7" w:rsidRPr="008446F7" w:rsidRDefault="008446F7" w:rsidP="00D03DA8">
      <w:pPr>
        <w:spacing w:after="0"/>
        <w:ind w:left="567" w:hanging="567"/>
      </w:pPr>
      <w:r w:rsidRPr="008446F7">
        <w:t>Dickey-Collas</w:t>
      </w:r>
      <w:r>
        <w:t>, M., Mc</w:t>
      </w:r>
      <w:r w:rsidRPr="008446F7">
        <w:t>Quaid</w:t>
      </w:r>
      <w:r>
        <w:t>,</w:t>
      </w:r>
      <w:r w:rsidRPr="008446F7">
        <w:t xml:space="preserve"> N., Armstrong</w:t>
      </w:r>
      <w:r>
        <w:t>,</w:t>
      </w:r>
      <w:r w:rsidRPr="008446F7">
        <w:t xml:space="preserve"> M.J., Allen</w:t>
      </w:r>
      <w:r>
        <w:t>,</w:t>
      </w:r>
      <w:r w:rsidRPr="008446F7">
        <w:t xml:space="preserve"> M., Briggs</w:t>
      </w:r>
      <w:r>
        <w:t>,</w:t>
      </w:r>
      <w:r w:rsidRPr="008446F7">
        <w:t xml:space="preserve"> R.P. </w:t>
      </w:r>
      <w:r>
        <w:t>(</w:t>
      </w:r>
      <w:r w:rsidRPr="008446F7">
        <w:t>2000</w:t>
      </w:r>
      <w:r>
        <w:t>)</w:t>
      </w:r>
      <w:r w:rsidRPr="008446F7">
        <w:t xml:space="preserve">. Temperature-dependent stage duration of Irish sea </w:t>
      </w:r>
      <w:r w:rsidRPr="008446F7">
        <w:rPr>
          <w:i/>
        </w:rPr>
        <w:t>Nephrops</w:t>
      </w:r>
      <w:r w:rsidRPr="008446F7">
        <w:t xml:space="preserve"> larvae. </w:t>
      </w:r>
      <w:r w:rsidRPr="008446F7">
        <w:rPr>
          <w:i/>
        </w:rPr>
        <w:t>J. Plankton Res.</w:t>
      </w:r>
      <w:r w:rsidRPr="008446F7">
        <w:t xml:space="preserve"> 22</w:t>
      </w:r>
      <w:r>
        <w:t>,</w:t>
      </w:r>
      <w:r w:rsidRPr="008446F7">
        <w:t xml:space="preserve"> 749</w:t>
      </w:r>
      <w:r>
        <w:t>–</w:t>
      </w:r>
      <w:r w:rsidRPr="008446F7">
        <w:t>760.</w:t>
      </w:r>
      <w:r>
        <w:t xml:space="preserve"> doi: </w:t>
      </w:r>
      <w:r w:rsidRPr="008446F7">
        <w:t>10.1093/plankt/22.4.749</w:t>
      </w:r>
    </w:p>
    <w:p w14:paraId="1F877FCA" w14:textId="0D8F8873" w:rsidR="008A7B91" w:rsidRDefault="008A7B91" w:rsidP="00D03DA8">
      <w:pPr>
        <w:spacing w:after="0"/>
        <w:ind w:left="567" w:hanging="567"/>
      </w:pPr>
      <w:r w:rsidRPr="007479D3">
        <w:rPr>
          <w:lang w:val="es-ES"/>
        </w:rPr>
        <w:t xml:space="preserve">Figueiredo, M.J., and Vilela, M.H. (1972). </w:t>
      </w:r>
      <w:r w:rsidRPr="008A7B91">
        <w:t xml:space="preserve">On the artificial culture of </w:t>
      </w:r>
      <w:r w:rsidRPr="008A7B91">
        <w:rPr>
          <w:i/>
        </w:rPr>
        <w:t>Nephrops norvegicus</w:t>
      </w:r>
      <w:r w:rsidRPr="008A7B91">
        <w:t xml:space="preserve"> reared from the egg. </w:t>
      </w:r>
      <w:r w:rsidRPr="008A7B91">
        <w:rPr>
          <w:i/>
        </w:rPr>
        <w:t>Aquaculture</w:t>
      </w:r>
      <w:r w:rsidRPr="008A7B91">
        <w:t xml:space="preserve"> 1</w:t>
      </w:r>
      <w:r>
        <w:t xml:space="preserve">, </w:t>
      </w:r>
      <w:r w:rsidRPr="008A7B91">
        <w:t>173</w:t>
      </w:r>
      <w:r>
        <w:t>–</w:t>
      </w:r>
      <w:r w:rsidRPr="008A7B91">
        <w:t>180.</w:t>
      </w:r>
      <w:r>
        <w:t xml:space="preserve"> doi: </w:t>
      </w:r>
      <w:r w:rsidRPr="008A7B91">
        <w:t>10.1016/0044-8486(72)90017-8</w:t>
      </w:r>
    </w:p>
    <w:p w14:paraId="644F44BE" w14:textId="24647013" w:rsidR="00D03DA8" w:rsidRDefault="00D03DA8" w:rsidP="00D03DA8">
      <w:pPr>
        <w:spacing w:after="0"/>
        <w:ind w:left="567" w:hanging="567"/>
      </w:pPr>
      <w:r w:rsidRPr="00F5037E">
        <w:t xml:space="preserve">Héder, M. </w:t>
      </w:r>
      <w:r>
        <w:t xml:space="preserve">(2017). </w:t>
      </w:r>
      <w:r w:rsidRPr="00F5037E">
        <w:t xml:space="preserve">From NASA to EU: the evolution of the TRL scale in Public Sector Innovation. </w:t>
      </w:r>
      <w:r w:rsidRPr="00F5037E">
        <w:rPr>
          <w:i/>
        </w:rPr>
        <w:t>Innov</w:t>
      </w:r>
      <w:r>
        <w:rPr>
          <w:i/>
        </w:rPr>
        <w:t>. J.</w:t>
      </w:r>
      <w:r>
        <w:t xml:space="preserve"> </w:t>
      </w:r>
      <w:r w:rsidRPr="00F5037E">
        <w:t>22</w:t>
      </w:r>
      <w:r>
        <w:t>:</w:t>
      </w:r>
      <w:r w:rsidR="000940EA">
        <w:t>3</w:t>
      </w:r>
    </w:p>
    <w:p w14:paraId="2C95E784" w14:textId="3CA43694" w:rsidR="00CA423B" w:rsidRDefault="00CA423B" w:rsidP="00CA423B">
      <w:pPr>
        <w:spacing w:after="0"/>
        <w:ind w:left="567" w:hanging="567"/>
      </w:pPr>
      <w:r>
        <w:t>Hernroth, B., Krång, A.S., Baden, S. (2015). Bacteriostatic suppression in Norway lobster (</w:t>
      </w:r>
      <w:r w:rsidRPr="00CA423B">
        <w:rPr>
          <w:i/>
        </w:rPr>
        <w:t>Nephrops norvegicus</w:t>
      </w:r>
      <w:r>
        <w:t xml:space="preserve">) exposed to manganese or hypoxia under pressure of ocean acidification. </w:t>
      </w:r>
      <w:r w:rsidRPr="00CA423B">
        <w:rPr>
          <w:i/>
        </w:rPr>
        <w:t>Aquat</w:t>
      </w:r>
      <w:r>
        <w:rPr>
          <w:i/>
        </w:rPr>
        <w:t>.</w:t>
      </w:r>
      <w:r w:rsidRPr="00CA423B">
        <w:rPr>
          <w:i/>
        </w:rPr>
        <w:t xml:space="preserve"> Toxicol.</w:t>
      </w:r>
      <w:r>
        <w:t xml:space="preserve"> 159, 217-224.</w:t>
      </w:r>
      <w:r w:rsidRPr="00CA423B">
        <w:t xml:space="preserve"> doi</w:t>
      </w:r>
      <w:r w:rsidR="0066087C">
        <w:t>: 10.1016/j.aquatox.2014.11.025</w:t>
      </w:r>
    </w:p>
    <w:p w14:paraId="3FE3562F" w14:textId="0DDF8B86" w:rsidR="00810F8B" w:rsidRPr="00671261" w:rsidRDefault="00CA423B" w:rsidP="00CA423B">
      <w:pPr>
        <w:spacing w:after="0"/>
        <w:ind w:left="567" w:hanging="567"/>
      </w:pPr>
      <w:r>
        <w:t>Hernroth, B., Sköld, H. N., Wiklander, K., Jutfelt, F., &amp; Baden, S. (2012). Simulated climate change causes immune suppression and protein damage in the crustacean Nephrops norvegicus. Fish &amp; shellfish immunology, 33(5), 1095-1101.</w:t>
      </w:r>
      <w:r w:rsidR="00810F8B" w:rsidRPr="00671261">
        <w:t>Martín</w:t>
      </w:r>
      <w:r w:rsidR="00810F8B">
        <w:t>,</w:t>
      </w:r>
      <w:r w:rsidR="00810F8B" w:rsidRPr="00671261">
        <w:t xml:space="preserve"> M., Puig</w:t>
      </w:r>
      <w:r w:rsidR="00810F8B">
        <w:t>,</w:t>
      </w:r>
      <w:r w:rsidR="00810F8B" w:rsidRPr="00671261">
        <w:t xml:space="preserve"> P., Palanques</w:t>
      </w:r>
      <w:r w:rsidR="00810F8B">
        <w:t>,</w:t>
      </w:r>
      <w:r w:rsidR="00810F8B" w:rsidRPr="00671261">
        <w:t xml:space="preserve"> A., Giamportone</w:t>
      </w:r>
      <w:r w:rsidR="00810F8B">
        <w:t>,</w:t>
      </w:r>
      <w:r w:rsidR="00810F8B" w:rsidRPr="00671261">
        <w:t xml:space="preserve"> A. </w:t>
      </w:r>
      <w:r w:rsidR="00810F8B">
        <w:t>(</w:t>
      </w:r>
      <w:r w:rsidR="00810F8B" w:rsidRPr="00671261">
        <w:t>2014</w:t>
      </w:r>
      <w:r w:rsidR="00810F8B">
        <w:t>)</w:t>
      </w:r>
      <w:r w:rsidR="00810F8B" w:rsidRPr="00671261">
        <w:t>. Commercial bottom trawling as a driver of sediment dynamics and deep seascape evolution in</w:t>
      </w:r>
      <w:r w:rsidR="00810F8B">
        <w:t xml:space="preserve"> the Anthropocene. </w:t>
      </w:r>
      <w:r w:rsidR="00810F8B" w:rsidRPr="00671261">
        <w:rPr>
          <w:i/>
        </w:rPr>
        <w:t>Anthropocene</w:t>
      </w:r>
      <w:r w:rsidR="00810F8B" w:rsidRPr="00671261">
        <w:t xml:space="preserve"> 7, 1–15. doi: 10.1016/j.ancene.2015.01.002</w:t>
      </w:r>
    </w:p>
    <w:p w14:paraId="602A1230" w14:textId="77777777" w:rsidR="005300CE" w:rsidRDefault="005300CE" w:rsidP="005300CE">
      <w:pPr>
        <w:spacing w:after="0"/>
        <w:ind w:left="567" w:hanging="567"/>
      </w:pPr>
      <w:r w:rsidRPr="00131B7D">
        <w:t>McGeady, R., Lordan, C.</w:t>
      </w:r>
      <w:r>
        <w:t>,</w:t>
      </w:r>
      <w:r w:rsidRPr="00131B7D">
        <w:t xml:space="preserve"> Power, A.M. </w:t>
      </w:r>
      <w:r>
        <w:t>(</w:t>
      </w:r>
      <w:r w:rsidRPr="00131B7D">
        <w:t>2021</w:t>
      </w:r>
      <w:r>
        <w:t>)</w:t>
      </w:r>
      <w:r w:rsidRPr="00131B7D">
        <w:t xml:space="preserve">. Shift in the larval phenology of a marine ectotherm due to ocean warming with consequences for larval transport. </w:t>
      </w:r>
      <w:r w:rsidRPr="00131B7D">
        <w:rPr>
          <w:i/>
        </w:rPr>
        <w:t>Limnol. Oceanogr.</w:t>
      </w:r>
      <w:r w:rsidRPr="00131B7D">
        <w:t xml:space="preserve"> 66</w:t>
      </w:r>
      <w:r>
        <w:t>,</w:t>
      </w:r>
      <w:r w:rsidRPr="00131B7D">
        <w:t xml:space="preserve"> 543</w:t>
      </w:r>
      <w:r>
        <w:t>–</w:t>
      </w:r>
      <w:r w:rsidRPr="00131B7D">
        <w:t xml:space="preserve">557. </w:t>
      </w:r>
      <w:r>
        <w:t xml:space="preserve">doi: </w:t>
      </w:r>
      <w:r w:rsidRPr="00131B7D">
        <w:t>10.1002/lno.11622</w:t>
      </w:r>
    </w:p>
    <w:p w14:paraId="0F845A9F" w14:textId="77777777" w:rsidR="005F134E" w:rsidRDefault="005F134E" w:rsidP="005F134E">
      <w:pPr>
        <w:spacing w:after="0"/>
        <w:ind w:left="567" w:hanging="567"/>
      </w:pPr>
      <w:r>
        <w:lastRenderedPageBreak/>
        <w:t>Santana, C.A.d.</w:t>
      </w:r>
      <w:r w:rsidRPr="00671261">
        <w:t>S., Wieczorek, A.M., Browne, P.</w:t>
      </w:r>
      <w:r>
        <w:t xml:space="preserve">, Graham, C.T., </w:t>
      </w:r>
      <w:r w:rsidRPr="00671261">
        <w:t>Power</w:t>
      </w:r>
      <w:r>
        <w:t>, A.M</w:t>
      </w:r>
      <w:r w:rsidRPr="00671261">
        <w:t xml:space="preserve">. </w:t>
      </w:r>
      <w:r>
        <w:t xml:space="preserve">(2020). </w:t>
      </w:r>
      <w:r w:rsidRPr="00671261">
        <w:t xml:space="preserve">Importance of suspended particulate organic matter in the diet of </w:t>
      </w:r>
      <w:r w:rsidRPr="00671261">
        <w:rPr>
          <w:i/>
        </w:rPr>
        <w:t>Nephrops norvegicus</w:t>
      </w:r>
      <w:r w:rsidRPr="00671261">
        <w:t xml:space="preserve"> (Linnaeus, 1758). </w:t>
      </w:r>
      <w:r w:rsidRPr="00671261">
        <w:rPr>
          <w:i/>
        </w:rPr>
        <w:t>Sci. Rep.</w:t>
      </w:r>
      <w:r w:rsidRPr="00671261">
        <w:t xml:space="preserve"> 10</w:t>
      </w:r>
      <w:r>
        <w:t>:</w:t>
      </w:r>
      <w:r w:rsidRPr="00671261">
        <w:t xml:space="preserve">3387. </w:t>
      </w:r>
      <w:r>
        <w:t xml:space="preserve">doi: </w:t>
      </w:r>
      <w:r w:rsidRPr="00671261">
        <w:t>10.1038/s41598-020-60367-x</w:t>
      </w:r>
    </w:p>
    <w:p w14:paraId="40B13462" w14:textId="77777777" w:rsidR="001C4A33" w:rsidRPr="001C4A33" w:rsidRDefault="001C4A33" w:rsidP="001C4A33">
      <w:pPr>
        <w:spacing w:after="0"/>
        <w:ind w:left="567" w:hanging="567"/>
      </w:pPr>
      <w:r w:rsidRPr="005F134E">
        <w:t xml:space="preserve">Sbragaglia, V., García, J.A., Chiesa, J.J., Aguzzi, J. (2015). </w:t>
      </w:r>
      <w:r>
        <w:t>Effect of simulated tidal currents on the burrow emergence rhythms of the Norway lobster (</w:t>
      </w:r>
      <w:r w:rsidRPr="003F3B26">
        <w:rPr>
          <w:i/>
        </w:rPr>
        <w:t>Nephrops norvegicus</w:t>
      </w:r>
      <w:r>
        <w:t xml:space="preserve">). </w:t>
      </w:r>
      <w:r w:rsidRPr="001C4A33">
        <w:rPr>
          <w:i/>
        </w:rPr>
        <w:t>Mar. Biol.</w:t>
      </w:r>
      <w:r w:rsidRPr="001C4A33">
        <w:t xml:space="preserve"> 162, 2007–2016. doi: 10.1007/s00227-015-2726-5</w:t>
      </w:r>
    </w:p>
    <w:p w14:paraId="300E59BB" w14:textId="77777777" w:rsidR="00DD2FBC" w:rsidRDefault="00DD2FBC" w:rsidP="00DD2FBC">
      <w:pPr>
        <w:spacing w:after="0"/>
        <w:ind w:left="567" w:hanging="567"/>
      </w:pPr>
      <w:r w:rsidRPr="00B87C59">
        <w:t xml:space="preserve">Stentiford G.D., Douglas N., Atkinson R.J.A. </w:t>
      </w:r>
      <w:r>
        <w:t>(</w:t>
      </w:r>
      <w:r w:rsidRPr="00B87C59">
        <w:t>2001</w:t>
      </w:r>
      <w:r>
        <w:t>)</w:t>
      </w:r>
      <w:r w:rsidRPr="00B87C59">
        <w:t xml:space="preserve">. Alteration of burrow-related behaviour of the Norway Lobster </w:t>
      </w:r>
      <w:r w:rsidRPr="002F3C3E">
        <w:rPr>
          <w:i/>
        </w:rPr>
        <w:t>Nephrops norvegicus</w:t>
      </w:r>
      <w:r w:rsidRPr="00B87C59">
        <w:t xml:space="preserve"> during infection by the parasitic dinoflagellate </w:t>
      </w:r>
      <w:r w:rsidRPr="002F3C3E">
        <w:rPr>
          <w:i/>
        </w:rPr>
        <w:t>Hematodinium</w:t>
      </w:r>
      <w:r w:rsidRPr="00B87C59">
        <w:t xml:space="preserve">. </w:t>
      </w:r>
      <w:r w:rsidRPr="002F3C3E">
        <w:rPr>
          <w:i/>
        </w:rPr>
        <w:t>Mar. Fresh. Behav. Physiol.</w:t>
      </w:r>
      <w:r w:rsidRPr="00B87C59">
        <w:t xml:space="preserve"> </w:t>
      </w:r>
      <w:r>
        <w:t xml:space="preserve">34, 139–156. doi: </w:t>
      </w:r>
      <w:r w:rsidRPr="002F3C3E">
        <w:t>10.1080/10236240109379068</w:t>
      </w:r>
    </w:p>
    <w:p w14:paraId="31953436" w14:textId="77777777" w:rsidR="00DD2FBC" w:rsidRDefault="00DD2FBC" w:rsidP="00DD2FBC">
      <w:pPr>
        <w:spacing w:after="0"/>
        <w:ind w:left="567" w:hanging="567"/>
      </w:pPr>
      <w:r w:rsidRPr="00B87C59">
        <w:t>Stentiford, G.D., Neil</w:t>
      </w:r>
      <w:r>
        <w:t>, D.M.,</w:t>
      </w:r>
      <w:r w:rsidRPr="002F3C3E">
        <w:t xml:space="preserve"> </w:t>
      </w:r>
      <w:r w:rsidRPr="00B87C59">
        <w:t xml:space="preserve">Atkinson R.J.A. </w:t>
      </w:r>
      <w:r>
        <w:t>(1999)</w:t>
      </w:r>
      <w:r w:rsidRPr="00B87C59">
        <w:t xml:space="preserve">. Infection by the dinoflagellate </w:t>
      </w:r>
      <w:r w:rsidRPr="002F3C3E">
        <w:rPr>
          <w:i/>
        </w:rPr>
        <w:t>Hematodinium</w:t>
      </w:r>
      <w:r w:rsidRPr="00B87C59">
        <w:t xml:space="preserve"> in the Norway lobster (</w:t>
      </w:r>
      <w:r w:rsidRPr="002F3C3E">
        <w:rPr>
          <w:i/>
        </w:rPr>
        <w:t>Nephrops norvegicus</w:t>
      </w:r>
      <w:r w:rsidRPr="00B87C59">
        <w:t xml:space="preserve"> L.) on the west coast of Scotland, United Kingdom. </w:t>
      </w:r>
      <w:r w:rsidRPr="002F3C3E">
        <w:rPr>
          <w:i/>
        </w:rPr>
        <w:t>J. Shellfish Res.</w:t>
      </w:r>
      <w:r w:rsidRPr="00B87C59">
        <w:t xml:space="preserve"> 18</w:t>
      </w:r>
      <w:r>
        <w:t>,</w:t>
      </w:r>
      <w:r w:rsidRPr="00B87C59">
        <w:t xml:space="preserve"> 334.</w:t>
      </w:r>
      <w:r>
        <w:t xml:space="preserve"> </w:t>
      </w:r>
      <w:r w:rsidRPr="00131B7D">
        <w:t xml:space="preserve">Abstract </w:t>
      </w:r>
      <w:r>
        <w:t>from the 1999 Annual Meeting of the National Shellfisheries Association (Halifax, NS, Canada)</w:t>
      </w:r>
    </w:p>
    <w:p w14:paraId="237B7E81" w14:textId="59D0195A" w:rsidR="008B0A8B" w:rsidRPr="007479D3" w:rsidRDefault="008B0A8B" w:rsidP="00D75ED5">
      <w:pPr>
        <w:spacing w:after="0"/>
        <w:ind w:left="567" w:hanging="567"/>
        <w:rPr>
          <w:lang w:val="es-ES"/>
        </w:rPr>
      </w:pPr>
      <w:r w:rsidRPr="008B0A8B">
        <w:t xml:space="preserve">Styf, H.K., Nilsson Sköld, H., Eriksson, S.P. (2013). Embryonic response to long‐term exposure of the marine crustacean </w:t>
      </w:r>
      <w:r w:rsidRPr="008B0A8B">
        <w:rPr>
          <w:i/>
        </w:rPr>
        <w:t>Nephrops norvegicus</w:t>
      </w:r>
      <w:r w:rsidRPr="008B0A8B">
        <w:t xml:space="preserve"> to ocean acidification and elevated temperature. </w:t>
      </w:r>
      <w:r w:rsidRPr="007479D3">
        <w:rPr>
          <w:i/>
          <w:lang w:val="es-ES"/>
        </w:rPr>
        <w:t>Ecol. Evol.</w:t>
      </w:r>
      <w:r w:rsidRPr="007479D3">
        <w:rPr>
          <w:lang w:val="es-ES"/>
        </w:rPr>
        <w:t xml:space="preserve"> 3, 5055–5065. doi: 10.1002/ece3.860</w:t>
      </w:r>
    </w:p>
    <w:p w14:paraId="43B6679B" w14:textId="53B0D695" w:rsidR="00D75ED5" w:rsidRDefault="00D75ED5" w:rsidP="00D75ED5">
      <w:pPr>
        <w:spacing w:after="0"/>
        <w:ind w:left="567" w:hanging="567"/>
      </w:pPr>
      <w:r w:rsidRPr="007479D3">
        <w:rPr>
          <w:lang w:val="es-ES"/>
        </w:rPr>
        <w:t xml:space="preserve">Thomsen, L., Aguzzi, J., Costa, C., De Leo, F., Ogston, A., Purser, A. (2017). </w:t>
      </w:r>
      <w:r w:rsidRPr="00671261">
        <w:t xml:space="preserve">The oceanic biological pump: rapid carbon transfer to depth at continental margins during winter. </w:t>
      </w:r>
      <w:r w:rsidRPr="00671261">
        <w:rPr>
          <w:i/>
        </w:rPr>
        <w:t>Sci. Rep.</w:t>
      </w:r>
      <w:r w:rsidRPr="00671261">
        <w:t xml:space="preserve"> 7:10763. doi: 10.1038/s41598-017-11075-6</w:t>
      </w:r>
    </w:p>
    <w:p w14:paraId="77C7BDD5" w14:textId="3168DE50" w:rsidR="003B328D" w:rsidRDefault="003B328D" w:rsidP="003B328D">
      <w:pPr>
        <w:spacing w:after="0"/>
        <w:ind w:left="567" w:hanging="567"/>
      </w:pPr>
      <w:r>
        <w:t>Van Raan, A.</w:t>
      </w:r>
      <w:r w:rsidRPr="003B328D">
        <w:t>F. (2014). “Advances in bibliometric analysis: research performance assessment and science mapping” in Bibliometrics. Use and Abuse in the Review of Research Performance, eds</w:t>
      </w:r>
      <w:r>
        <w:t>.</w:t>
      </w:r>
      <w:r w:rsidRPr="003B328D">
        <w:t xml:space="preserve"> W. Blockmans, L. Engwall, D. Weaire (London</w:t>
      </w:r>
      <w:r>
        <w:t>, UK</w:t>
      </w:r>
      <w:r w:rsidRPr="003B328D">
        <w:t>: Portland Press), 17–28.</w:t>
      </w:r>
    </w:p>
    <w:p w14:paraId="036374BA" w14:textId="35993E36" w:rsidR="00D45EFE" w:rsidRPr="003B328D" w:rsidRDefault="00D45EFE" w:rsidP="003B328D">
      <w:pPr>
        <w:spacing w:after="0"/>
        <w:ind w:left="567" w:hanging="567"/>
      </w:pPr>
      <w:r w:rsidRPr="00D45EFE">
        <w:t xml:space="preserve">Wood, H.L., Eriksson, S.P., Nordborg, M., Styf, H.K. (2015). The effect of environmental stressors on the early development of the Norway lobster </w:t>
      </w:r>
      <w:r w:rsidRPr="00064483">
        <w:rPr>
          <w:i/>
        </w:rPr>
        <w:t>Nephrops norvegicus</w:t>
      </w:r>
      <w:r w:rsidRPr="00D45EFE">
        <w:t xml:space="preserve"> (L.). </w:t>
      </w:r>
      <w:r w:rsidRPr="00064483">
        <w:rPr>
          <w:i/>
        </w:rPr>
        <w:t>J</w:t>
      </w:r>
      <w:r w:rsidR="00064483" w:rsidRPr="00064483">
        <w:rPr>
          <w:i/>
        </w:rPr>
        <w:t>.</w:t>
      </w:r>
      <w:r w:rsidRPr="00064483">
        <w:rPr>
          <w:i/>
        </w:rPr>
        <w:t xml:space="preserve"> Exp</w:t>
      </w:r>
      <w:r w:rsidR="00064483" w:rsidRPr="00064483">
        <w:rPr>
          <w:i/>
        </w:rPr>
        <w:t>.</w:t>
      </w:r>
      <w:r w:rsidRPr="00064483">
        <w:rPr>
          <w:i/>
        </w:rPr>
        <w:t xml:space="preserve"> Mar</w:t>
      </w:r>
      <w:r w:rsidR="00064483" w:rsidRPr="00064483">
        <w:rPr>
          <w:i/>
        </w:rPr>
        <w:t>.</w:t>
      </w:r>
      <w:r w:rsidRPr="00064483">
        <w:rPr>
          <w:i/>
        </w:rPr>
        <w:t xml:space="preserve"> Biol</w:t>
      </w:r>
      <w:r w:rsidR="00064483" w:rsidRPr="00064483">
        <w:rPr>
          <w:i/>
        </w:rPr>
        <w:t>.</w:t>
      </w:r>
      <w:r w:rsidRPr="00064483">
        <w:rPr>
          <w:i/>
        </w:rPr>
        <w:t xml:space="preserve"> Ecol</w:t>
      </w:r>
      <w:r w:rsidR="00064483" w:rsidRPr="00064483">
        <w:rPr>
          <w:i/>
        </w:rPr>
        <w:t>.</w:t>
      </w:r>
      <w:r w:rsidRPr="00D45EFE">
        <w:t xml:space="preserve"> 473, 35</w:t>
      </w:r>
      <w:r w:rsidR="00064483">
        <w:t>–</w:t>
      </w:r>
      <w:r w:rsidRPr="00D45EFE">
        <w:t>42.</w:t>
      </w:r>
      <w:r w:rsidR="00064483">
        <w:t xml:space="preserve"> doi: </w:t>
      </w:r>
      <w:r w:rsidR="00064483" w:rsidRPr="00064483">
        <w:t>10.1016/j.jembe.2015.08.009</w:t>
      </w:r>
    </w:p>
    <w:sectPr w:rsidR="00D45EFE" w:rsidRPr="003B328D"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B29A" w14:textId="77777777" w:rsidR="00E1486D" w:rsidRDefault="00E1486D" w:rsidP="00117666">
      <w:pPr>
        <w:spacing w:after="0"/>
      </w:pPr>
      <w:r>
        <w:separator/>
      </w:r>
    </w:p>
  </w:endnote>
  <w:endnote w:type="continuationSeparator" w:id="0">
    <w:p w14:paraId="14D92F51" w14:textId="77777777" w:rsidR="00E1486D" w:rsidRDefault="00E1486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l-GR" w:eastAsia="el-G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D22F9">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D22F9">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l-GR" w:eastAsia="el-G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3778A">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3778A">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C87A" w14:textId="77777777" w:rsidR="00E1486D" w:rsidRDefault="00E1486D" w:rsidP="00117666">
      <w:pPr>
        <w:spacing w:after="0"/>
      </w:pPr>
      <w:r>
        <w:separator/>
      </w:r>
    </w:p>
  </w:footnote>
  <w:footnote w:type="continuationSeparator" w:id="0">
    <w:p w14:paraId="1052851D" w14:textId="77777777" w:rsidR="00E1486D" w:rsidRDefault="00E1486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l-GR" w:eastAsia="el-GR"/>
      </w:rPr>
      <w:drawing>
        <wp:inline distT="0" distB="0" distL="0" distR="0" wp14:anchorId="07D26A56" wp14:editId="2E460F0E">
          <wp:extent cx="1382534" cy="497091"/>
          <wp:effectExtent l="0" t="0" r="0" b="0"/>
          <wp:docPr id="4" name="Picture 4"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A7CAC"/>
    <w:multiLevelType w:val="multilevel"/>
    <w:tmpl w:val="2D740DBE"/>
    <w:numStyleLink w:val="Headings"/>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75826960">
    <w:abstractNumId w:val="0"/>
  </w:num>
  <w:num w:numId="2" w16cid:durableId="134638922">
    <w:abstractNumId w:val="5"/>
  </w:num>
  <w:num w:numId="3" w16cid:durableId="45572915">
    <w:abstractNumId w:val="1"/>
  </w:num>
  <w:num w:numId="4" w16cid:durableId="793720173">
    <w:abstractNumId w:val="6"/>
  </w:num>
  <w:num w:numId="5" w16cid:durableId="1059329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133284">
    <w:abstractNumId w:val="3"/>
  </w:num>
  <w:num w:numId="7" w16cid:durableId="65423817">
    <w:abstractNumId w:val="7"/>
  </w:num>
  <w:num w:numId="8" w16cid:durableId="471678402">
    <w:abstractNumId w:val="7"/>
  </w:num>
  <w:num w:numId="9" w16cid:durableId="768936965">
    <w:abstractNumId w:val="7"/>
  </w:num>
  <w:num w:numId="10" w16cid:durableId="818302683">
    <w:abstractNumId w:val="7"/>
  </w:num>
  <w:num w:numId="11" w16cid:durableId="1121264692">
    <w:abstractNumId w:val="7"/>
  </w:num>
  <w:num w:numId="12" w16cid:durableId="1579055937">
    <w:abstractNumId w:val="7"/>
  </w:num>
  <w:num w:numId="13" w16cid:durableId="1798453035">
    <w:abstractNumId w:val="3"/>
  </w:num>
  <w:num w:numId="14" w16cid:durableId="761530742">
    <w:abstractNumId w:val="2"/>
  </w:num>
  <w:num w:numId="15" w16cid:durableId="1550804483">
    <w:abstractNumId w:val="2"/>
  </w:num>
  <w:num w:numId="16" w16cid:durableId="1924876833">
    <w:abstractNumId w:val="2"/>
  </w:num>
  <w:num w:numId="17" w16cid:durableId="615210844">
    <w:abstractNumId w:val="2"/>
  </w:num>
  <w:num w:numId="18" w16cid:durableId="629356828">
    <w:abstractNumId w:val="2"/>
  </w:num>
  <w:num w:numId="19" w16cid:durableId="761609828">
    <w:abstractNumId w:val="2"/>
  </w:num>
  <w:num w:numId="20" w16cid:durableId="916211217">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1" w16cid:durableId="906956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B5"/>
    <w:rsid w:val="0001436A"/>
    <w:rsid w:val="00034304"/>
    <w:rsid w:val="00035434"/>
    <w:rsid w:val="00052A14"/>
    <w:rsid w:val="00064483"/>
    <w:rsid w:val="00077D53"/>
    <w:rsid w:val="000940EA"/>
    <w:rsid w:val="000F5F20"/>
    <w:rsid w:val="00105FD9"/>
    <w:rsid w:val="00117666"/>
    <w:rsid w:val="001549D3"/>
    <w:rsid w:val="00160065"/>
    <w:rsid w:val="00177D84"/>
    <w:rsid w:val="001C4A33"/>
    <w:rsid w:val="00205A52"/>
    <w:rsid w:val="0026000D"/>
    <w:rsid w:val="00267D18"/>
    <w:rsid w:val="00273179"/>
    <w:rsid w:val="00274347"/>
    <w:rsid w:val="002868E2"/>
    <w:rsid w:val="002869C3"/>
    <w:rsid w:val="002936E4"/>
    <w:rsid w:val="002B4A57"/>
    <w:rsid w:val="002C74CA"/>
    <w:rsid w:val="003123F4"/>
    <w:rsid w:val="00313A2F"/>
    <w:rsid w:val="003544FB"/>
    <w:rsid w:val="003B328D"/>
    <w:rsid w:val="003D2F2D"/>
    <w:rsid w:val="003E60FD"/>
    <w:rsid w:val="00401590"/>
    <w:rsid w:val="00411DD1"/>
    <w:rsid w:val="00414077"/>
    <w:rsid w:val="0043778A"/>
    <w:rsid w:val="00447801"/>
    <w:rsid w:val="00452E9C"/>
    <w:rsid w:val="004735C8"/>
    <w:rsid w:val="004947A6"/>
    <w:rsid w:val="004961FF"/>
    <w:rsid w:val="004A729C"/>
    <w:rsid w:val="004D4611"/>
    <w:rsid w:val="00517A89"/>
    <w:rsid w:val="005250F2"/>
    <w:rsid w:val="005259AB"/>
    <w:rsid w:val="005300CE"/>
    <w:rsid w:val="005468A1"/>
    <w:rsid w:val="00547F22"/>
    <w:rsid w:val="005514A0"/>
    <w:rsid w:val="00593EEA"/>
    <w:rsid w:val="005A5EEE"/>
    <w:rsid w:val="005E1D7B"/>
    <w:rsid w:val="005F134E"/>
    <w:rsid w:val="0060284E"/>
    <w:rsid w:val="00621C74"/>
    <w:rsid w:val="006375C7"/>
    <w:rsid w:val="006409C4"/>
    <w:rsid w:val="00654E8F"/>
    <w:rsid w:val="0066087C"/>
    <w:rsid w:val="00660D05"/>
    <w:rsid w:val="006820B1"/>
    <w:rsid w:val="006A214D"/>
    <w:rsid w:val="006B7D14"/>
    <w:rsid w:val="006C5398"/>
    <w:rsid w:val="00701727"/>
    <w:rsid w:val="0070407A"/>
    <w:rsid w:val="0070566C"/>
    <w:rsid w:val="00714C50"/>
    <w:rsid w:val="00725A7D"/>
    <w:rsid w:val="007479D3"/>
    <w:rsid w:val="007501BE"/>
    <w:rsid w:val="00790BB3"/>
    <w:rsid w:val="007A517F"/>
    <w:rsid w:val="007B46EB"/>
    <w:rsid w:val="007C206C"/>
    <w:rsid w:val="007F2F20"/>
    <w:rsid w:val="00805318"/>
    <w:rsid w:val="00810F8B"/>
    <w:rsid w:val="008128B1"/>
    <w:rsid w:val="00817DD6"/>
    <w:rsid w:val="00823F20"/>
    <w:rsid w:val="0083759F"/>
    <w:rsid w:val="00843973"/>
    <w:rsid w:val="008446F7"/>
    <w:rsid w:val="00885156"/>
    <w:rsid w:val="008A7B91"/>
    <w:rsid w:val="008B0A8B"/>
    <w:rsid w:val="009151AA"/>
    <w:rsid w:val="0093429D"/>
    <w:rsid w:val="00943573"/>
    <w:rsid w:val="00964134"/>
    <w:rsid w:val="00970F7D"/>
    <w:rsid w:val="00994A3D"/>
    <w:rsid w:val="009C2B12"/>
    <w:rsid w:val="00A174D9"/>
    <w:rsid w:val="00A34DB1"/>
    <w:rsid w:val="00AA4D24"/>
    <w:rsid w:val="00AB6715"/>
    <w:rsid w:val="00AE7D5E"/>
    <w:rsid w:val="00B1671E"/>
    <w:rsid w:val="00B25EB8"/>
    <w:rsid w:val="00B3263F"/>
    <w:rsid w:val="00B37F4D"/>
    <w:rsid w:val="00B70FEC"/>
    <w:rsid w:val="00C52A7B"/>
    <w:rsid w:val="00C56BAF"/>
    <w:rsid w:val="00C679AA"/>
    <w:rsid w:val="00C75972"/>
    <w:rsid w:val="00CA423B"/>
    <w:rsid w:val="00CD066B"/>
    <w:rsid w:val="00CD22F9"/>
    <w:rsid w:val="00CE4FEE"/>
    <w:rsid w:val="00D03DA8"/>
    <w:rsid w:val="00D060CF"/>
    <w:rsid w:val="00D45EFE"/>
    <w:rsid w:val="00D75ED5"/>
    <w:rsid w:val="00DB59C3"/>
    <w:rsid w:val="00DC259A"/>
    <w:rsid w:val="00DD2FBC"/>
    <w:rsid w:val="00DE23E8"/>
    <w:rsid w:val="00E1486D"/>
    <w:rsid w:val="00E26937"/>
    <w:rsid w:val="00E52377"/>
    <w:rsid w:val="00E537AD"/>
    <w:rsid w:val="00E64E17"/>
    <w:rsid w:val="00E866C9"/>
    <w:rsid w:val="00EA3D3C"/>
    <w:rsid w:val="00EB78C8"/>
    <w:rsid w:val="00EC090A"/>
    <w:rsid w:val="00ED20B5"/>
    <w:rsid w:val="00EE2E25"/>
    <w:rsid w:val="00F32FE6"/>
    <w:rsid w:val="00F46900"/>
    <w:rsid w:val="00F61D89"/>
    <w:rsid w:val="00FC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1B209A1D-CC0E-4B1F-A653-6FEEA4B5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5514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84596A-A2E7-4E50-A084-0E921209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Nicole Rossides</cp:lastModifiedBy>
  <cp:revision>7</cp:revision>
  <cp:lastPrinted>2013-10-03T12:51:00Z</cp:lastPrinted>
  <dcterms:created xsi:type="dcterms:W3CDTF">2022-07-06T09:51:00Z</dcterms:created>
  <dcterms:modified xsi:type="dcterms:W3CDTF">2022-08-12T10:11:00Z</dcterms:modified>
</cp:coreProperties>
</file>