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0B61ED" w14:textId="4844A8EC" w:rsidR="004E4969" w:rsidRPr="004E4969" w:rsidRDefault="00DA5CD3" w:rsidP="004E4969">
      <w:pPr>
        <w:rPr>
          <w:rFonts w:ascii="Times New Roman" w:hAnsi="Times New Roman" w:cs="Times New Roman"/>
          <w:b/>
        </w:rPr>
      </w:pPr>
      <w:r w:rsidRPr="009D52B3">
        <w:rPr>
          <w:rFonts w:ascii="Times New Roman" w:hAnsi="Times New Roman" w:cs="Times New Roman"/>
          <w:b/>
        </w:rPr>
        <w:t xml:space="preserve">Supporting Information </w:t>
      </w:r>
      <w:r w:rsidR="004E4969">
        <w:rPr>
          <w:rFonts w:ascii="Times New Roman" w:hAnsi="Times New Roman" w:cs="Times New Roman"/>
          <w:b/>
        </w:rPr>
        <w:t>of “</w:t>
      </w:r>
      <w:r w:rsidR="00265027" w:rsidRPr="00265027">
        <w:rPr>
          <w:rFonts w:ascii="Times New Roman" w:hAnsi="Times New Roman" w:cs="Times New Roman"/>
          <w:b/>
        </w:rPr>
        <w:t>Natural recovery of disturbed habitat-forming seaweed populations impeded by highly restricted dispersal</w:t>
      </w:r>
      <w:bookmarkStart w:id="0" w:name="_GoBack"/>
      <w:bookmarkEnd w:id="0"/>
      <w:r w:rsidR="004E4969">
        <w:rPr>
          <w:rFonts w:ascii="Times New Roman" w:hAnsi="Times New Roman" w:cs="Times New Roman"/>
          <w:b/>
        </w:rPr>
        <w:t>”</w:t>
      </w:r>
    </w:p>
    <w:p w14:paraId="53D9AF28" w14:textId="2C667CD9" w:rsidR="00916E43" w:rsidRPr="004E4969" w:rsidRDefault="004E4969">
      <w:pPr>
        <w:rPr>
          <w:rFonts w:ascii="Times New Roman" w:hAnsi="Times New Roman" w:cs="Times New Roman"/>
          <w:sz w:val="22"/>
        </w:rPr>
      </w:pPr>
      <w:r w:rsidRPr="004E4969">
        <w:rPr>
          <w:rFonts w:ascii="Times New Roman" w:hAnsi="Times New Roman" w:cs="Times New Roman"/>
          <w:sz w:val="22"/>
        </w:rPr>
        <w:t>Florentine Riquet</w:t>
      </w:r>
      <w:r>
        <w:rPr>
          <w:rFonts w:ascii="Times New Roman" w:hAnsi="Times New Roman" w:cs="Times New Roman"/>
          <w:sz w:val="22"/>
        </w:rPr>
        <w:t xml:space="preserve">, </w:t>
      </w:r>
      <w:r w:rsidRPr="004E4969">
        <w:rPr>
          <w:rFonts w:ascii="Times New Roman" w:hAnsi="Times New Roman" w:cs="Times New Roman"/>
          <w:sz w:val="22"/>
        </w:rPr>
        <w:t xml:space="preserve">Cécile </w:t>
      </w:r>
      <w:proofErr w:type="spellStart"/>
      <w:r w:rsidRPr="004E4969">
        <w:rPr>
          <w:rFonts w:ascii="Times New Roman" w:hAnsi="Times New Roman" w:cs="Times New Roman"/>
          <w:sz w:val="22"/>
        </w:rPr>
        <w:t>Fauvelot</w:t>
      </w:r>
      <w:proofErr w:type="spellEnd"/>
      <w:r>
        <w:rPr>
          <w:rFonts w:ascii="Times New Roman" w:hAnsi="Times New Roman" w:cs="Times New Roman"/>
          <w:sz w:val="22"/>
        </w:rPr>
        <w:t>, Christiane-</w:t>
      </w:r>
      <w:proofErr w:type="spellStart"/>
      <w:r>
        <w:rPr>
          <w:rFonts w:ascii="Times New Roman" w:hAnsi="Times New Roman" w:cs="Times New Roman"/>
          <w:sz w:val="22"/>
        </w:rPr>
        <w:t>Arnilda</w:t>
      </w:r>
      <w:proofErr w:type="spellEnd"/>
      <w:r>
        <w:rPr>
          <w:rFonts w:ascii="Times New Roman" w:hAnsi="Times New Roman" w:cs="Times New Roman"/>
          <w:sz w:val="22"/>
        </w:rPr>
        <w:t xml:space="preserve"> De </w:t>
      </w:r>
      <w:proofErr w:type="spellStart"/>
      <w:r>
        <w:rPr>
          <w:rFonts w:ascii="Times New Roman" w:hAnsi="Times New Roman" w:cs="Times New Roman"/>
          <w:sz w:val="22"/>
        </w:rPr>
        <w:t>Kuyper</w:t>
      </w:r>
      <w:proofErr w:type="spellEnd"/>
      <w:r>
        <w:rPr>
          <w:rFonts w:ascii="Times New Roman" w:hAnsi="Times New Roman" w:cs="Times New Roman"/>
          <w:sz w:val="22"/>
        </w:rPr>
        <w:t xml:space="preserve">, Laura </w:t>
      </w:r>
      <w:proofErr w:type="spellStart"/>
      <w:r>
        <w:rPr>
          <w:rFonts w:ascii="Times New Roman" w:hAnsi="Times New Roman" w:cs="Times New Roman"/>
          <w:sz w:val="22"/>
        </w:rPr>
        <w:t>Airoldi</w:t>
      </w:r>
      <w:proofErr w:type="spellEnd"/>
      <w:r>
        <w:rPr>
          <w:rFonts w:ascii="Times New Roman" w:hAnsi="Times New Roman" w:cs="Times New Roman"/>
          <w:sz w:val="22"/>
        </w:rPr>
        <w:t xml:space="preserve">, Serge Planes, </w:t>
      </w:r>
      <w:proofErr w:type="spellStart"/>
      <w:r>
        <w:rPr>
          <w:rFonts w:ascii="Times New Roman" w:hAnsi="Times New Roman" w:cs="Times New Roman"/>
          <w:sz w:val="22"/>
        </w:rPr>
        <w:t>Simonetta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Fraschetti</w:t>
      </w:r>
      <w:proofErr w:type="spellEnd"/>
      <w:r>
        <w:rPr>
          <w:rFonts w:ascii="Times New Roman" w:hAnsi="Times New Roman" w:cs="Times New Roman"/>
          <w:sz w:val="22"/>
        </w:rPr>
        <w:t xml:space="preserve">, </w:t>
      </w:r>
      <w:proofErr w:type="spellStart"/>
      <w:r>
        <w:rPr>
          <w:rFonts w:ascii="Times New Roman" w:hAnsi="Times New Roman" w:cs="Times New Roman"/>
          <w:sz w:val="22"/>
        </w:rPr>
        <w:t>Vesna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Mačić</w:t>
      </w:r>
      <w:proofErr w:type="spellEnd"/>
      <w:r w:rsidRPr="004E4969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4E4969">
        <w:rPr>
          <w:rFonts w:ascii="Times New Roman" w:hAnsi="Times New Roman" w:cs="Times New Roman"/>
          <w:sz w:val="22"/>
        </w:rPr>
        <w:t>Nataliya</w:t>
      </w:r>
      <w:proofErr w:type="spellEnd"/>
      <w:r w:rsidRPr="004E4969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4E4969">
        <w:rPr>
          <w:rFonts w:ascii="Times New Roman" w:hAnsi="Times New Roman" w:cs="Times New Roman"/>
          <w:sz w:val="22"/>
        </w:rPr>
        <w:t>Mil</w:t>
      </w:r>
      <w:r>
        <w:rPr>
          <w:rFonts w:ascii="Times New Roman" w:hAnsi="Times New Roman" w:cs="Times New Roman"/>
          <w:sz w:val="22"/>
        </w:rPr>
        <w:t>chakova</w:t>
      </w:r>
      <w:proofErr w:type="spellEnd"/>
      <w:r w:rsidRPr="004E4969">
        <w:rPr>
          <w:rFonts w:ascii="Times New Roman" w:hAnsi="Times New Roman" w:cs="Times New Roman"/>
          <w:sz w:val="22"/>
        </w:rPr>
        <w:t xml:space="preserve">, Luisa </w:t>
      </w:r>
      <w:proofErr w:type="spellStart"/>
      <w:r>
        <w:rPr>
          <w:rFonts w:ascii="Times New Roman" w:hAnsi="Times New Roman" w:cs="Times New Roman"/>
          <w:sz w:val="22"/>
        </w:rPr>
        <w:t>Mangialajo</w:t>
      </w:r>
      <w:proofErr w:type="spellEnd"/>
      <w:r>
        <w:rPr>
          <w:rFonts w:ascii="Times New Roman" w:hAnsi="Times New Roman" w:cs="Times New Roman"/>
          <w:sz w:val="22"/>
        </w:rPr>
        <w:t xml:space="preserve">, Lorraine </w:t>
      </w:r>
      <w:proofErr w:type="spellStart"/>
      <w:r>
        <w:rPr>
          <w:rFonts w:ascii="Times New Roman" w:hAnsi="Times New Roman" w:cs="Times New Roman"/>
          <w:sz w:val="22"/>
        </w:rPr>
        <w:t>Bottin</w:t>
      </w:r>
      <w:proofErr w:type="spellEnd"/>
    </w:p>
    <w:p w14:paraId="61217EB3" w14:textId="77777777" w:rsidR="00DA5CD3" w:rsidRPr="009D52B3" w:rsidRDefault="00DA5CD3">
      <w:pPr>
        <w:rPr>
          <w:rFonts w:ascii="Times New Roman" w:hAnsi="Times New Roman" w:cs="Times New Roman"/>
        </w:rPr>
      </w:pPr>
    </w:p>
    <w:p w14:paraId="61C13DDD" w14:textId="2F140FE3" w:rsidR="0090185D" w:rsidRPr="00C55259" w:rsidRDefault="0090185D" w:rsidP="0090185D">
      <w:pPr>
        <w:rPr>
          <w:rFonts w:ascii="Times New Roman" w:hAnsi="Times New Roman" w:cs="Times New Roman"/>
          <w:sz w:val="22"/>
          <w:szCs w:val="22"/>
        </w:rPr>
      </w:pPr>
      <w:r w:rsidRPr="00C55259">
        <w:rPr>
          <w:rFonts w:ascii="Times New Roman" w:hAnsi="Times New Roman" w:cs="Times New Roman"/>
          <w:b/>
          <w:sz w:val="22"/>
          <w:szCs w:val="22"/>
        </w:rPr>
        <w:t xml:space="preserve">Fig. </w:t>
      </w:r>
      <w:r w:rsidR="00E766D6" w:rsidRPr="00C55259">
        <w:rPr>
          <w:rFonts w:ascii="Times New Roman" w:hAnsi="Times New Roman" w:cs="Times New Roman"/>
          <w:b/>
          <w:sz w:val="22"/>
          <w:szCs w:val="22"/>
        </w:rPr>
        <w:t>SI</w:t>
      </w:r>
      <w:r w:rsidR="00DA5CD3" w:rsidRPr="00C55259">
        <w:rPr>
          <w:rFonts w:ascii="Times New Roman" w:hAnsi="Times New Roman" w:cs="Times New Roman"/>
          <w:b/>
          <w:sz w:val="22"/>
          <w:szCs w:val="22"/>
        </w:rPr>
        <w:t>1</w:t>
      </w:r>
      <w:r w:rsidR="00E766D6" w:rsidRPr="00C55259">
        <w:rPr>
          <w:rFonts w:ascii="Times New Roman" w:hAnsi="Times New Roman" w:cs="Times New Roman"/>
          <w:b/>
          <w:sz w:val="22"/>
          <w:szCs w:val="22"/>
        </w:rPr>
        <w:t>.</w:t>
      </w:r>
      <w:r w:rsidR="00DA5CD3" w:rsidRPr="00C5525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766D6" w:rsidRPr="00C55259">
        <w:rPr>
          <w:rFonts w:ascii="Times New Roman" w:hAnsi="Times New Roman" w:cs="Times New Roman"/>
          <w:b/>
          <w:sz w:val="22"/>
          <w:szCs w:val="22"/>
        </w:rPr>
        <w:t xml:space="preserve">Missing </w:t>
      </w:r>
      <w:r w:rsidRPr="00C55259">
        <w:rPr>
          <w:rFonts w:ascii="Times New Roman" w:hAnsi="Times New Roman" w:cs="Times New Roman"/>
          <w:b/>
          <w:sz w:val="22"/>
          <w:szCs w:val="22"/>
        </w:rPr>
        <w:t xml:space="preserve">data per subsample and loci. </w:t>
      </w:r>
      <w:r w:rsidRPr="00C55259">
        <w:rPr>
          <w:rFonts w:ascii="Times New Roman" w:hAnsi="Times New Roman" w:cs="Times New Roman"/>
          <w:sz w:val="22"/>
          <w:szCs w:val="22"/>
        </w:rPr>
        <w:t>The percentage of missing data is provided per subsample (row) and per locus (column). The last column, "mean"</w:t>
      </w:r>
      <w:r w:rsidR="008034D4" w:rsidRPr="00C55259">
        <w:rPr>
          <w:rFonts w:ascii="Times New Roman" w:hAnsi="Times New Roman" w:cs="Times New Roman"/>
          <w:sz w:val="22"/>
          <w:szCs w:val="22"/>
        </w:rPr>
        <w:t>,</w:t>
      </w:r>
      <w:r w:rsidRPr="00C55259">
        <w:rPr>
          <w:rFonts w:ascii="Times New Roman" w:hAnsi="Times New Roman" w:cs="Times New Roman"/>
          <w:sz w:val="22"/>
          <w:szCs w:val="22"/>
        </w:rPr>
        <w:t xml:space="preserve"> represents the average percent of the population with missing data per locus. </w:t>
      </w:r>
      <w:r w:rsidR="00E21015" w:rsidRPr="00C55259">
        <w:rPr>
          <w:rFonts w:ascii="Times New Roman" w:hAnsi="Times New Roman" w:cs="Times New Roman"/>
          <w:sz w:val="22"/>
          <w:szCs w:val="22"/>
        </w:rPr>
        <w:t xml:space="preserve">Identical numbers than in Fig. 1 and Table 1 are used for each study site. </w:t>
      </w:r>
      <w:r w:rsidR="00E21015" w:rsidRPr="00C55259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4D6F2D30" w14:textId="77777777" w:rsidR="0090185D" w:rsidRPr="0090185D" w:rsidRDefault="0090185D" w:rsidP="0090185D">
      <w:pPr>
        <w:rPr>
          <w:rFonts w:ascii="Times New Roman" w:hAnsi="Times New Roman" w:cs="Times New Roman"/>
        </w:rPr>
      </w:pPr>
    </w:p>
    <w:p w14:paraId="4C91D6E2" w14:textId="77777777" w:rsidR="002B4EA1" w:rsidRDefault="002B4EA1">
      <w:pPr>
        <w:rPr>
          <w:rFonts w:ascii="Times New Roman" w:hAnsi="Times New Roman" w:cs="Times New Roman"/>
        </w:rPr>
      </w:pPr>
    </w:p>
    <w:p w14:paraId="0B9851E0" w14:textId="125DDBB8" w:rsidR="0090185D" w:rsidRDefault="009018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5A13391" wp14:editId="478DC0D9">
            <wp:extent cx="5715000" cy="3292226"/>
            <wp:effectExtent l="0" t="0" r="0" b="0"/>
            <wp:docPr id="1" name="Picture 1" descr="FLO_DD:SCIENCE:2018_Villefranche:_Articles:4_barbata:_ms:_Revised:SI:MissingData_375ind_12loc_all_modi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_DD:SCIENCE:2018_Villefranche:_Articles:4_barbata:_ms:_Revised:SI:MissingData_375ind_12loc_all_modif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2" t="6429" r="6239" b="58476"/>
                    <a:stretch/>
                  </pic:blipFill>
                  <pic:spPr bwMode="auto">
                    <a:xfrm>
                      <a:off x="0" y="0"/>
                      <a:ext cx="5719583" cy="32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C27E3" w14:textId="77777777" w:rsidR="0090185D" w:rsidRDefault="0090185D">
      <w:pPr>
        <w:rPr>
          <w:rFonts w:ascii="Times New Roman" w:hAnsi="Times New Roman" w:cs="Times New Roman"/>
        </w:rPr>
      </w:pPr>
    </w:p>
    <w:p w14:paraId="2021F742" w14:textId="77777777" w:rsidR="00D50802" w:rsidRDefault="00D50802" w:rsidP="0090185D">
      <w:pPr>
        <w:jc w:val="both"/>
        <w:rPr>
          <w:rFonts w:ascii="Times New Roman" w:hAnsi="Times New Roman" w:cs="Times New Roman"/>
          <w:b/>
          <w:szCs w:val="20"/>
        </w:rPr>
        <w:sectPr w:rsidR="00D50802" w:rsidSect="001D69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36BED58" w14:textId="34EA6B45" w:rsidR="0090185D" w:rsidRPr="00D50802" w:rsidRDefault="00AD514E" w:rsidP="0090185D">
      <w:pPr>
        <w:jc w:val="both"/>
        <w:rPr>
          <w:rFonts w:ascii="Times New Roman" w:hAnsi="Times New Roman" w:cs="Times New Roman"/>
          <w:b/>
          <w:sz w:val="22"/>
          <w:szCs w:val="20"/>
        </w:rPr>
      </w:pPr>
      <w:r w:rsidRPr="00D50802">
        <w:rPr>
          <w:rFonts w:ascii="Times New Roman" w:hAnsi="Times New Roman" w:cs="Times New Roman"/>
          <w:b/>
          <w:sz w:val="22"/>
          <w:szCs w:val="20"/>
        </w:rPr>
        <w:lastRenderedPageBreak/>
        <w:t>Fig. SI2</w:t>
      </w:r>
      <w:r w:rsidR="0090185D" w:rsidRPr="00D50802">
        <w:rPr>
          <w:rFonts w:ascii="Times New Roman" w:hAnsi="Times New Roman" w:cs="Times New Roman"/>
          <w:b/>
          <w:sz w:val="22"/>
          <w:szCs w:val="20"/>
        </w:rPr>
        <w:t>.</w:t>
      </w:r>
      <w:r w:rsidRPr="00D50802">
        <w:rPr>
          <w:rFonts w:ascii="Times New Roman" w:hAnsi="Times New Roman" w:cs="Times New Roman"/>
          <w:b/>
          <w:sz w:val="22"/>
          <w:szCs w:val="20"/>
        </w:rPr>
        <w:t xml:space="preserve"> </w:t>
      </w:r>
      <w:r w:rsidRPr="00D50802">
        <w:rPr>
          <w:rFonts w:ascii="Times New Roman" w:hAnsi="Times New Roman" w:cs="Times New Roman"/>
          <w:b/>
          <w:sz w:val="22"/>
        </w:rPr>
        <w:t>Genetic population structure</w:t>
      </w:r>
      <w:r w:rsidRPr="00D50802">
        <w:rPr>
          <w:rFonts w:ascii="Times New Roman" w:hAnsi="Times New Roman" w:cs="Times New Roman"/>
          <w:sz w:val="22"/>
        </w:rPr>
        <w:t xml:space="preserve"> of </w:t>
      </w:r>
      <w:r w:rsidRPr="00D50802">
        <w:rPr>
          <w:rFonts w:ascii="Times New Roman" w:hAnsi="Times New Roman" w:cs="Times New Roman"/>
          <w:i/>
          <w:sz w:val="22"/>
        </w:rPr>
        <w:t>Gongolaria barbata</w:t>
      </w:r>
      <w:r w:rsidRPr="00D50802">
        <w:rPr>
          <w:rFonts w:ascii="Times New Roman" w:hAnsi="Times New Roman" w:cs="Times New Roman"/>
          <w:sz w:val="22"/>
        </w:rPr>
        <w:t xml:space="preserve"> based on nine</w:t>
      </w:r>
      <w:r w:rsidR="0013095C" w:rsidRPr="00D50802">
        <w:rPr>
          <w:rFonts w:ascii="Times New Roman" w:hAnsi="Times New Roman" w:cs="Times New Roman"/>
          <w:sz w:val="22"/>
        </w:rPr>
        <w:t xml:space="preserve"> microsatellite markers. </w:t>
      </w:r>
      <w:r w:rsidRPr="00D50802">
        <w:rPr>
          <w:rFonts w:ascii="Times New Roman" w:hAnsi="Times New Roman" w:cs="Times New Roman"/>
          <w:sz w:val="22"/>
        </w:rPr>
        <w:t>Principal Component Analys</w:t>
      </w:r>
      <w:r w:rsidR="00E21015" w:rsidRPr="00D50802">
        <w:rPr>
          <w:rFonts w:ascii="Times New Roman" w:hAnsi="Times New Roman" w:cs="Times New Roman"/>
          <w:sz w:val="22"/>
        </w:rPr>
        <w:t>es depicted</w:t>
      </w:r>
      <w:r w:rsidRPr="00D50802">
        <w:rPr>
          <w:rFonts w:ascii="Times New Roman" w:hAnsi="Times New Roman" w:cs="Times New Roman"/>
          <w:sz w:val="22"/>
        </w:rPr>
        <w:t xml:space="preserve"> axes 1 and 2 (a), and axes 1 and 3 (b) with each label showing the barycenter of each study site. Identical numbers than in Fig. 1 and Table 1 are used for each study site.</w:t>
      </w:r>
      <w:r w:rsidRPr="00D50802">
        <w:rPr>
          <w:rFonts w:ascii="Times New Roman" w:hAnsi="Times New Roman" w:cs="Times New Roman"/>
          <w:b/>
          <w:sz w:val="22"/>
          <w:szCs w:val="20"/>
        </w:rPr>
        <w:t xml:space="preserve"> </w:t>
      </w:r>
      <w:r w:rsidRPr="00D50802">
        <w:rPr>
          <w:rFonts w:ascii="Times New Roman" w:hAnsi="Times New Roman" w:cs="Times New Roman"/>
          <w:sz w:val="22"/>
        </w:rPr>
        <w:t xml:space="preserve">Individual Bayesian ancestry proportions </w:t>
      </w:r>
      <w:r w:rsidR="0013095C" w:rsidRPr="00D50802">
        <w:rPr>
          <w:rFonts w:ascii="Times New Roman" w:hAnsi="Times New Roman" w:cs="Times New Roman"/>
          <w:sz w:val="22"/>
        </w:rPr>
        <w:t xml:space="preserve">were </w:t>
      </w:r>
      <w:r w:rsidRPr="00D50802">
        <w:rPr>
          <w:rFonts w:ascii="Times New Roman" w:hAnsi="Times New Roman" w:cs="Times New Roman"/>
          <w:sz w:val="22"/>
        </w:rPr>
        <w:t>deter</w:t>
      </w:r>
      <w:r w:rsidR="00E21015" w:rsidRPr="00D50802">
        <w:rPr>
          <w:rFonts w:ascii="Times New Roman" w:hAnsi="Times New Roman" w:cs="Times New Roman"/>
          <w:sz w:val="22"/>
        </w:rPr>
        <w:t>mined using STRUCTURE with K = 3 (c</w:t>
      </w:r>
      <w:r w:rsidRPr="00D50802">
        <w:rPr>
          <w:rFonts w:ascii="Times New Roman" w:hAnsi="Times New Roman" w:cs="Times New Roman"/>
          <w:sz w:val="22"/>
        </w:rPr>
        <w:t>)</w:t>
      </w:r>
      <w:r w:rsidR="00E21015" w:rsidRPr="00D50802">
        <w:rPr>
          <w:rFonts w:ascii="Times New Roman" w:hAnsi="Times New Roman" w:cs="Times New Roman"/>
          <w:sz w:val="22"/>
        </w:rPr>
        <w:t xml:space="preserve"> to K = 5 (e)</w:t>
      </w:r>
      <w:r w:rsidRPr="00D50802">
        <w:rPr>
          <w:rFonts w:ascii="Times New Roman" w:hAnsi="Times New Roman" w:cs="Times New Roman"/>
          <w:sz w:val="22"/>
        </w:rPr>
        <w:t xml:space="preserve">. Black lines separate each study site. The clusters identified are distinguished by </w:t>
      </w:r>
      <w:r w:rsidR="0013095C" w:rsidRPr="00D50802">
        <w:rPr>
          <w:rFonts w:ascii="Times New Roman" w:hAnsi="Times New Roman" w:cs="Times New Roman"/>
          <w:sz w:val="22"/>
        </w:rPr>
        <w:t>different colors, from</w:t>
      </w:r>
      <w:r w:rsidRPr="00D50802">
        <w:rPr>
          <w:rFonts w:ascii="Times New Roman" w:hAnsi="Times New Roman" w:cs="Times New Roman"/>
          <w:sz w:val="22"/>
        </w:rPr>
        <w:t xml:space="preserve"> pink </w:t>
      </w:r>
      <w:r w:rsidR="0013095C" w:rsidRPr="00D50802">
        <w:rPr>
          <w:rFonts w:ascii="Times New Roman" w:hAnsi="Times New Roman" w:cs="Times New Roman"/>
          <w:sz w:val="22"/>
        </w:rPr>
        <w:t>to</w:t>
      </w:r>
      <w:r w:rsidRPr="00D50802">
        <w:rPr>
          <w:rFonts w:ascii="Times New Roman" w:hAnsi="Times New Roman" w:cs="Times New Roman"/>
          <w:sz w:val="22"/>
        </w:rPr>
        <w:t xml:space="preserve"> blue colors, referring to the Mediterranean and Black Sea sites, respectively. </w:t>
      </w:r>
      <w:r w:rsidR="0090185D" w:rsidRPr="00D50802">
        <w:rPr>
          <w:rFonts w:ascii="Times New Roman" w:hAnsi="Times New Roman" w:cs="Times New Roman"/>
          <w:sz w:val="22"/>
          <w:szCs w:val="20"/>
        </w:rPr>
        <w:t>Each individual is represented by a vertical bar partitioned into colored sub-bars whose lengths are proportional to its estimated probability of membership for the K clusters (</w:t>
      </w:r>
      <w:r w:rsidR="0013095C" w:rsidRPr="00D50802">
        <w:rPr>
          <w:rFonts w:ascii="Times New Roman" w:hAnsi="Times New Roman" w:cs="Times New Roman"/>
          <w:sz w:val="22"/>
          <w:szCs w:val="20"/>
        </w:rPr>
        <w:t>c-e</w:t>
      </w:r>
      <w:r w:rsidR="0090185D" w:rsidRPr="00D50802">
        <w:rPr>
          <w:rFonts w:ascii="Times New Roman" w:hAnsi="Times New Roman" w:cs="Times New Roman"/>
          <w:sz w:val="22"/>
          <w:szCs w:val="20"/>
        </w:rPr>
        <w:t xml:space="preserve">). </w:t>
      </w:r>
    </w:p>
    <w:p w14:paraId="346F21CB" w14:textId="077FB393" w:rsidR="000F1450" w:rsidRDefault="00C55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D9B8D1" wp14:editId="134E7F36">
            <wp:extent cx="5477807" cy="6343650"/>
            <wp:effectExtent l="0" t="0" r="0" b="0"/>
            <wp:docPr id="3" name="Picture 3" descr="FLO_DD:SCIENCE:2018_Villefranche:_Articles:4_barbata:_ms:_Revised:SI:SI2_revised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_DD:SCIENCE:2018_Villefranche:_Articles:4_barbata:_ms:_Revised:SI:SI2_revised-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b="13164"/>
                    <a:stretch/>
                  </pic:blipFill>
                  <pic:spPr bwMode="auto">
                    <a:xfrm>
                      <a:off x="0" y="0"/>
                      <a:ext cx="5478145" cy="63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2E94C" w14:textId="77777777" w:rsidR="00C55259" w:rsidRDefault="00C55259">
      <w:pPr>
        <w:rPr>
          <w:rFonts w:ascii="Times New Roman" w:hAnsi="Times New Roman" w:cs="Times New Roman"/>
          <w:sz w:val="22"/>
          <w:szCs w:val="22"/>
        </w:rPr>
      </w:pPr>
    </w:p>
    <w:p w14:paraId="4CD71291" w14:textId="0C8AE4E5" w:rsidR="00D50802" w:rsidRDefault="00C5525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Note that the axes of the </w:t>
      </w:r>
      <w:r w:rsidRPr="00C55259">
        <w:rPr>
          <w:rFonts w:ascii="Times New Roman" w:hAnsi="Times New Roman" w:cs="Times New Roman"/>
          <w:sz w:val="22"/>
          <w:szCs w:val="22"/>
        </w:rPr>
        <w:t>PCA</w:t>
      </w:r>
      <w:r>
        <w:rPr>
          <w:rFonts w:ascii="Times New Roman" w:hAnsi="Times New Roman" w:cs="Times New Roman"/>
          <w:sz w:val="22"/>
          <w:szCs w:val="22"/>
        </w:rPr>
        <w:t>s</w:t>
      </w:r>
      <w:r w:rsidRPr="00C55259">
        <w:rPr>
          <w:rFonts w:ascii="Times New Roman" w:hAnsi="Times New Roman" w:cs="Times New Roman"/>
          <w:sz w:val="22"/>
          <w:szCs w:val="22"/>
        </w:rPr>
        <w:t xml:space="preserve"> explain</w:t>
      </w:r>
      <w:r>
        <w:rPr>
          <w:rFonts w:ascii="Times New Roman" w:hAnsi="Times New Roman" w:cs="Times New Roman"/>
          <w:sz w:val="22"/>
          <w:szCs w:val="22"/>
        </w:rPr>
        <w:t>ed</w:t>
      </w:r>
      <w:r w:rsidRPr="00C55259">
        <w:rPr>
          <w:rFonts w:ascii="Times New Roman" w:hAnsi="Times New Roman" w:cs="Times New Roman"/>
          <w:sz w:val="22"/>
          <w:szCs w:val="22"/>
        </w:rPr>
        <w:t xml:space="preserve"> a relatively low share of the total variance (</w:t>
      </w:r>
      <w:r>
        <w:rPr>
          <w:rFonts w:ascii="Times New Roman" w:hAnsi="Times New Roman" w:cs="Times New Roman"/>
          <w:sz w:val="22"/>
          <w:szCs w:val="22"/>
        </w:rPr>
        <w:t>7.75%</w:t>
      </w:r>
      <w:r w:rsidRPr="00C55259">
        <w:rPr>
          <w:rFonts w:ascii="Times New Roman" w:hAnsi="Times New Roman" w:cs="Times New Roman"/>
          <w:sz w:val="22"/>
          <w:szCs w:val="22"/>
        </w:rPr>
        <w:t>, 4</w:t>
      </w:r>
      <w:r>
        <w:rPr>
          <w:rFonts w:ascii="Times New Roman" w:hAnsi="Times New Roman" w:cs="Times New Roman"/>
          <w:sz w:val="22"/>
          <w:szCs w:val="22"/>
        </w:rPr>
        <w:t>.28%</w:t>
      </w:r>
      <w:r w:rsidRPr="00C55259">
        <w:rPr>
          <w:rFonts w:ascii="Times New Roman" w:hAnsi="Times New Roman" w:cs="Times New Roman"/>
          <w:sz w:val="22"/>
          <w:szCs w:val="22"/>
        </w:rPr>
        <w:t xml:space="preserve"> and 3</w:t>
      </w:r>
      <w:r>
        <w:rPr>
          <w:rFonts w:ascii="Times New Roman" w:hAnsi="Times New Roman" w:cs="Times New Roman"/>
          <w:sz w:val="22"/>
          <w:szCs w:val="22"/>
        </w:rPr>
        <w:t>.32%</w:t>
      </w:r>
      <w:r w:rsidRPr="00C55259">
        <w:rPr>
          <w:rFonts w:ascii="Times New Roman" w:hAnsi="Times New Roman" w:cs="Times New Roman"/>
          <w:sz w:val="22"/>
          <w:szCs w:val="22"/>
        </w:rPr>
        <w:t xml:space="preserve"> % for the first three axes</w:t>
      </w:r>
      <w:r>
        <w:rPr>
          <w:rFonts w:ascii="Times New Roman" w:hAnsi="Times New Roman" w:cs="Times New Roman"/>
          <w:sz w:val="22"/>
          <w:szCs w:val="22"/>
        </w:rPr>
        <w:t>, respectively</w:t>
      </w:r>
      <w:r w:rsidRPr="00C55259">
        <w:rPr>
          <w:rFonts w:ascii="Times New Roman" w:hAnsi="Times New Roman" w:cs="Times New Roman"/>
          <w:sz w:val="22"/>
          <w:szCs w:val="22"/>
        </w:rPr>
        <w:t xml:space="preserve">). </w:t>
      </w:r>
      <w:r>
        <w:rPr>
          <w:rFonts w:ascii="Times New Roman" w:hAnsi="Times New Roman" w:cs="Times New Roman"/>
          <w:sz w:val="22"/>
          <w:szCs w:val="22"/>
        </w:rPr>
        <w:t>By examining the allelic frequencies of the nine loci,</w:t>
      </w:r>
      <w:r w:rsidRPr="00C55259">
        <w:rPr>
          <w:rFonts w:ascii="Times New Roman" w:hAnsi="Times New Roman" w:cs="Times New Roman"/>
          <w:sz w:val="22"/>
          <w:szCs w:val="22"/>
        </w:rPr>
        <w:t xml:space="preserve"> the </w:t>
      </w:r>
      <w:r>
        <w:rPr>
          <w:rFonts w:ascii="Times New Roman" w:hAnsi="Times New Roman" w:cs="Times New Roman"/>
          <w:sz w:val="22"/>
          <w:szCs w:val="22"/>
        </w:rPr>
        <w:t xml:space="preserve">subsamples </w:t>
      </w:r>
      <w:r w:rsidRPr="00C55259">
        <w:rPr>
          <w:rFonts w:ascii="Times New Roman" w:hAnsi="Times New Roman" w:cs="Times New Roman"/>
          <w:sz w:val="22"/>
          <w:szCs w:val="22"/>
        </w:rPr>
        <w:t>share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C55259">
        <w:rPr>
          <w:rFonts w:ascii="Times New Roman" w:hAnsi="Times New Roman" w:cs="Times New Roman"/>
          <w:sz w:val="22"/>
          <w:szCs w:val="22"/>
        </w:rPr>
        <w:t xml:space="preserve"> a very high proportion of polymorphism, with minor differences between individuals making the major part of the variance</w:t>
      </w:r>
      <w:r w:rsidR="00EE361C">
        <w:rPr>
          <w:rFonts w:ascii="Times New Roman" w:hAnsi="Times New Roman" w:cs="Times New Roman"/>
          <w:sz w:val="22"/>
          <w:szCs w:val="22"/>
        </w:rPr>
        <w:t xml:space="preserve">, as exemplified </w:t>
      </w:r>
      <w:r>
        <w:rPr>
          <w:rFonts w:ascii="Times New Roman" w:hAnsi="Times New Roman" w:cs="Times New Roman"/>
          <w:sz w:val="22"/>
          <w:szCs w:val="22"/>
        </w:rPr>
        <w:t>in cysbar1 of which allelic frequencie</w:t>
      </w:r>
      <w:r w:rsidR="00EE361C">
        <w:rPr>
          <w:rFonts w:ascii="Times New Roman" w:hAnsi="Times New Roman" w:cs="Times New Roman"/>
          <w:sz w:val="22"/>
          <w:szCs w:val="22"/>
        </w:rPr>
        <w:t>s were provided hereafter (Fig. SI2-2)</w:t>
      </w:r>
      <w:r w:rsidRPr="00C55259">
        <w:rPr>
          <w:rFonts w:ascii="Times New Roman" w:hAnsi="Times New Roman" w:cs="Times New Roman"/>
          <w:sz w:val="22"/>
          <w:szCs w:val="22"/>
        </w:rPr>
        <w:t xml:space="preserve">. </w:t>
      </w:r>
      <w:r w:rsidR="00EE361C">
        <w:rPr>
          <w:rFonts w:ascii="Times New Roman" w:hAnsi="Times New Roman" w:cs="Times New Roman"/>
          <w:sz w:val="22"/>
          <w:szCs w:val="22"/>
        </w:rPr>
        <w:t>A</w:t>
      </w:r>
      <w:r w:rsidRPr="00C55259">
        <w:rPr>
          <w:rFonts w:ascii="Times New Roman" w:hAnsi="Times New Roman" w:cs="Times New Roman"/>
          <w:sz w:val="22"/>
          <w:szCs w:val="22"/>
        </w:rPr>
        <w:t xml:space="preserve">ll the </w:t>
      </w:r>
      <w:r w:rsidR="00E0294E">
        <w:rPr>
          <w:rFonts w:ascii="Times New Roman" w:hAnsi="Times New Roman" w:cs="Times New Roman"/>
          <w:sz w:val="22"/>
          <w:szCs w:val="22"/>
        </w:rPr>
        <w:t>small</w:t>
      </w:r>
      <w:r w:rsidRPr="00C55259">
        <w:rPr>
          <w:rFonts w:ascii="Times New Roman" w:hAnsi="Times New Roman" w:cs="Times New Roman"/>
          <w:sz w:val="22"/>
          <w:szCs w:val="22"/>
        </w:rPr>
        <w:t xml:space="preserve"> differences from the shared polymorphism </w:t>
      </w:r>
      <w:r>
        <w:rPr>
          <w:rFonts w:ascii="Times New Roman" w:hAnsi="Times New Roman" w:cs="Times New Roman"/>
          <w:sz w:val="22"/>
          <w:szCs w:val="22"/>
        </w:rPr>
        <w:t>were</w:t>
      </w:r>
      <w:r w:rsidRPr="00C55259">
        <w:rPr>
          <w:rFonts w:ascii="Times New Roman" w:hAnsi="Times New Roman" w:cs="Times New Roman"/>
          <w:sz w:val="22"/>
          <w:szCs w:val="22"/>
        </w:rPr>
        <w:t xml:space="preserve"> </w:t>
      </w:r>
      <w:r w:rsidR="00E0294E">
        <w:rPr>
          <w:rFonts w:ascii="Times New Roman" w:hAnsi="Times New Roman" w:cs="Times New Roman"/>
          <w:sz w:val="22"/>
          <w:szCs w:val="22"/>
        </w:rPr>
        <w:t xml:space="preserve">mainly </w:t>
      </w:r>
      <w:r w:rsidRPr="00C55259">
        <w:rPr>
          <w:rFonts w:ascii="Times New Roman" w:hAnsi="Times New Roman" w:cs="Times New Roman"/>
          <w:sz w:val="22"/>
          <w:szCs w:val="22"/>
        </w:rPr>
        <w:t xml:space="preserve">shared between </w:t>
      </w:r>
      <w:r w:rsidR="00E0294E" w:rsidRPr="00C55259">
        <w:rPr>
          <w:rFonts w:ascii="Times New Roman" w:hAnsi="Times New Roman" w:cs="Times New Roman"/>
          <w:sz w:val="22"/>
          <w:szCs w:val="22"/>
        </w:rPr>
        <w:t>neighboring</w:t>
      </w:r>
      <w:r w:rsidRPr="00C55259">
        <w:rPr>
          <w:rFonts w:ascii="Times New Roman" w:hAnsi="Times New Roman" w:cs="Times New Roman"/>
          <w:sz w:val="22"/>
          <w:szCs w:val="22"/>
        </w:rPr>
        <w:t xml:space="preserve"> </w:t>
      </w:r>
      <w:r w:rsidR="00E0294E">
        <w:rPr>
          <w:rFonts w:ascii="Times New Roman" w:hAnsi="Times New Roman" w:cs="Times New Roman"/>
          <w:sz w:val="22"/>
          <w:szCs w:val="22"/>
        </w:rPr>
        <w:t>subsamples</w:t>
      </w:r>
      <w:r w:rsidR="00EE361C">
        <w:rPr>
          <w:rFonts w:ascii="Times New Roman" w:hAnsi="Times New Roman" w:cs="Times New Roman"/>
          <w:sz w:val="22"/>
          <w:szCs w:val="22"/>
        </w:rPr>
        <w:t xml:space="preserve">, likely </w:t>
      </w:r>
      <w:r w:rsidRPr="00C55259">
        <w:rPr>
          <w:rFonts w:ascii="Times New Roman" w:hAnsi="Times New Roman" w:cs="Times New Roman"/>
          <w:sz w:val="22"/>
          <w:szCs w:val="22"/>
        </w:rPr>
        <w:t>explain</w:t>
      </w:r>
      <w:r w:rsidR="00EE361C">
        <w:rPr>
          <w:rFonts w:ascii="Times New Roman" w:hAnsi="Times New Roman" w:cs="Times New Roman"/>
          <w:sz w:val="22"/>
          <w:szCs w:val="22"/>
        </w:rPr>
        <w:t>ing</w:t>
      </w:r>
      <w:r w:rsidRPr="00C5525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55259">
        <w:rPr>
          <w:rFonts w:ascii="Times New Roman" w:hAnsi="Times New Roman" w:cs="Times New Roman"/>
          <w:sz w:val="22"/>
          <w:szCs w:val="22"/>
        </w:rPr>
        <w:t>i</w:t>
      </w:r>
      <w:proofErr w:type="spellEnd"/>
      <w:r w:rsidRPr="00C55259">
        <w:rPr>
          <w:rFonts w:ascii="Times New Roman" w:hAnsi="Times New Roman" w:cs="Times New Roman"/>
          <w:sz w:val="22"/>
          <w:szCs w:val="22"/>
        </w:rPr>
        <w:t xml:space="preserve">) the low share of variance along the axes along which these </w:t>
      </w:r>
      <w:r w:rsidR="00EE361C">
        <w:rPr>
          <w:rFonts w:ascii="Times New Roman" w:hAnsi="Times New Roman" w:cs="Times New Roman"/>
          <w:sz w:val="22"/>
          <w:szCs w:val="22"/>
        </w:rPr>
        <w:t>subsamples</w:t>
      </w:r>
      <w:r w:rsidRPr="00C55259">
        <w:rPr>
          <w:rFonts w:ascii="Times New Roman" w:hAnsi="Times New Roman" w:cs="Times New Roman"/>
          <w:sz w:val="22"/>
          <w:szCs w:val="22"/>
        </w:rPr>
        <w:t xml:space="preserve"> can be distinguished and ii) the clear separation between geographically separated </w:t>
      </w:r>
      <w:r w:rsidR="00EE361C">
        <w:rPr>
          <w:rFonts w:ascii="Times New Roman" w:hAnsi="Times New Roman" w:cs="Times New Roman"/>
          <w:sz w:val="22"/>
          <w:szCs w:val="22"/>
        </w:rPr>
        <w:t>subsamples</w:t>
      </w:r>
      <w:r w:rsidR="00EE361C" w:rsidRPr="00C55259">
        <w:rPr>
          <w:rFonts w:ascii="Times New Roman" w:hAnsi="Times New Roman" w:cs="Times New Roman"/>
          <w:sz w:val="22"/>
          <w:szCs w:val="22"/>
        </w:rPr>
        <w:t xml:space="preserve"> </w:t>
      </w:r>
      <w:r w:rsidRPr="00C55259">
        <w:rPr>
          <w:rFonts w:ascii="Times New Roman" w:hAnsi="Times New Roman" w:cs="Times New Roman"/>
          <w:sz w:val="22"/>
          <w:szCs w:val="22"/>
        </w:rPr>
        <w:t>on the PCA plots</w:t>
      </w:r>
      <w:r w:rsidR="00EE361C">
        <w:rPr>
          <w:rFonts w:ascii="Times New Roman" w:hAnsi="Times New Roman" w:cs="Times New Roman"/>
          <w:sz w:val="22"/>
          <w:szCs w:val="22"/>
        </w:rPr>
        <w:t xml:space="preserve">. This is congruent with the </w:t>
      </w:r>
      <w:r w:rsidR="00EE361C" w:rsidRPr="00EE361C">
        <w:rPr>
          <w:rFonts w:ascii="Times New Roman" w:hAnsi="Times New Roman" w:cs="Times New Roman"/>
          <w:sz w:val="22"/>
          <w:szCs w:val="22"/>
        </w:rPr>
        <w:t>large proportion of shared nucleotides</w:t>
      </w:r>
      <w:r w:rsidR="00EE361C">
        <w:rPr>
          <w:rFonts w:ascii="Times New Roman" w:hAnsi="Times New Roman" w:cs="Times New Roman"/>
          <w:sz w:val="22"/>
          <w:szCs w:val="22"/>
        </w:rPr>
        <w:t xml:space="preserve"> based on </w:t>
      </w:r>
      <w:proofErr w:type="spellStart"/>
      <w:r w:rsidR="00EE361C">
        <w:rPr>
          <w:rFonts w:ascii="Times New Roman" w:hAnsi="Times New Roman" w:cs="Times New Roman"/>
          <w:sz w:val="22"/>
          <w:szCs w:val="22"/>
        </w:rPr>
        <w:t>mtDNA</w:t>
      </w:r>
      <w:proofErr w:type="spellEnd"/>
      <w:r w:rsidR="00EE361C">
        <w:rPr>
          <w:rFonts w:ascii="Times New Roman" w:hAnsi="Times New Roman" w:cs="Times New Roman"/>
          <w:sz w:val="22"/>
          <w:szCs w:val="22"/>
        </w:rPr>
        <w:t xml:space="preserve"> (ref 53). </w:t>
      </w:r>
    </w:p>
    <w:p w14:paraId="3282F670" w14:textId="77777777" w:rsidR="00EE361C" w:rsidRDefault="00EE361C">
      <w:pPr>
        <w:rPr>
          <w:rFonts w:ascii="Times New Roman" w:hAnsi="Times New Roman" w:cs="Times New Roman"/>
          <w:sz w:val="22"/>
          <w:szCs w:val="22"/>
        </w:rPr>
      </w:pPr>
    </w:p>
    <w:p w14:paraId="6534F6C9" w14:textId="4D95B1E2" w:rsidR="00EE361C" w:rsidRPr="00C55259" w:rsidRDefault="00EE361C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02D5FE5A" wp14:editId="32D910A5">
            <wp:extent cx="5486400" cy="269367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5872FEF" w14:textId="77777777" w:rsidR="00EE361C" w:rsidRDefault="00EE361C">
      <w:pPr>
        <w:rPr>
          <w:rFonts w:ascii="Times New Roman" w:hAnsi="Times New Roman" w:cs="Times New Roman"/>
          <w:sz w:val="22"/>
          <w:szCs w:val="22"/>
        </w:rPr>
      </w:pPr>
    </w:p>
    <w:p w14:paraId="067E07C9" w14:textId="42F58376" w:rsidR="00C55259" w:rsidRPr="00EE361C" w:rsidRDefault="00EE361C">
      <w:pPr>
        <w:rPr>
          <w:rFonts w:ascii="Times New Roman" w:hAnsi="Times New Roman" w:cs="Times New Roman"/>
          <w:sz w:val="22"/>
          <w:szCs w:val="22"/>
        </w:rPr>
      </w:pPr>
      <w:r w:rsidRPr="00EE361C">
        <w:rPr>
          <w:rFonts w:ascii="Times New Roman" w:hAnsi="Times New Roman" w:cs="Times New Roman"/>
          <w:sz w:val="22"/>
          <w:szCs w:val="22"/>
        </w:rPr>
        <w:t xml:space="preserve">Fig. </w:t>
      </w:r>
      <w:proofErr w:type="gramStart"/>
      <w:r w:rsidRPr="00EE361C">
        <w:rPr>
          <w:rFonts w:ascii="Times New Roman" w:hAnsi="Times New Roman" w:cs="Times New Roman"/>
          <w:sz w:val="22"/>
          <w:szCs w:val="22"/>
        </w:rPr>
        <w:t xml:space="preserve">SI2-2 Allelic frequencies </w:t>
      </w:r>
      <w:r w:rsidR="00F97293">
        <w:rPr>
          <w:rFonts w:ascii="Times New Roman" w:hAnsi="Times New Roman" w:cs="Times New Roman"/>
          <w:sz w:val="22"/>
          <w:szCs w:val="22"/>
        </w:rPr>
        <w:t>for the locus</w:t>
      </w:r>
      <w:r w:rsidRPr="00EE361C">
        <w:rPr>
          <w:rFonts w:ascii="Times New Roman" w:hAnsi="Times New Roman" w:cs="Times New Roman"/>
          <w:sz w:val="22"/>
          <w:szCs w:val="22"/>
        </w:rPr>
        <w:t xml:space="preserve"> cysbar1 per subsample.</w:t>
      </w:r>
      <w:proofErr w:type="gramEnd"/>
      <w:r w:rsidRPr="00EE361C">
        <w:rPr>
          <w:rFonts w:ascii="Times New Roman" w:hAnsi="Times New Roman" w:cs="Times New Roman"/>
          <w:sz w:val="22"/>
          <w:szCs w:val="22"/>
        </w:rPr>
        <w:t xml:space="preserve"> Identical numbers than in Fig. 1 and Table 1 are used for each study site.</w:t>
      </w:r>
    </w:p>
    <w:p w14:paraId="1D469ED1" w14:textId="77777777" w:rsidR="00EE361C" w:rsidRDefault="00EE361C">
      <w:pPr>
        <w:rPr>
          <w:rFonts w:ascii="Times New Roman" w:hAnsi="Times New Roman" w:cs="Times New Roman"/>
        </w:rPr>
      </w:pPr>
    </w:p>
    <w:p w14:paraId="31A8266E" w14:textId="77777777" w:rsidR="00C55259" w:rsidRDefault="00C55259" w:rsidP="000F1450">
      <w:pPr>
        <w:jc w:val="both"/>
        <w:rPr>
          <w:rFonts w:ascii="Times New Roman" w:hAnsi="Times New Roman" w:cs="Times New Roman"/>
          <w:b/>
          <w:szCs w:val="20"/>
        </w:rPr>
      </w:pPr>
    </w:p>
    <w:p w14:paraId="7AD363CB" w14:textId="77777777" w:rsidR="00EE361C" w:rsidRDefault="00EE361C" w:rsidP="000F1450">
      <w:pPr>
        <w:jc w:val="both"/>
        <w:rPr>
          <w:rFonts w:ascii="Times New Roman" w:hAnsi="Times New Roman" w:cs="Times New Roman"/>
          <w:b/>
          <w:szCs w:val="20"/>
        </w:rPr>
        <w:sectPr w:rsidR="00EE361C" w:rsidSect="001D69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96440EF" w14:textId="2BFD5B66" w:rsidR="000F1450" w:rsidRPr="004F2ED6" w:rsidRDefault="000F1450" w:rsidP="000F1450">
      <w:pPr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Fig. SI3</w:t>
      </w:r>
      <w:r w:rsidRPr="004F2ED6">
        <w:rPr>
          <w:rFonts w:ascii="Times New Roman" w:hAnsi="Times New Roman" w:cs="Times New Roman"/>
          <w:b/>
          <w:szCs w:val="20"/>
        </w:rPr>
        <w:t>.</w:t>
      </w:r>
      <w:r>
        <w:rPr>
          <w:rFonts w:ascii="Times New Roman" w:hAnsi="Times New Roman" w:cs="Times New Roman"/>
          <w:b/>
          <w:szCs w:val="20"/>
        </w:rPr>
        <w:t xml:space="preserve"> </w:t>
      </w:r>
      <w:r w:rsidRPr="00E21015">
        <w:rPr>
          <w:rFonts w:ascii="Times New Roman" w:hAnsi="Times New Roman" w:cs="Times New Roman"/>
          <w:b/>
        </w:rPr>
        <w:t>Genetic population structure</w:t>
      </w:r>
      <w:r w:rsidRPr="00F02FC5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i/>
        </w:rPr>
        <w:t>Gongolaria</w:t>
      </w:r>
      <w:r w:rsidRPr="008511B5">
        <w:rPr>
          <w:rFonts w:ascii="Times New Roman" w:hAnsi="Times New Roman" w:cs="Times New Roman"/>
          <w:i/>
        </w:rPr>
        <w:t xml:space="preserve"> </w:t>
      </w:r>
      <w:r w:rsidRPr="00F02FC5">
        <w:rPr>
          <w:rFonts w:ascii="Times New Roman" w:hAnsi="Times New Roman" w:cs="Times New Roman"/>
          <w:i/>
        </w:rPr>
        <w:t>barbata</w:t>
      </w:r>
      <w:r w:rsidRPr="00F02F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the Mediterranean Sea (Ionian and Adriatic) </w:t>
      </w:r>
      <w:r w:rsidRPr="00F02FC5">
        <w:rPr>
          <w:rFonts w:ascii="Times New Roman" w:hAnsi="Times New Roman" w:cs="Times New Roman"/>
        </w:rPr>
        <w:t xml:space="preserve">based on </w:t>
      </w:r>
      <w:r>
        <w:rPr>
          <w:rFonts w:ascii="Times New Roman" w:hAnsi="Times New Roman" w:cs="Times New Roman"/>
        </w:rPr>
        <w:t xml:space="preserve">nine microsatellite markers. </w:t>
      </w:r>
      <w:r w:rsidRPr="00F02FC5">
        <w:rPr>
          <w:rFonts w:ascii="Times New Roman" w:hAnsi="Times New Roman" w:cs="Times New Roman"/>
        </w:rPr>
        <w:t>Principal Component Analys</w:t>
      </w:r>
      <w:r>
        <w:rPr>
          <w:rFonts w:ascii="Times New Roman" w:hAnsi="Times New Roman" w:cs="Times New Roman"/>
        </w:rPr>
        <w:t>es depicted axes 1 and 2 (a), and axes 1 and 3 (b</w:t>
      </w:r>
      <w:r w:rsidRPr="00F02FC5">
        <w:rPr>
          <w:rFonts w:ascii="Times New Roman" w:hAnsi="Times New Roman" w:cs="Times New Roman"/>
        </w:rPr>
        <w:t>) with each label showing the barycenter of each study site. Identical nu</w:t>
      </w:r>
      <w:r>
        <w:rPr>
          <w:rFonts w:ascii="Times New Roman" w:hAnsi="Times New Roman" w:cs="Times New Roman"/>
        </w:rPr>
        <w:t>mbers than in Fig. 1 and Table 1</w:t>
      </w:r>
      <w:r w:rsidRPr="00F02FC5">
        <w:rPr>
          <w:rFonts w:ascii="Times New Roman" w:hAnsi="Times New Roman" w:cs="Times New Roman"/>
        </w:rPr>
        <w:t xml:space="preserve"> are used for each study site.</w:t>
      </w:r>
      <w:r w:rsidRPr="004F2ED6">
        <w:rPr>
          <w:rFonts w:ascii="Times New Roman" w:hAnsi="Times New Roman" w:cs="Times New Roman"/>
          <w:b/>
          <w:szCs w:val="20"/>
        </w:rPr>
        <w:t xml:space="preserve"> </w:t>
      </w:r>
      <w:r w:rsidRPr="00F02FC5">
        <w:rPr>
          <w:rFonts w:ascii="Times New Roman" w:hAnsi="Times New Roman" w:cs="Times New Roman"/>
        </w:rPr>
        <w:t xml:space="preserve">Individual Bayesian ancestry proportions </w:t>
      </w:r>
      <w:r>
        <w:rPr>
          <w:rFonts w:ascii="Times New Roman" w:hAnsi="Times New Roman" w:cs="Times New Roman"/>
        </w:rPr>
        <w:t xml:space="preserve">were </w:t>
      </w:r>
      <w:r w:rsidRPr="00F02FC5">
        <w:rPr>
          <w:rFonts w:ascii="Times New Roman" w:hAnsi="Times New Roman" w:cs="Times New Roman"/>
        </w:rPr>
        <w:t>deter</w:t>
      </w:r>
      <w:r>
        <w:rPr>
          <w:rFonts w:ascii="Times New Roman" w:hAnsi="Times New Roman" w:cs="Times New Roman"/>
        </w:rPr>
        <w:t>mined using STRUCTURE with K = 2 (c</w:t>
      </w:r>
      <w:r w:rsidRPr="00F02FC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and K = 4 (d)</w:t>
      </w:r>
      <w:r w:rsidRPr="00F02FC5">
        <w:rPr>
          <w:rFonts w:ascii="Times New Roman" w:hAnsi="Times New Roman" w:cs="Times New Roman"/>
        </w:rPr>
        <w:t>. Black lines separ</w:t>
      </w:r>
      <w:r>
        <w:rPr>
          <w:rFonts w:ascii="Times New Roman" w:hAnsi="Times New Roman" w:cs="Times New Roman"/>
        </w:rPr>
        <w:t>ate each study site and t</w:t>
      </w:r>
      <w:r w:rsidRPr="00F02FC5">
        <w:rPr>
          <w:rFonts w:ascii="Times New Roman" w:hAnsi="Times New Roman" w:cs="Times New Roman"/>
        </w:rPr>
        <w:t xml:space="preserve">he clusters identified are distinguished by </w:t>
      </w:r>
      <w:r>
        <w:rPr>
          <w:rFonts w:ascii="Times New Roman" w:hAnsi="Times New Roman" w:cs="Times New Roman"/>
        </w:rPr>
        <w:t>different colors</w:t>
      </w:r>
      <w:r w:rsidRPr="00F02FC5">
        <w:rPr>
          <w:rFonts w:ascii="Times New Roman" w:hAnsi="Times New Roman" w:cs="Times New Roman"/>
        </w:rPr>
        <w:t xml:space="preserve">. </w:t>
      </w:r>
      <w:r w:rsidRPr="004F2ED6">
        <w:rPr>
          <w:rFonts w:ascii="Times New Roman" w:hAnsi="Times New Roman" w:cs="Times New Roman"/>
          <w:szCs w:val="20"/>
        </w:rPr>
        <w:t>Each individual is represented by a vertical bar partitioned into colored sub-bars whose lengths are proportional to its estimated probability of membership for the K clusters (</w:t>
      </w:r>
      <w:r>
        <w:rPr>
          <w:rFonts w:ascii="Times New Roman" w:hAnsi="Times New Roman" w:cs="Times New Roman"/>
          <w:szCs w:val="20"/>
        </w:rPr>
        <w:t>c-d</w:t>
      </w:r>
      <w:r w:rsidRPr="004F2ED6">
        <w:rPr>
          <w:rFonts w:ascii="Times New Roman" w:hAnsi="Times New Roman" w:cs="Times New Roman"/>
          <w:szCs w:val="20"/>
        </w:rPr>
        <w:t xml:space="preserve">). </w:t>
      </w:r>
    </w:p>
    <w:p w14:paraId="26703314" w14:textId="1F02DBC4" w:rsidR="000F1450" w:rsidRDefault="00F97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54E6AA" wp14:editId="69FCC1E9">
            <wp:extent cx="5477943" cy="5404757"/>
            <wp:effectExtent l="0" t="0" r="0" b="0"/>
            <wp:docPr id="5" name="Picture 5" descr="FLO_DD:SCIENCE:2018_Villefranche:_Articles:4_barbata:_ms:_Revised:SI:SI3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_DD:SCIENCE:2018_Villefranche:_Articles:4_barbata:_ms:_Revised:SI:SI3_revised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" b="25495"/>
                    <a:stretch/>
                  </pic:blipFill>
                  <pic:spPr bwMode="auto">
                    <a:xfrm>
                      <a:off x="0" y="0"/>
                      <a:ext cx="5478145" cy="54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BF347" w14:textId="77777777" w:rsidR="000F1450" w:rsidRDefault="000F1450">
      <w:pPr>
        <w:rPr>
          <w:rFonts w:ascii="Times New Roman" w:hAnsi="Times New Roman" w:cs="Times New Roman"/>
        </w:rPr>
      </w:pPr>
    </w:p>
    <w:p w14:paraId="6944C15F" w14:textId="77777777" w:rsidR="00F97293" w:rsidRDefault="00F97293" w:rsidP="000F1450">
      <w:pPr>
        <w:jc w:val="both"/>
        <w:rPr>
          <w:rFonts w:ascii="Times New Roman" w:hAnsi="Times New Roman" w:cs="Times New Roman"/>
          <w:b/>
          <w:szCs w:val="20"/>
        </w:rPr>
        <w:sectPr w:rsidR="00F97293" w:rsidSect="001D69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E76DFC6" w14:textId="551FF26D" w:rsidR="000F1450" w:rsidRPr="004F2ED6" w:rsidRDefault="000F1450" w:rsidP="000F1450">
      <w:pPr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Fig. SI4</w:t>
      </w:r>
      <w:r w:rsidRPr="004F2ED6">
        <w:rPr>
          <w:rFonts w:ascii="Times New Roman" w:hAnsi="Times New Roman" w:cs="Times New Roman"/>
          <w:b/>
          <w:szCs w:val="20"/>
        </w:rPr>
        <w:t>.</w:t>
      </w:r>
      <w:r>
        <w:rPr>
          <w:rFonts w:ascii="Times New Roman" w:hAnsi="Times New Roman" w:cs="Times New Roman"/>
          <w:b/>
          <w:szCs w:val="20"/>
        </w:rPr>
        <w:t xml:space="preserve"> </w:t>
      </w:r>
      <w:r w:rsidRPr="00E21015">
        <w:rPr>
          <w:rFonts w:ascii="Times New Roman" w:hAnsi="Times New Roman" w:cs="Times New Roman"/>
          <w:b/>
        </w:rPr>
        <w:t>Genetic population structure</w:t>
      </w:r>
      <w:r w:rsidRPr="00F02FC5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i/>
        </w:rPr>
        <w:t>Gongolaria</w:t>
      </w:r>
      <w:r w:rsidRPr="008511B5">
        <w:rPr>
          <w:rFonts w:ascii="Times New Roman" w:hAnsi="Times New Roman" w:cs="Times New Roman"/>
          <w:i/>
        </w:rPr>
        <w:t xml:space="preserve"> </w:t>
      </w:r>
      <w:r w:rsidRPr="00F02FC5">
        <w:rPr>
          <w:rFonts w:ascii="Times New Roman" w:hAnsi="Times New Roman" w:cs="Times New Roman"/>
          <w:i/>
        </w:rPr>
        <w:t>barbata</w:t>
      </w:r>
      <w:r w:rsidRPr="00F02F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the Black Sea</w:t>
      </w:r>
      <w:r w:rsidRPr="00F02FC5">
        <w:rPr>
          <w:rFonts w:ascii="Times New Roman" w:hAnsi="Times New Roman" w:cs="Times New Roman"/>
        </w:rPr>
        <w:t xml:space="preserve"> based on </w:t>
      </w:r>
      <w:r>
        <w:rPr>
          <w:rFonts w:ascii="Times New Roman" w:hAnsi="Times New Roman" w:cs="Times New Roman"/>
        </w:rPr>
        <w:t xml:space="preserve">nine microsatellite markers. </w:t>
      </w:r>
      <w:r w:rsidRPr="00F02FC5">
        <w:rPr>
          <w:rFonts w:ascii="Times New Roman" w:hAnsi="Times New Roman" w:cs="Times New Roman"/>
        </w:rPr>
        <w:t>Principal Component Analys</w:t>
      </w:r>
      <w:r>
        <w:rPr>
          <w:rFonts w:ascii="Times New Roman" w:hAnsi="Times New Roman" w:cs="Times New Roman"/>
        </w:rPr>
        <w:t>es depicted axes 1 and 2 (a), and axes 1 and 3 (b</w:t>
      </w:r>
      <w:r w:rsidRPr="00F02FC5">
        <w:rPr>
          <w:rFonts w:ascii="Times New Roman" w:hAnsi="Times New Roman" w:cs="Times New Roman"/>
        </w:rPr>
        <w:t>) with each label showing the barycenter of each study site. Identical nu</w:t>
      </w:r>
      <w:r>
        <w:rPr>
          <w:rFonts w:ascii="Times New Roman" w:hAnsi="Times New Roman" w:cs="Times New Roman"/>
        </w:rPr>
        <w:t>mbers than in Fig. 1 and Table 1</w:t>
      </w:r>
      <w:r w:rsidRPr="00F02FC5">
        <w:rPr>
          <w:rFonts w:ascii="Times New Roman" w:hAnsi="Times New Roman" w:cs="Times New Roman"/>
        </w:rPr>
        <w:t xml:space="preserve"> are used for each study site.</w:t>
      </w:r>
      <w:r w:rsidRPr="004F2ED6">
        <w:rPr>
          <w:rFonts w:ascii="Times New Roman" w:hAnsi="Times New Roman" w:cs="Times New Roman"/>
          <w:b/>
          <w:szCs w:val="20"/>
        </w:rPr>
        <w:t xml:space="preserve"> </w:t>
      </w:r>
      <w:r w:rsidRPr="00F02FC5">
        <w:rPr>
          <w:rFonts w:ascii="Times New Roman" w:hAnsi="Times New Roman" w:cs="Times New Roman"/>
        </w:rPr>
        <w:t xml:space="preserve">Individual Bayesian ancestry proportions </w:t>
      </w:r>
      <w:r w:rsidR="004E4969">
        <w:rPr>
          <w:rFonts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</w:t>
      </w:r>
      <w:r w:rsidRPr="00F02FC5">
        <w:rPr>
          <w:rFonts w:ascii="Times New Roman" w:hAnsi="Times New Roman" w:cs="Times New Roman"/>
        </w:rPr>
        <w:t>deter</w:t>
      </w:r>
      <w:r>
        <w:rPr>
          <w:rFonts w:ascii="Times New Roman" w:hAnsi="Times New Roman" w:cs="Times New Roman"/>
        </w:rPr>
        <w:t>mined using STRUCTURE with K = 2 (c</w:t>
      </w:r>
      <w:r w:rsidRPr="00F02FC5">
        <w:rPr>
          <w:rFonts w:ascii="Times New Roman" w:hAnsi="Times New Roman" w:cs="Times New Roman"/>
        </w:rPr>
        <w:t>). Black lines separ</w:t>
      </w:r>
      <w:r>
        <w:rPr>
          <w:rFonts w:ascii="Times New Roman" w:hAnsi="Times New Roman" w:cs="Times New Roman"/>
        </w:rPr>
        <w:t>ate each study site and t</w:t>
      </w:r>
      <w:r w:rsidRPr="00F02FC5">
        <w:rPr>
          <w:rFonts w:ascii="Times New Roman" w:hAnsi="Times New Roman" w:cs="Times New Roman"/>
        </w:rPr>
        <w:t>he</w:t>
      </w:r>
      <w:r w:rsidR="004E4969">
        <w:rPr>
          <w:rFonts w:ascii="Times New Roman" w:hAnsi="Times New Roman" w:cs="Times New Roman"/>
        </w:rPr>
        <w:t xml:space="preserve"> two</w:t>
      </w:r>
      <w:r w:rsidRPr="00F02FC5">
        <w:rPr>
          <w:rFonts w:ascii="Times New Roman" w:hAnsi="Times New Roman" w:cs="Times New Roman"/>
        </w:rPr>
        <w:t xml:space="preserve"> clusters identified are distinguished by </w:t>
      </w:r>
      <w:r>
        <w:rPr>
          <w:rFonts w:ascii="Times New Roman" w:hAnsi="Times New Roman" w:cs="Times New Roman"/>
        </w:rPr>
        <w:t>different color</w:t>
      </w:r>
      <w:r w:rsidRPr="00F02FC5">
        <w:rPr>
          <w:rFonts w:ascii="Times New Roman" w:hAnsi="Times New Roman" w:cs="Times New Roman"/>
        </w:rPr>
        <w:t xml:space="preserve">. </w:t>
      </w:r>
      <w:r w:rsidRPr="004F2ED6">
        <w:rPr>
          <w:rFonts w:ascii="Times New Roman" w:hAnsi="Times New Roman" w:cs="Times New Roman"/>
          <w:szCs w:val="20"/>
        </w:rPr>
        <w:t>Each individual is represented by a vertical bar partitioned into colored sub-bars whose lengths are proportional to its estimated probability of</w:t>
      </w:r>
      <w:r w:rsidR="000D380A">
        <w:rPr>
          <w:rFonts w:ascii="Times New Roman" w:hAnsi="Times New Roman" w:cs="Times New Roman"/>
          <w:szCs w:val="20"/>
        </w:rPr>
        <w:t xml:space="preserve"> membership for the two clusters</w:t>
      </w:r>
      <w:r w:rsidRPr="004F2ED6">
        <w:rPr>
          <w:rFonts w:ascii="Times New Roman" w:hAnsi="Times New Roman" w:cs="Times New Roman"/>
          <w:szCs w:val="20"/>
        </w:rPr>
        <w:t xml:space="preserve">. </w:t>
      </w:r>
    </w:p>
    <w:p w14:paraId="0950DE90" w14:textId="77777777" w:rsidR="000F1450" w:rsidRDefault="000F1450">
      <w:pPr>
        <w:rPr>
          <w:rFonts w:ascii="Times New Roman" w:hAnsi="Times New Roman" w:cs="Times New Roman"/>
        </w:rPr>
      </w:pPr>
    </w:p>
    <w:p w14:paraId="3173A83D" w14:textId="77777777" w:rsidR="000F1450" w:rsidRDefault="000F1450">
      <w:pPr>
        <w:rPr>
          <w:rFonts w:ascii="Times New Roman" w:hAnsi="Times New Roman" w:cs="Times New Roman"/>
        </w:rPr>
      </w:pPr>
    </w:p>
    <w:p w14:paraId="3D0A08FF" w14:textId="300CD6D9" w:rsidR="000F1450" w:rsidRPr="009D52B3" w:rsidRDefault="00F97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BE3B0A" wp14:editId="54134556">
            <wp:extent cx="5477500" cy="4269922"/>
            <wp:effectExtent l="0" t="0" r="0" b="0"/>
            <wp:docPr id="6" name="Picture 6" descr="FLO_DD:SCIENCE:2018_Villefranche:_Articles:4_barbata:_ms:_Revised:SI:SI4_revis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_DD:SCIENCE:2018_Villefranche:_Articles:4_barbata:_ms:_Revised:SI:SI4_revised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 b="40139"/>
                    <a:stretch/>
                  </pic:blipFill>
                  <pic:spPr bwMode="auto">
                    <a:xfrm>
                      <a:off x="0" y="0"/>
                      <a:ext cx="5478145" cy="42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1450" w:rsidRPr="009D52B3" w:rsidSect="001D69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D3"/>
    <w:rsid w:val="0007456F"/>
    <w:rsid w:val="000D380A"/>
    <w:rsid w:val="000D5A92"/>
    <w:rsid w:val="000F1450"/>
    <w:rsid w:val="0013095C"/>
    <w:rsid w:val="001D6916"/>
    <w:rsid w:val="002015FF"/>
    <w:rsid w:val="00265027"/>
    <w:rsid w:val="002B4EA1"/>
    <w:rsid w:val="004E4969"/>
    <w:rsid w:val="0058731C"/>
    <w:rsid w:val="006B77C5"/>
    <w:rsid w:val="007436A5"/>
    <w:rsid w:val="008034D4"/>
    <w:rsid w:val="00862028"/>
    <w:rsid w:val="0090185D"/>
    <w:rsid w:val="00907DFA"/>
    <w:rsid w:val="00916E43"/>
    <w:rsid w:val="0095090E"/>
    <w:rsid w:val="009D52B3"/>
    <w:rsid w:val="00AD514E"/>
    <w:rsid w:val="00BD5265"/>
    <w:rsid w:val="00C55259"/>
    <w:rsid w:val="00D50802"/>
    <w:rsid w:val="00DA5CD3"/>
    <w:rsid w:val="00E0294E"/>
    <w:rsid w:val="00E21015"/>
    <w:rsid w:val="00E766D6"/>
    <w:rsid w:val="00EE361C"/>
    <w:rsid w:val="00F43BD2"/>
    <w:rsid w:val="00F63E4F"/>
    <w:rsid w:val="00F9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C78D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8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8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8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8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6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chart" Target="charts/chart1.xml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LO_DD:SCIENCE:2018_Villefranche:_Articles:4_barbata:infile:_Revised:SAD:SAD_prep_infil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938598584268"/>
          <c:y val="0.314453562024358"/>
          <c:w val="0.863798775153106"/>
          <c:h val="0.514404511317273"/>
        </c:manualLayout>
      </c:layout>
      <c:barChart>
        <c:barDir val="col"/>
        <c:grouping val="clustered"/>
        <c:varyColors val="0"/>
        <c:ser>
          <c:idx val="0"/>
          <c:order val="0"/>
          <c:tx>
            <c:v>site 1</c:v>
          </c:tx>
          <c:invertIfNegative val="0"/>
          <c:cat>
            <c:numRef>
              <c:f>'CB1'!$A$2:$A$16</c:f>
              <c:numCache>
                <c:formatCode>General</c:formatCode>
                <c:ptCount val="15"/>
                <c:pt idx="0">
                  <c:v>169.0</c:v>
                </c:pt>
                <c:pt idx="1">
                  <c:v>173.0</c:v>
                </c:pt>
                <c:pt idx="2">
                  <c:v>175.0</c:v>
                </c:pt>
                <c:pt idx="3">
                  <c:v>176.0</c:v>
                </c:pt>
                <c:pt idx="4">
                  <c:v>177.0</c:v>
                </c:pt>
                <c:pt idx="5">
                  <c:v>179.0</c:v>
                </c:pt>
                <c:pt idx="6">
                  <c:v>181.0</c:v>
                </c:pt>
                <c:pt idx="7">
                  <c:v>183.0</c:v>
                </c:pt>
                <c:pt idx="8">
                  <c:v>186.0</c:v>
                </c:pt>
                <c:pt idx="9">
                  <c:v>187.0</c:v>
                </c:pt>
                <c:pt idx="10">
                  <c:v>189.0</c:v>
                </c:pt>
                <c:pt idx="11">
                  <c:v>192.0</c:v>
                </c:pt>
                <c:pt idx="12">
                  <c:v>200.0</c:v>
                </c:pt>
                <c:pt idx="13">
                  <c:v>202.0</c:v>
                </c:pt>
                <c:pt idx="14">
                  <c:v>204.0</c:v>
                </c:pt>
              </c:numCache>
            </c:numRef>
          </c:cat>
          <c:val>
            <c:numRef>
              <c:f>'CB1'!$B$2:$B$16</c:f>
              <c:numCache>
                <c:formatCode>General</c:formatCode>
                <c:ptCount val="15"/>
                <c:pt idx="0">
                  <c:v>0.0</c:v>
                </c:pt>
                <c:pt idx="1">
                  <c:v>0.0</c:v>
                </c:pt>
                <c:pt idx="2">
                  <c:v>0.0172</c:v>
                </c:pt>
                <c:pt idx="3">
                  <c:v>0.3103</c:v>
                </c:pt>
                <c:pt idx="4">
                  <c:v>0.4138</c:v>
                </c:pt>
                <c:pt idx="5">
                  <c:v>0.0</c:v>
                </c:pt>
                <c:pt idx="6">
                  <c:v>0.0517</c:v>
                </c:pt>
                <c:pt idx="7">
                  <c:v>0.0</c:v>
                </c:pt>
                <c:pt idx="8">
                  <c:v>0.0</c:v>
                </c:pt>
                <c:pt idx="9">
                  <c:v>0.0517</c:v>
                </c:pt>
                <c:pt idx="10">
                  <c:v>0.0</c:v>
                </c:pt>
                <c:pt idx="11">
                  <c:v>0.0</c:v>
                </c:pt>
                <c:pt idx="12">
                  <c:v>0.0172</c:v>
                </c:pt>
                <c:pt idx="13">
                  <c:v>0.1207</c:v>
                </c:pt>
                <c:pt idx="14">
                  <c:v>0.0172</c:v>
                </c:pt>
              </c:numCache>
            </c:numRef>
          </c:val>
        </c:ser>
        <c:ser>
          <c:idx val="1"/>
          <c:order val="1"/>
          <c:tx>
            <c:v>site 2</c:v>
          </c:tx>
          <c:invertIfNegative val="0"/>
          <c:val>
            <c:numRef>
              <c:f>'CB1'!$B$17:$B$31</c:f>
              <c:numCache>
                <c:formatCode>General</c:formatCode>
                <c:ptCount val="15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0.2576</c:v>
                </c:pt>
                <c:pt idx="4">
                  <c:v>0.4242</c:v>
                </c:pt>
                <c:pt idx="5">
                  <c:v>0.0152</c:v>
                </c:pt>
                <c:pt idx="6">
                  <c:v>0.2121</c:v>
                </c:pt>
                <c:pt idx="7">
                  <c:v>0.0</c:v>
                </c:pt>
                <c:pt idx="8">
                  <c:v>0.0</c:v>
                </c:pt>
                <c:pt idx="9">
                  <c:v>0.0455</c:v>
                </c:pt>
                <c:pt idx="10">
                  <c:v>0.0152</c:v>
                </c:pt>
                <c:pt idx="11">
                  <c:v>0.0</c:v>
                </c:pt>
                <c:pt idx="12">
                  <c:v>0.0</c:v>
                </c:pt>
                <c:pt idx="13">
                  <c:v>0.0303</c:v>
                </c:pt>
                <c:pt idx="14">
                  <c:v>0.0</c:v>
                </c:pt>
              </c:numCache>
            </c:numRef>
          </c:val>
        </c:ser>
        <c:ser>
          <c:idx val="2"/>
          <c:order val="2"/>
          <c:tx>
            <c:v>site 3</c:v>
          </c:tx>
          <c:invertIfNegative val="0"/>
          <c:val>
            <c:numRef>
              <c:f>'CB1'!$B$32:$B$46</c:f>
              <c:numCache>
                <c:formatCode>General</c:formatCode>
                <c:ptCount val="15"/>
                <c:pt idx="0">
                  <c:v>0.0</c:v>
                </c:pt>
                <c:pt idx="1">
                  <c:v>0.2115</c:v>
                </c:pt>
                <c:pt idx="2">
                  <c:v>0.0</c:v>
                </c:pt>
                <c:pt idx="3">
                  <c:v>0.0192</c:v>
                </c:pt>
                <c:pt idx="4">
                  <c:v>0.2308</c:v>
                </c:pt>
                <c:pt idx="5">
                  <c:v>0.0</c:v>
                </c:pt>
                <c:pt idx="6">
                  <c:v>0.25</c:v>
                </c:pt>
                <c:pt idx="7">
                  <c:v>0.2308</c:v>
                </c:pt>
                <c:pt idx="8">
                  <c:v>0.0192</c:v>
                </c:pt>
                <c:pt idx="9">
                  <c:v>0.0</c:v>
                </c:pt>
                <c:pt idx="10">
                  <c:v>0.0192</c:v>
                </c:pt>
                <c:pt idx="11">
                  <c:v>0.0192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3"/>
          <c:order val="3"/>
          <c:tx>
            <c:v>site 4</c:v>
          </c:tx>
          <c:invertIfNegative val="0"/>
          <c:val>
            <c:numRef>
              <c:f>'CB1'!$B$47:$B$61</c:f>
              <c:numCache>
                <c:formatCode>General</c:formatCode>
                <c:ptCount val="15"/>
                <c:pt idx="0">
                  <c:v>0.1538</c:v>
                </c:pt>
                <c:pt idx="1">
                  <c:v>0.0385</c:v>
                </c:pt>
                <c:pt idx="2">
                  <c:v>0.0</c:v>
                </c:pt>
                <c:pt idx="3">
                  <c:v>0.0</c:v>
                </c:pt>
                <c:pt idx="4">
                  <c:v>0.0385</c:v>
                </c:pt>
                <c:pt idx="5">
                  <c:v>0.0</c:v>
                </c:pt>
                <c:pt idx="6">
                  <c:v>0.2692</c:v>
                </c:pt>
                <c:pt idx="7">
                  <c:v>0.3077</c:v>
                </c:pt>
                <c:pt idx="8">
                  <c:v>0.0</c:v>
                </c:pt>
                <c:pt idx="9">
                  <c:v>0.0385</c:v>
                </c:pt>
                <c:pt idx="10">
                  <c:v>0.1538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4"/>
          <c:order val="4"/>
          <c:tx>
            <c:v>site 5</c:v>
          </c:tx>
          <c:invertIfNegative val="0"/>
          <c:val>
            <c:numRef>
              <c:f>'CB1'!$B$62:$B$76</c:f>
              <c:numCache>
                <c:formatCode>General</c:formatCode>
                <c:ptCount val="15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0.8429</c:v>
                </c:pt>
                <c:pt idx="4">
                  <c:v>0.0714</c:v>
                </c:pt>
                <c:pt idx="5">
                  <c:v>0.0</c:v>
                </c:pt>
                <c:pt idx="6">
                  <c:v>0.0143</c:v>
                </c:pt>
                <c:pt idx="7">
                  <c:v>0.0429</c:v>
                </c:pt>
                <c:pt idx="8">
                  <c:v>0.0</c:v>
                </c:pt>
                <c:pt idx="9">
                  <c:v>0.0286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5"/>
          <c:order val="5"/>
          <c:tx>
            <c:v>site 6</c:v>
          </c:tx>
          <c:invertIfNegative val="0"/>
          <c:val>
            <c:numRef>
              <c:f>'CB1'!$B$77:$B$91</c:f>
              <c:numCache>
                <c:formatCode>General</c:formatCode>
                <c:ptCount val="15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0.9032</c:v>
                </c:pt>
                <c:pt idx="4">
                  <c:v>0.0645</c:v>
                </c:pt>
                <c:pt idx="5">
                  <c:v>0.0161</c:v>
                </c:pt>
                <c:pt idx="6">
                  <c:v>0.0</c:v>
                </c:pt>
                <c:pt idx="7">
                  <c:v>0.0161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6"/>
          <c:order val="6"/>
          <c:tx>
            <c:v>site 7</c:v>
          </c:tx>
          <c:invertIfNegative val="0"/>
          <c:val>
            <c:numRef>
              <c:f>'CB1'!$B$152:$B$166</c:f>
              <c:numCache>
                <c:formatCode>General</c:formatCode>
                <c:ptCount val="15"/>
                <c:pt idx="0">
                  <c:v>0.0</c:v>
                </c:pt>
                <c:pt idx="1">
                  <c:v>0.0</c:v>
                </c:pt>
                <c:pt idx="2">
                  <c:v>0.1818</c:v>
                </c:pt>
                <c:pt idx="3">
                  <c:v>0.0</c:v>
                </c:pt>
                <c:pt idx="4">
                  <c:v>0.8182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7"/>
          <c:order val="7"/>
          <c:tx>
            <c:v>site 8</c:v>
          </c:tx>
          <c:invertIfNegative val="0"/>
          <c:val>
            <c:numRef>
              <c:f>'CB1'!$B$92:$B$106</c:f>
              <c:numCache>
                <c:formatCode>General</c:formatCode>
                <c:ptCount val="15"/>
                <c:pt idx="0">
                  <c:v>0.0806</c:v>
                </c:pt>
                <c:pt idx="1">
                  <c:v>0.0</c:v>
                </c:pt>
                <c:pt idx="2">
                  <c:v>0.0968</c:v>
                </c:pt>
                <c:pt idx="3">
                  <c:v>0.0</c:v>
                </c:pt>
                <c:pt idx="4">
                  <c:v>0.8226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8"/>
          <c:order val="8"/>
          <c:tx>
            <c:v>site 9</c:v>
          </c:tx>
          <c:invertIfNegative val="0"/>
          <c:val>
            <c:numRef>
              <c:f>'CB1'!$B$107:$B$121</c:f>
              <c:numCache>
                <c:formatCode>General</c:formatCode>
                <c:ptCount val="15"/>
                <c:pt idx="0">
                  <c:v>0.0263</c:v>
                </c:pt>
                <c:pt idx="1">
                  <c:v>0.0</c:v>
                </c:pt>
                <c:pt idx="2">
                  <c:v>0.1579</c:v>
                </c:pt>
                <c:pt idx="3">
                  <c:v>0.0</c:v>
                </c:pt>
                <c:pt idx="4">
                  <c:v>0.7895</c:v>
                </c:pt>
                <c:pt idx="5">
                  <c:v>0.0263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9"/>
          <c:order val="9"/>
          <c:tx>
            <c:v>site 10</c:v>
          </c:tx>
          <c:invertIfNegative val="0"/>
          <c:val>
            <c:numRef>
              <c:f>'CB1'!$B$122:$B$136</c:f>
              <c:numCache>
                <c:formatCode>General</c:formatCode>
                <c:ptCount val="15"/>
                <c:pt idx="0">
                  <c:v>0.0</c:v>
                </c:pt>
                <c:pt idx="1">
                  <c:v>0.0</c:v>
                </c:pt>
                <c:pt idx="2">
                  <c:v>0.1818</c:v>
                </c:pt>
                <c:pt idx="3">
                  <c:v>0.0</c:v>
                </c:pt>
                <c:pt idx="4">
                  <c:v>0.8182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10"/>
          <c:order val="10"/>
          <c:tx>
            <c:v>site 11</c:v>
          </c:tx>
          <c:invertIfNegative val="0"/>
          <c:val>
            <c:numRef>
              <c:f>'CB1'!$B$137:$B$151</c:f>
              <c:numCache>
                <c:formatCode>General</c:formatCode>
                <c:ptCount val="15"/>
                <c:pt idx="0">
                  <c:v>0.0</c:v>
                </c:pt>
                <c:pt idx="1">
                  <c:v>0.0</c:v>
                </c:pt>
                <c:pt idx="2">
                  <c:v>0.25</c:v>
                </c:pt>
                <c:pt idx="3">
                  <c:v>0.0</c:v>
                </c:pt>
                <c:pt idx="4">
                  <c:v>0.75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11"/>
          <c:order val="11"/>
          <c:tx>
            <c:v>site 12</c:v>
          </c:tx>
          <c:invertIfNegative val="0"/>
          <c:val>
            <c:numRef>
              <c:f>'CB1'!$B$182:$B$196</c:f>
              <c:numCache>
                <c:formatCode>General</c:formatCode>
                <c:ptCount val="15"/>
                <c:pt idx="0">
                  <c:v>0.2143</c:v>
                </c:pt>
                <c:pt idx="1">
                  <c:v>0.0</c:v>
                </c:pt>
                <c:pt idx="2">
                  <c:v>0.0357</c:v>
                </c:pt>
                <c:pt idx="3">
                  <c:v>0.0357</c:v>
                </c:pt>
                <c:pt idx="4">
                  <c:v>0.7143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12"/>
          <c:order val="12"/>
          <c:tx>
            <c:v>site 13</c:v>
          </c:tx>
          <c:invertIfNegative val="0"/>
          <c:val>
            <c:numRef>
              <c:f>'CB1'!$B$167:$B$181</c:f>
              <c:numCache>
                <c:formatCode>General</c:formatCode>
                <c:ptCount val="15"/>
                <c:pt idx="0">
                  <c:v>0.5571</c:v>
                </c:pt>
                <c:pt idx="1">
                  <c:v>0.0</c:v>
                </c:pt>
                <c:pt idx="2">
                  <c:v>0.0429</c:v>
                </c:pt>
                <c:pt idx="3">
                  <c:v>0.0</c:v>
                </c:pt>
                <c:pt idx="4">
                  <c:v>0.3857</c:v>
                </c:pt>
                <c:pt idx="5">
                  <c:v>0.0143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13"/>
          <c:order val="13"/>
          <c:tx>
            <c:v>site 14</c:v>
          </c:tx>
          <c:invertIfNegative val="0"/>
          <c:val>
            <c:numRef>
              <c:f>'CB1'!$B$197:$B$211</c:f>
              <c:numCache>
                <c:formatCode>General</c:formatCode>
                <c:ptCount val="15"/>
                <c:pt idx="0">
                  <c:v>0.4194</c:v>
                </c:pt>
                <c:pt idx="1">
                  <c:v>0.0</c:v>
                </c:pt>
                <c:pt idx="2">
                  <c:v>0.2581</c:v>
                </c:pt>
                <c:pt idx="3">
                  <c:v>0.0</c:v>
                </c:pt>
                <c:pt idx="4">
                  <c:v>0.3226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ser>
          <c:idx val="14"/>
          <c:order val="14"/>
          <c:tx>
            <c:v>site 15</c:v>
          </c:tx>
          <c:invertIfNegative val="0"/>
          <c:val>
            <c:numRef>
              <c:f>'CB1'!$B$212:$B$226</c:f>
              <c:numCache>
                <c:formatCode>General</c:formatCode>
                <c:ptCount val="15"/>
                <c:pt idx="0">
                  <c:v>0.3</c:v>
                </c:pt>
                <c:pt idx="1">
                  <c:v>0.0</c:v>
                </c:pt>
                <c:pt idx="2">
                  <c:v>0.1667</c:v>
                </c:pt>
                <c:pt idx="3">
                  <c:v>0.0</c:v>
                </c:pt>
                <c:pt idx="4">
                  <c:v>0.5167</c:v>
                </c:pt>
                <c:pt idx="5">
                  <c:v>0.0167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1318168"/>
        <c:axId val="2124464504"/>
      </c:barChart>
      <c:catAx>
        <c:axId val="2141318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Alleles</a:t>
                </a:r>
              </a:p>
            </c:rich>
          </c:tx>
          <c:layout>
            <c:manualLayout>
              <c:xMode val="edge"/>
              <c:yMode val="edge"/>
              <c:x val="0.508538137278295"/>
              <c:y val="0.919849127769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24464504"/>
        <c:crosses val="autoZero"/>
        <c:auto val="1"/>
        <c:lblAlgn val="ctr"/>
        <c:lblOffset val="100"/>
        <c:noMultiLvlLbl val="0"/>
      </c:catAx>
      <c:valAx>
        <c:axId val="212446450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Allelic</a:t>
                </a:r>
                <a:r>
                  <a:rPr lang="en-US" baseline="0"/>
                  <a:t> </a:t>
                </a:r>
              </a:p>
              <a:p>
                <a:pPr>
                  <a:defRPr/>
                </a:pPr>
                <a:r>
                  <a:rPr lang="en-US" baseline="0"/>
                  <a:t>frequency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413300160396617"/>
              <c:y val="0.1263443554704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413181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82872557596967"/>
          <c:y val="0.0377180575200377"/>
          <c:w val="0.765862496354622"/>
          <c:h val="0.1235518827473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579</Words>
  <Characters>3306</Characters>
  <Application>Microsoft Macintosh Word</Application>
  <DocSecurity>0</DocSecurity>
  <Lines>27</Lines>
  <Paragraphs>7</Paragraphs>
  <ScaleCrop>false</ScaleCrop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Florentine Riquet</dc:creator>
  <cp:keywords/>
  <dc:description/>
  <cp:lastModifiedBy>Florentine Riquet</cp:lastModifiedBy>
  <cp:revision>9</cp:revision>
  <dcterms:created xsi:type="dcterms:W3CDTF">2021-03-30T11:43:00Z</dcterms:created>
  <dcterms:modified xsi:type="dcterms:W3CDTF">2021-05-09T18:36:00Z</dcterms:modified>
</cp:coreProperties>
</file>