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7794" w14:textId="20173B9B" w:rsidR="00A97450" w:rsidRDefault="00A97450" w:rsidP="00EE6F80">
      <w:pPr>
        <w:spacing w:line="360" w:lineRule="auto"/>
        <w:jc w:val="both"/>
        <w:rPr>
          <w:rFonts w:ascii="Times New Roman" w:eastAsiaTheme="minorHAnsi" w:hAnsi="Times New Roman" w:cstheme="minorBidi"/>
          <w:b/>
          <w:bCs/>
          <w:sz w:val="24"/>
          <w:szCs w:val="24"/>
          <w:lang w:eastAsia="en-US"/>
        </w:rPr>
      </w:pPr>
      <w:r>
        <w:rPr>
          <w:rFonts w:ascii="Arial" w:eastAsia="Arial" w:hAnsi="Arial" w:cs="Arial"/>
          <w:b/>
          <w:sz w:val="40"/>
          <w:szCs w:val="40"/>
          <w:u w:val="single"/>
        </w:rPr>
        <w:t xml:space="preserve">                                                                                                                                                                                                                                                                                                                                                                                                                                                                                                                                                                                                                                                                                         </w:t>
      </w:r>
      <w:r w:rsidRPr="00A97450">
        <w:rPr>
          <w:rFonts w:ascii="Times New Roman" w:eastAsia="Arial" w:hAnsi="Times New Roman" w:cs="Times New Roman"/>
          <w:b/>
          <w:sz w:val="24"/>
          <w:szCs w:val="24"/>
        </w:rPr>
        <w:t>Supplementary information for “</w:t>
      </w:r>
      <w:r>
        <w:rPr>
          <w:rFonts w:ascii="Times New Roman" w:eastAsiaTheme="minorHAnsi" w:hAnsi="Times New Roman" w:cstheme="minorBidi"/>
          <w:b/>
          <w:bCs/>
          <w:sz w:val="24"/>
          <w:szCs w:val="24"/>
          <w:lang w:eastAsia="en-US"/>
        </w:rPr>
        <w:t xml:space="preserve">A </w:t>
      </w:r>
      <w:proofErr w:type="spellStart"/>
      <w:r>
        <w:rPr>
          <w:rFonts w:ascii="Times New Roman" w:eastAsiaTheme="minorHAnsi" w:hAnsi="Times New Roman" w:cstheme="minorBidi"/>
          <w:b/>
          <w:bCs/>
          <w:sz w:val="24"/>
          <w:szCs w:val="24"/>
          <w:lang w:eastAsia="en-US"/>
        </w:rPr>
        <w:t>RUpture</w:t>
      </w:r>
      <w:proofErr w:type="spellEnd"/>
      <w:r>
        <w:rPr>
          <w:rFonts w:ascii="Times New Roman" w:eastAsiaTheme="minorHAnsi" w:hAnsi="Times New Roman" w:cstheme="minorBidi"/>
          <w:b/>
          <w:bCs/>
          <w:sz w:val="24"/>
          <w:szCs w:val="24"/>
          <w:lang w:eastAsia="en-US"/>
        </w:rPr>
        <w:t xml:space="preserve">-Based detection method for the Active </w:t>
      </w:r>
      <w:proofErr w:type="spellStart"/>
      <w:r>
        <w:rPr>
          <w:rFonts w:ascii="Times New Roman" w:eastAsiaTheme="minorHAnsi" w:hAnsi="Times New Roman" w:cstheme="minorBidi"/>
          <w:b/>
          <w:bCs/>
          <w:sz w:val="24"/>
          <w:szCs w:val="24"/>
          <w:lang w:eastAsia="en-US"/>
        </w:rPr>
        <w:t>mesopeLagIc</w:t>
      </w:r>
      <w:proofErr w:type="spellEnd"/>
      <w:r>
        <w:rPr>
          <w:rFonts w:ascii="Times New Roman" w:eastAsiaTheme="minorHAnsi" w:hAnsi="Times New Roman" w:cstheme="minorBidi"/>
          <w:b/>
          <w:bCs/>
          <w:sz w:val="24"/>
          <w:szCs w:val="24"/>
          <w:lang w:eastAsia="en-US"/>
        </w:rPr>
        <w:t xml:space="preserve"> Zone (RUBALIZ): a crucial step towards rigorous carbon budget assessments” by Fuchs, Baumas et al. </w:t>
      </w:r>
    </w:p>
    <w:p w14:paraId="7A2C4393" w14:textId="76D59825" w:rsidR="00A97450" w:rsidRDefault="007B311F" w:rsidP="00EE6F80">
      <w:pPr>
        <w:spacing w:line="360" w:lineRule="auto"/>
        <w:jc w:val="both"/>
        <w:rPr>
          <w:rFonts w:ascii="Times New Roman" w:eastAsiaTheme="minorHAnsi" w:hAnsi="Times New Roman" w:cstheme="minorBidi"/>
          <w:b/>
          <w:bCs/>
          <w:sz w:val="24"/>
          <w:szCs w:val="24"/>
          <w:lang w:eastAsia="en-US"/>
        </w:rPr>
      </w:pPr>
      <w:r w:rsidRPr="00EE6F80">
        <w:rPr>
          <w:color w:val="000000"/>
          <w:u w:val="single"/>
        </w:rPr>
        <w:t>Figure S</w:t>
      </w:r>
      <w:r>
        <w:rPr>
          <w:color w:val="000000"/>
          <w:u w:val="single"/>
        </w:rPr>
        <w:t>1</w:t>
      </w:r>
      <w:r w:rsidRPr="00EE6F80">
        <w:rPr>
          <w:color w:val="000000"/>
          <w:u w:val="single"/>
        </w:rPr>
        <w:t>:</w:t>
      </w:r>
    </w:p>
    <w:p w14:paraId="6B768865" w14:textId="4B4504AC" w:rsidR="00B90A84" w:rsidRDefault="00AD63AE" w:rsidP="00EE6F80">
      <w:pPr>
        <w:jc w:val="center"/>
      </w:pPr>
      <w:r>
        <w:rPr>
          <w:b/>
          <w:bCs/>
          <w:noProof/>
          <w:color w:val="000000"/>
          <w:sz w:val="46"/>
          <w:szCs w:val="46"/>
          <w:bdr w:val="none" w:sz="0" w:space="0" w:color="auto" w:frame="1"/>
        </w:rPr>
        <w:drawing>
          <wp:inline distT="0" distB="0" distL="0" distR="0" wp14:anchorId="4921748A" wp14:editId="32462E3F">
            <wp:extent cx="3267075" cy="693577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572" cy="6936832"/>
                    </a:xfrm>
                    <a:prstGeom prst="rect">
                      <a:avLst/>
                    </a:prstGeom>
                    <a:noFill/>
                    <a:ln>
                      <a:noFill/>
                    </a:ln>
                  </pic:spPr>
                </pic:pic>
              </a:graphicData>
            </a:graphic>
          </wp:inline>
        </w:drawing>
      </w:r>
    </w:p>
    <w:p w14:paraId="31D10736" w14:textId="3B0E7C75" w:rsidR="00AD63AE" w:rsidRDefault="00AD63AE" w:rsidP="00EE6F80">
      <w:pPr>
        <w:jc w:val="both"/>
      </w:pPr>
    </w:p>
    <w:p w14:paraId="0851E9C1" w14:textId="77777777" w:rsidR="00AD63AE" w:rsidRPr="00AD63AE" w:rsidRDefault="00AD63AE" w:rsidP="000D3B7F">
      <w:pPr>
        <w:spacing w:line="240" w:lineRule="auto"/>
        <w:jc w:val="center"/>
        <w:rPr>
          <w:rFonts w:ascii="Times New Roman" w:eastAsia="Times New Roman" w:hAnsi="Times New Roman" w:cs="Times New Roman"/>
          <w:sz w:val="24"/>
          <w:szCs w:val="24"/>
        </w:rPr>
      </w:pPr>
      <w:r w:rsidRPr="00AD63AE">
        <w:rPr>
          <w:rFonts w:ascii="Times New Roman" w:eastAsia="Times New Roman" w:hAnsi="Times New Roman" w:cs="Times New Roman"/>
          <w:color w:val="000000"/>
          <w:u w:val="single"/>
        </w:rPr>
        <w:t>Table S1: Depths of the active mesopelagic zone boundaries determined by RUBALIZ</w:t>
      </w:r>
    </w:p>
    <w:tbl>
      <w:tblPr>
        <w:tblW w:w="0" w:type="auto"/>
        <w:jc w:val="center"/>
        <w:tblCellMar>
          <w:top w:w="15" w:type="dxa"/>
          <w:left w:w="15" w:type="dxa"/>
          <w:bottom w:w="15" w:type="dxa"/>
          <w:right w:w="15" w:type="dxa"/>
        </w:tblCellMar>
        <w:tblLook w:val="04A0" w:firstRow="1" w:lastRow="0" w:firstColumn="1" w:lastColumn="0" w:noHBand="0" w:noVBand="1"/>
      </w:tblPr>
      <w:tblGrid>
        <w:gridCol w:w="1005"/>
        <w:gridCol w:w="972"/>
        <w:gridCol w:w="802"/>
        <w:gridCol w:w="845"/>
        <w:gridCol w:w="1308"/>
        <w:gridCol w:w="937"/>
        <w:gridCol w:w="714"/>
        <w:gridCol w:w="1126"/>
      </w:tblGrid>
      <w:tr w:rsidR="00951BB2" w:rsidRPr="00AD63AE" w14:paraId="792B7EB7" w14:textId="77777777" w:rsidTr="00951BB2">
        <w:trPr>
          <w:trHeight w:val="780"/>
          <w:jc w:val="center"/>
        </w:trPr>
        <w:tc>
          <w:tcPr>
            <w:tcW w:w="0" w:type="auto"/>
            <w:tcBorders>
              <w:top w:val="single" w:sz="6" w:space="0" w:color="CCCCCC"/>
              <w:left w:val="single" w:sz="6" w:space="0" w:color="CCCCCC"/>
              <w:bottom w:val="single" w:sz="6" w:space="0" w:color="CCCCCC"/>
              <w:right w:val="single" w:sz="6" w:space="0" w:color="CCCCCC"/>
            </w:tcBorders>
            <w:shd w:val="clear" w:color="auto" w:fill="BDBDBD"/>
            <w:tcMar>
              <w:top w:w="40" w:type="dxa"/>
              <w:left w:w="40" w:type="dxa"/>
              <w:bottom w:w="40" w:type="dxa"/>
              <w:right w:w="40" w:type="dxa"/>
            </w:tcMar>
            <w:vAlign w:val="bottom"/>
            <w:hideMark/>
          </w:tcPr>
          <w:p w14:paraId="4981463D" w14:textId="77777777" w:rsidR="00AD63AE" w:rsidRPr="00951BB2" w:rsidRDefault="00AD63AE" w:rsidP="00FA3695">
            <w:pPr>
              <w:spacing w:after="0" w:line="240" w:lineRule="auto"/>
              <w:jc w:val="center"/>
              <w:rPr>
                <w:rFonts w:asciiTheme="minorHAnsi" w:eastAsia="Times New Roman" w:hAnsiTheme="minorHAnsi" w:cstheme="minorHAnsi"/>
                <w:b/>
                <w:sz w:val="18"/>
                <w:szCs w:val="18"/>
                <w:lang w:val="fr-FR"/>
              </w:rPr>
            </w:pPr>
            <w:r w:rsidRPr="00951BB2">
              <w:rPr>
                <w:rFonts w:asciiTheme="minorHAnsi" w:eastAsia="Times New Roman" w:hAnsiTheme="minorHAnsi" w:cstheme="minorHAnsi"/>
                <w:b/>
                <w:color w:val="000000"/>
                <w:sz w:val="18"/>
                <w:szCs w:val="18"/>
                <w:lang w:val="fr-FR"/>
              </w:rPr>
              <w:t>cruise</w:t>
            </w:r>
          </w:p>
        </w:tc>
        <w:tc>
          <w:tcPr>
            <w:tcW w:w="972" w:type="dxa"/>
            <w:tcBorders>
              <w:top w:val="single" w:sz="6" w:space="0" w:color="CCCCCC"/>
              <w:left w:val="single" w:sz="6" w:space="0" w:color="CCCCCC"/>
              <w:bottom w:val="single" w:sz="6" w:space="0" w:color="CCCCCC"/>
              <w:right w:val="single" w:sz="6" w:space="0" w:color="CCCCCC"/>
            </w:tcBorders>
            <w:shd w:val="clear" w:color="auto" w:fill="BDBDBD"/>
            <w:tcMar>
              <w:top w:w="40" w:type="dxa"/>
              <w:left w:w="40" w:type="dxa"/>
              <w:bottom w:w="40" w:type="dxa"/>
              <w:right w:w="40" w:type="dxa"/>
            </w:tcMar>
            <w:vAlign w:val="bottom"/>
            <w:hideMark/>
          </w:tcPr>
          <w:p w14:paraId="7F7063AE" w14:textId="77777777" w:rsidR="00AD63AE" w:rsidRPr="00951BB2" w:rsidRDefault="00AD63AE" w:rsidP="00FA3695">
            <w:pPr>
              <w:spacing w:after="0" w:line="240" w:lineRule="auto"/>
              <w:jc w:val="center"/>
              <w:rPr>
                <w:rFonts w:asciiTheme="minorHAnsi" w:eastAsia="Times New Roman" w:hAnsiTheme="minorHAnsi" w:cstheme="minorHAnsi"/>
                <w:b/>
                <w:sz w:val="18"/>
                <w:szCs w:val="18"/>
                <w:lang w:val="fr-FR"/>
              </w:rPr>
            </w:pPr>
            <w:r w:rsidRPr="00951BB2">
              <w:rPr>
                <w:rFonts w:asciiTheme="minorHAnsi" w:eastAsia="Times New Roman" w:hAnsiTheme="minorHAnsi" w:cstheme="minorHAnsi"/>
                <w:b/>
                <w:color w:val="000000"/>
                <w:sz w:val="18"/>
                <w:szCs w:val="18"/>
                <w:lang w:val="fr-FR"/>
              </w:rPr>
              <w:t>station</w:t>
            </w:r>
          </w:p>
        </w:tc>
        <w:tc>
          <w:tcPr>
            <w:tcW w:w="737" w:type="dxa"/>
            <w:tcBorders>
              <w:top w:val="single" w:sz="6" w:space="0" w:color="CCCCCC"/>
              <w:left w:val="single" w:sz="6" w:space="0" w:color="CCCCCC"/>
              <w:bottom w:val="single" w:sz="6" w:space="0" w:color="CCCCCC"/>
              <w:right w:val="single" w:sz="6" w:space="0" w:color="CCCCCC"/>
            </w:tcBorders>
            <w:shd w:val="clear" w:color="auto" w:fill="BDBDBD"/>
            <w:tcMar>
              <w:top w:w="40" w:type="dxa"/>
              <w:left w:w="40" w:type="dxa"/>
              <w:bottom w:w="40" w:type="dxa"/>
              <w:right w:w="40" w:type="dxa"/>
            </w:tcMar>
            <w:vAlign w:val="bottom"/>
            <w:hideMark/>
          </w:tcPr>
          <w:p w14:paraId="15ACFC08" w14:textId="77777777" w:rsidR="00AD63AE" w:rsidRPr="00951BB2" w:rsidRDefault="00AD63AE" w:rsidP="00FA3695">
            <w:pPr>
              <w:spacing w:after="0" w:line="240" w:lineRule="auto"/>
              <w:jc w:val="center"/>
              <w:rPr>
                <w:rFonts w:asciiTheme="minorHAnsi" w:eastAsia="Times New Roman" w:hAnsiTheme="minorHAnsi" w:cstheme="minorHAnsi"/>
                <w:b/>
                <w:sz w:val="18"/>
                <w:szCs w:val="18"/>
                <w:lang w:val="fr-FR"/>
              </w:rPr>
            </w:pPr>
            <w:r w:rsidRPr="00951BB2">
              <w:rPr>
                <w:rFonts w:asciiTheme="minorHAnsi" w:eastAsia="Times New Roman" w:hAnsiTheme="minorHAnsi" w:cstheme="minorHAnsi"/>
                <w:b/>
                <w:color w:val="000000"/>
                <w:sz w:val="18"/>
                <w:szCs w:val="18"/>
                <w:lang w:val="fr-FR"/>
              </w:rPr>
              <w:t>Upper boundary</w:t>
            </w:r>
          </w:p>
        </w:tc>
        <w:tc>
          <w:tcPr>
            <w:tcW w:w="845" w:type="dxa"/>
            <w:tcBorders>
              <w:top w:val="single" w:sz="6" w:space="0" w:color="CCCCCC"/>
              <w:left w:val="single" w:sz="6" w:space="0" w:color="CCCCCC"/>
              <w:bottom w:val="single" w:sz="6" w:space="0" w:color="CCCCCC"/>
              <w:right w:val="single" w:sz="6" w:space="0" w:color="CCCCCC"/>
            </w:tcBorders>
            <w:shd w:val="clear" w:color="auto" w:fill="BDBDBD"/>
            <w:tcMar>
              <w:top w:w="40" w:type="dxa"/>
              <w:left w:w="40" w:type="dxa"/>
              <w:bottom w:w="40" w:type="dxa"/>
              <w:right w:w="40" w:type="dxa"/>
            </w:tcMar>
            <w:vAlign w:val="bottom"/>
            <w:hideMark/>
          </w:tcPr>
          <w:p w14:paraId="284D6F16" w14:textId="77777777" w:rsidR="00AD63AE" w:rsidRPr="00951BB2" w:rsidRDefault="00AD63AE" w:rsidP="00FA3695">
            <w:pPr>
              <w:spacing w:after="0" w:line="240" w:lineRule="auto"/>
              <w:jc w:val="center"/>
              <w:rPr>
                <w:rFonts w:asciiTheme="minorHAnsi" w:eastAsia="Times New Roman" w:hAnsiTheme="minorHAnsi" w:cstheme="minorHAnsi"/>
                <w:b/>
                <w:sz w:val="18"/>
                <w:szCs w:val="18"/>
                <w:lang w:val="fr-FR"/>
              </w:rPr>
            </w:pPr>
            <w:r w:rsidRPr="00951BB2">
              <w:rPr>
                <w:rFonts w:asciiTheme="minorHAnsi" w:eastAsia="Times New Roman" w:hAnsiTheme="minorHAnsi" w:cstheme="minorHAnsi"/>
                <w:b/>
                <w:color w:val="000000"/>
                <w:sz w:val="18"/>
                <w:szCs w:val="18"/>
                <w:lang w:val="fr-FR"/>
              </w:rPr>
              <w:t>std</w:t>
            </w:r>
          </w:p>
        </w:tc>
        <w:tc>
          <w:tcPr>
            <w:tcW w:w="0" w:type="auto"/>
            <w:tcBorders>
              <w:top w:val="single" w:sz="6" w:space="0" w:color="CCCCCC"/>
              <w:left w:val="single" w:sz="6" w:space="0" w:color="CCCCCC"/>
              <w:bottom w:val="single" w:sz="6" w:space="0" w:color="CCCCCC"/>
              <w:right w:val="single" w:sz="6" w:space="0" w:color="CCCCCC"/>
            </w:tcBorders>
            <w:shd w:val="clear" w:color="auto" w:fill="BDBDBD"/>
            <w:tcMar>
              <w:top w:w="40" w:type="dxa"/>
              <w:left w:w="40" w:type="dxa"/>
              <w:bottom w:w="40" w:type="dxa"/>
              <w:right w:w="40" w:type="dxa"/>
            </w:tcMar>
            <w:vAlign w:val="bottom"/>
            <w:hideMark/>
          </w:tcPr>
          <w:p w14:paraId="3DAB70F7" w14:textId="77777777" w:rsidR="00AD63AE" w:rsidRPr="00951BB2" w:rsidRDefault="00AD63AE" w:rsidP="00FA3695">
            <w:pPr>
              <w:spacing w:after="0" w:line="240" w:lineRule="auto"/>
              <w:jc w:val="center"/>
              <w:rPr>
                <w:rFonts w:asciiTheme="minorHAnsi" w:eastAsia="Times New Roman" w:hAnsiTheme="minorHAnsi" w:cstheme="minorHAnsi"/>
                <w:b/>
                <w:sz w:val="18"/>
                <w:szCs w:val="18"/>
                <w:lang w:val="fr-FR"/>
              </w:rPr>
            </w:pPr>
            <w:r w:rsidRPr="00951BB2">
              <w:rPr>
                <w:rFonts w:asciiTheme="minorHAnsi" w:eastAsia="Times New Roman" w:hAnsiTheme="minorHAnsi" w:cstheme="minorHAnsi"/>
                <w:b/>
                <w:color w:val="000000"/>
                <w:sz w:val="18"/>
                <w:szCs w:val="18"/>
                <w:lang w:val="fr-FR"/>
              </w:rPr>
              <w:t>Upper boundary</w:t>
            </w:r>
          </w:p>
          <w:p w14:paraId="751982A1" w14:textId="77777777" w:rsidR="00AD63AE" w:rsidRPr="00951BB2" w:rsidRDefault="00AD63AE" w:rsidP="00FA3695">
            <w:pPr>
              <w:spacing w:after="0" w:line="240" w:lineRule="auto"/>
              <w:jc w:val="center"/>
              <w:rPr>
                <w:rFonts w:asciiTheme="minorHAnsi" w:eastAsia="Times New Roman" w:hAnsiTheme="minorHAnsi" w:cstheme="minorHAnsi"/>
                <w:b/>
                <w:sz w:val="18"/>
                <w:szCs w:val="18"/>
                <w:lang w:val="fr-FR"/>
              </w:rPr>
            </w:pPr>
            <w:r w:rsidRPr="00951BB2">
              <w:rPr>
                <w:rFonts w:asciiTheme="minorHAnsi" w:eastAsia="Times New Roman" w:hAnsiTheme="minorHAnsi" w:cstheme="minorHAnsi"/>
                <w:b/>
                <w:color w:val="000000"/>
                <w:sz w:val="18"/>
                <w:szCs w:val="18"/>
                <w:lang w:val="fr-FR"/>
              </w:rPr>
              <w:t>CTD number</w:t>
            </w:r>
          </w:p>
        </w:tc>
        <w:tc>
          <w:tcPr>
            <w:tcW w:w="937" w:type="dxa"/>
            <w:tcBorders>
              <w:top w:val="single" w:sz="6" w:space="0" w:color="CCCCCC"/>
              <w:left w:val="single" w:sz="6" w:space="0" w:color="CCCCCC"/>
              <w:bottom w:val="single" w:sz="6" w:space="0" w:color="CCCCCC"/>
              <w:right w:val="single" w:sz="6" w:space="0" w:color="CCCCCC"/>
            </w:tcBorders>
            <w:shd w:val="clear" w:color="auto" w:fill="BDBDBD"/>
            <w:tcMar>
              <w:top w:w="40" w:type="dxa"/>
              <w:left w:w="40" w:type="dxa"/>
              <w:bottom w:w="40" w:type="dxa"/>
              <w:right w:w="40" w:type="dxa"/>
            </w:tcMar>
            <w:vAlign w:val="bottom"/>
            <w:hideMark/>
          </w:tcPr>
          <w:p w14:paraId="6EB53E97" w14:textId="77777777" w:rsidR="00AD63AE" w:rsidRPr="00951BB2" w:rsidRDefault="00AD63AE" w:rsidP="00FA3695">
            <w:pPr>
              <w:spacing w:after="0" w:line="240" w:lineRule="auto"/>
              <w:jc w:val="center"/>
              <w:rPr>
                <w:rFonts w:asciiTheme="minorHAnsi" w:eastAsia="Times New Roman" w:hAnsiTheme="minorHAnsi" w:cstheme="minorHAnsi"/>
                <w:b/>
                <w:sz w:val="18"/>
                <w:szCs w:val="18"/>
                <w:lang w:val="fr-FR"/>
              </w:rPr>
            </w:pPr>
            <w:r w:rsidRPr="00951BB2">
              <w:rPr>
                <w:rFonts w:asciiTheme="minorHAnsi" w:eastAsia="Times New Roman" w:hAnsiTheme="minorHAnsi" w:cstheme="minorHAnsi"/>
                <w:b/>
                <w:color w:val="000000"/>
                <w:sz w:val="18"/>
                <w:szCs w:val="18"/>
                <w:lang w:val="fr-FR"/>
              </w:rPr>
              <w:t>Lower boundary</w:t>
            </w:r>
          </w:p>
        </w:tc>
        <w:tc>
          <w:tcPr>
            <w:tcW w:w="714" w:type="dxa"/>
            <w:tcBorders>
              <w:top w:val="single" w:sz="6" w:space="0" w:color="CCCCCC"/>
              <w:left w:val="single" w:sz="6" w:space="0" w:color="CCCCCC"/>
              <w:bottom w:val="single" w:sz="6" w:space="0" w:color="CCCCCC"/>
              <w:right w:val="single" w:sz="6" w:space="0" w:color="CCCCCC"/>
            </w:tcBorders>
            <w:shd w:val="clear" w:color="auto" w:fill="BDBDBD"/>
            <w:tcMar>
              <w:top w:w="40" w:type="dxa"/>
              <w:left w:w="40" w:type="dxa"/>
              <w:bottom w:w="40" w:type="dxa"/>
              <w:right w:w="40" w:type="dxa"/>
            </w:tcMar>
            <w:vAlign w:val="bottom"/>
            <w:hideMark/>
          </w:tcPr>
          <w:p w14:paraId="3A2F1A78" w14:textId="77777777" w:rsidR="00AD63AE" w:rsidRPr="00951BB2" w:rsidRDefault="00AD63AE" w:rsidP="00FA3695">
            <w:pPr>
              <w:spacing w:after="0" w:line="240" w:lineRule="auto"/>
              <w:jc w:val="center"/>
              <w:rPr>
                <w:rFonts w:asciiTheme="minorHAnsi" w:eastAsia="Times New Roman" w:hAnsiTheme="minorHAnsi" w:cstheme="minorHAnsi"/>
                <w:b/>
                <w:sz w:val="18"/>
                <w:szCs w:val="18"/>
                <w:lang w:val="fr-FR"/>
              </w:rPr>
            </w:pPr>
            <w:r w:rsidRPr="00951BB2">
              <w:rPr>
                <w:rFonts w:asciiTheme="minorHAnsi" w:eastAsia="Times New Roman" w:hAnsiTheme="minorHAnsi" w:cstheme="minorHAnsi"/>
                <w:b/>
                <w:color w:val="000000"/>
                <w:sz w:val="18"/>
                <w:szCs w:val="18"/>
                <w:lang w:val="fr-FR"/>
              </w:rPr>
              <w:t>std</w:t>
            </w:r>
          </w:p>
        </w:tc>
        <w:tc>
          <w:tcPr>
            <w:tcW w:w="1126" w:type="dxa"/>
            <w:tcBorders>
              <w:top w:val="single" w:sz="6" w:space="0" w:color="CCCCCC"/>
              <w:left w:val="single" w:sz="6" w:space="0" w:color="CCCCCC"/>
              <w:bottom w:val="single" w:sz="6" w:space="0" w:color="CCCCCC"/>
              <w:right w:val="single" w:sz="6" w:space="0" w:color="CCCCCC"/>
            </w:tcBorders>
            <w:shd w:val="clear" w:color="auto" w:fill="BDBDBD"/>
            <w:tcMar>
              <w:top w:w="40" w:type="dxa"/>
              <w:left w:w="40" w:type="dxa"/>
              <w:bottom w:w="40" w:type="dxa"/>
              <w:right w:w="40" w:type="dxa"/>
            </w:tcMar>
            <w:vAlign w:val="bottom"/>
            <w:hideMark/>
          </w:tcPr>
          <w:p w14:paraId="3C1751EC" w14:textId="77777777" w:rsidR="00AD63AE" w:rsidRPr="00951BB2" w:rsidRDefault="00AD63AE" w:rsidP="00FA3695">
            <w:pPr>
              <w:spacing w:after="0" w:line="240" w:lineRule="auto"/>
              <w:jc w:val="center"/>
              <w:rPr>
                <w:rFonts w:asciiTheme="minorHAnsi" w:eastAsia="Times New Roman" w:hAnsiTheme="minorHAnsi" w:cstheme="minorHAnsi"/>
                <w:b/>
                <w:sz w:val="18"/>
                <w:szCs w:val="18"/>
                <w:lang w:val="fr-FR"/>
              </w:rPr>
            </w:pPr>
            <w:r w:rsidRPr="00951BB2">
              <w:rPr>
                <w:rFonts w:asciiTheme="minorHAnsi" w:eastAsia="Times New Roman" w:hAnsiTheme="minorHAnsi" w:cstheme="minorHAnsi"/>
                <w:b/>
                <w:color w:val="000000"/>
                <w:sz w:val="18"/>
                <w:szCs w:val="18"/>
                <w:lang w:val="fr-FR"/>
              </w:rPr>
              <w:t>Lower boundary</w:t>
            </w:r>
          </w:p>
          <w:p w14:paraId="65AEACE3" w14:textId="77777777" w:rsidR="00AD63AE" w:rsidRPr="00951BB2" w:rsidRDefault="00AD63AE" w:rsidP="00FA3695">
            <w:pPr>
              <w:spacing w:after="0" w:line="240" w:lineRule="auto"/>
              <w:jc w:val="center"/>
              <w:rPr>
                <w:rFonts w:asciiTheme="minorHAnsi" w:eastAsia="Times New Roman" w:hAnsiTheme="minorHAnsi" w:cstheme="minorHAnsi"/>
                <w:b/>
                <w:sz w:val="18"/>
                <w:szCs w:val="18"/>
                <w:lang w:val="fr-FR"/>
              </w:rPr>
            </w:pPr>
            <w:r w:rsidRPr="00951BB2">
              <w:rPr>
                <w:rFonts w:asciiTheme="minorHAnsi" w:eastAsia="Times New Roman" w:hAnsiTheme="minorHAnsi" w:cstheme="minorHAnsi"/>
                <w:b/>
                <w:color w:val="000000"/>
                <w:sz w:val="18"/>
                <w:szCs w:val="18"/>
                <w:lang w:val="fr-FR"/>
              </w:rPr>
              <w:t>CTD number</w:t>
            </w:r>
          </w:p>
        </w:tc>
      </w:tr>
      <w:tr w:rsidR="00BD67FA" w:rsidRPr="00AD63AE" w14:paraId="2D1B3B7B" w14:textId="77777777" w:rsidTr="00951BB2">
        <w:trPr>
          <w:trHeight w:val="32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4A93529"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D341</w:t>
            </w:r>
          </w:p>
        </w:tc>
        <w:tc>
          <w:tcPr>
            <w:tcW w:w="97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A6910FB"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PAP</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6BBD31AA" w14:textId="10666015"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135</w:t>
            </w:r>
          </w:p>
        </w:tc>
        <w:tc>
          <w:tcPr>
            <w:tcW w:w="8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542747B5" w14:textId="5E69DC91"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01F6DBD3" w14:textId="074E8151"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16</w:t>
            </w:r>
          </w:p>
        </w:tc>
        <w:tc>
          <w:tcPr>
            <w:tcW w:w="9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765BE4CC" w14:textId="12A8C44D"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726</w:t>
            </w:r>
          </w:p>
        </w:tc>
        <w:tc>
          <w:tcPr>
            <w:tcW w:w="71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3E655A53" w14:textId="0958019F"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9</w:t>
            </w:r>
          </w:p>
        </w:tc>
        <w:tc>
          <w:tcPr>
            <w:tcW w:w="1126"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5147086E" w14:textId="73573184"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3</w:t>
            </w:r>
          </w:p>
        </w:tc>
      </w:tr>
      <w:tr w:rsidR="00BD67FA" w:rsidRPr="00AD63AE" w14:paraId="21A13122" w14:textId="77777777" w:rsidTr="00951BB2">
        <w:trPr>
          <w:trHeight w:val="32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hideMark/>
          </w:tcPr>
          <w:p w14:paraId="08C59728"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DY032</w:t>
            </w:r>
          </w:p>
        </w:tc>
        <w:tc>
          <w:tcPr>
            <w:tcW w:w="972"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hideMark/>
          </w:tcPr>
          <w:p w14:paraId="1F449939"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PAP</w:t>
            </w:r>
          </w:p>
        </w:tc>
        <w:tc>
          <w:tcPr>
            <w:tcW w:w="737"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25B6E252" w14:textId="501D3EFC"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127</w:t>
            </w:r>
          </w:p>
        </w:tc>
        <w:tc>
          <w:tcPr>
            <w:tcW w:w="84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7415299F" w14:textId="42BE79A6"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31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6AEA9DB0" w14:textId="60CBDE86"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16</w:t>
            </w:r>
          </w:p>
        </w:tc>
        <w:tc>
          <w:tcPr>
            <w:tcW w:w="937"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45B05C8D" w14:textId="00902AE7"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751</w:t>
            </w:r>
          </w:p>
        </w:tc>
        <w:tc>
          <w:tcPr>
            <w:tcW w:w="714"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19DB718E" w14:textId="385FD189"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26</w:t>
            </w:r>
          </w:p>
        </w:tc>
        <w:tc>
          <w:tcPr>
            <w:tcW w:w="1126"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12A01062" w14:textId="5AE7A032"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3</w:t>
            </w:r>
          </w:p>
        </w:tc>
      </w:tr>
      <w:tr w:rsidR="00BD67FA" w:rsidRPr="00AD63AE" w14:paraId="20B16128" w14:textId="77777777" w:rsidTr="00951BB2">
        <w:trPr>
          <w:trHeight w:val="32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3FE69B4D"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KN207-01</w:t>
            </w:r>
          </w:p>
        </w:tc>
        <w:tc>
          <w:tcPr>
            <w:tcW w:w="97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0CE0AA6C"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QL-1</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21F6B5B9" w14:textId="38C2616C"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151</w:t>
            </w:r>
          </w:p>
        </w:tc>
        <w:tc>
          <w:tcPr>
            <w:tcW w:w="8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10A62E6F" w14:textId="344FD989"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525022F4" w14:textId="57B34ECA"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2</w:t>
            </w:r>
          </w:p>
        </w:tc>
        <w:tc>
          <w:tcPr>
            <w:tcW w:w="9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6759C12E" w14:textId="52C2AED2"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490</w:t>
            </w:r>
          </w:p>
        </w:tc>
        <w:tc>
          <w:tcPr>
            <w:tcW w:w="71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7954FA0B" w14:textId="1779D6B6"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19</w:t>
            </w:r>
          </w:p>
        </w:tc>
        <w:tc>
          <w:tcPr>
            <w:tcW w:w="1126"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4C096D42" w14:textId="76A46D17"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2</w:t>
            </w:r>
          </w:p>
        </w:tc>
      </w:tr>
      <w:tr w:rsidR="00BD67FA" w:rsidRPr="00AD63AE" w14:paraId="13C25419" w14:textId="77777777" w:rsidTr="00951BB2">
        <w:trPr>
          <w:trHeight w:val="32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hideMark/>
          </w:tcPr>
          <w:p w14:paraId="4FE90FC0"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KN207-01</w:t>
            </w:r>
          </w:p>
        </w:tc>
        <w:tc>
          <w:tcPr>
            <w:tcW w:w="972"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hideMark/>
          </w:tcPr>
          <w:p w14:paraId="3B0E18E2"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QL-2</w:t>
            </w:r>
          </w:p>
        </w:tc>
        <w:tc>
          <w:tcPr>
            <w:tcW w:w="737"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26DD71AA" w14:textId="3E3B8E79"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191</w:t>
            </w:r>
          </w:p>
        </w:tc>
        <w:tc>
          <w:tcPr>
            <w:tcW w:w="84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185E5F40" w14:textId="56DC5E8C"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7778E194" w14:textId="016CA12E"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w:t>
            </w:r>
          </w:p>
        </w:tc>
        <w:tc>
          <w:tcPr>
            <w:tcW w:w="937"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7372E7F8" w14:textId="482098AC"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783</w:t>
            </w:r>
          </w:p>
        </w:tc>
        <w:tc>
          <w:tcPr>
            <w:tcW w:w="714"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1A3A0304" w14:textId="4FCD2183"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198</w:t>
            </w:r>
          </w:p>
        </w:tc>
        <w:tc>
          <w:tcPr>
            <w:tcW w:w="1126"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3E9275E9" w14:textId="7F673356"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w:t>
            </w:r>
          </w:p>
        </w:tc>
      </w:tr>
      <w:tr w:rsidR="00BD67FA" w:rsidRPr="00AD63AE" w14:paraId="32FCA2EE" w14:textId="77777777" w:rsidTr="00951BB2">
        <w:trPr>
          <w:trHeight w:val="32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2120FE81"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KN207-03</w:t>
            </w:r>
          </w:p>
        </w:tc>
        <w:tc>
          <w:tcPr>
            <w:tcW w:w="97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09D04FEB"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PS-1</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17968E90" w14:textId="130D5055"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104</w:t>
            </w:r>
          </w:p>
        </w:tc>
        <w:tc>
          <w:tcPr>
            <w:tcW w:w="8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05E7F9E4" w14:textId="369DF0A6"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2F6A4F8F" w14:textId="1DAE496A"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w:t>
            </w:r>
          </w:p>
        </w:tc>
        <w:tc>
          <w:tcPr>
            <w:tcW w:w="9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1C7AEF7A" w14:textId="281AD16C"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490</w:t>
            </w:r>
          </w:p>
        </w:tc>
        <w:tc>
          <w:tcPr>
            <w:tcW w:w="71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3341DC95" w14:textId="7847F6DF"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5</w:t>
            </w:r>
          </w:p>
        </w:tc>
        <w:tc>
          <w:tcPr>
            <w:tcW w:w="1126"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00B821FD" w14:textId="76C1B974"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w:t>
            </w:r>
          </w:p>
        </w:tc>
      </w:tr>
      <w:tr w:rsidR="00BD67FA" w:rsidRPr="00AD63AE" w14:paraId="7EC294CE" w14:textId="77777777" w:rsidTr="00951BB2">
        <w:trPr>
          <w:trHeight w:val="32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hideMark/>
          </w:tcPr>
          <w:p w14:paraId="21034AE6"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KN207-03</w:t>
            </w:r>
          </w:p>
        </w:tc>
        <w:tc>
          <w:tcPr>
            <w:tcW w:w="972"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hideMark/>
          </w:tcPr>
          <w:p w14:paraId="165D0EA5"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PS-3&amp;4</w:t>
            </w:r>
          </w:p>
        </w:tc>
        <w:tc>
          <w:tcPr>
            <w:tcW w:w="737"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0B078ACD" w14:textId="408771ED"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110</w:t>
            </w:r>
          </w:p>
        </w:tc>
        <w:tc>
          <w:tcPr>
            <w:tcW w:w="84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3B6494CE" w14:textId="201C046C"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1CAD791E" w14:textId="21F3F576"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w:t>
            </w:r>
          </w:p>
        </w:tc>
        <w:tc>
          <w:tcPr>
            <w:tcW w:w="937"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460C40A0" w14:textId="07DF6FDA"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684</w:t>
            </w:r>
          </w:p>
        </w:tc>
        <w:tc>
          <w:tcPr>
            <w:tcW w:w="714"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5F1813F6" w14:textId="29253A1C"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4</w:t>
            </w:r>
          </w:p>
        </w:tc>
        <w:tc>
          <w:tcPr>
            <w:tcW w:w="1126"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39C2BC67" w14:textId="0492531E"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w:t>
            </w:r>
          </w:p>
        </w:tc>
      </w:tr>
      <w:tr w:rsidR="00BD67FA" w:rsidRPr="00AD63AE" w14:paraId="51EF9B0D" w14:textId="77777777" w:rsidTr="00951BB2">
        <w:trPr>
          <w:trHeight w:val="32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09D3976E"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MALINA</w:t>
            </w:r>
          </w:p>
        </w:tc>
        <w:tc>
          <w:tcPr>
            <w:tcW w:w="97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564FC5A"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430</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5E31D4AC" w14:textId="06166A66"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79</w:t>
            </w:r>
          </w:p>
        </w:tc>
        <w:tc>
          <w:tcPr>
            <w:tcW w:w="8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38B8AB5E" w14:textId="072166FA"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1F9309AB" w14:textId="49C9D0A5"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w:t>
            </w:r>
          </w:p>
        </w:tc>
        <w:tc>
          <w:tcPr>
            <w:tcW w:w="9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66E6BAC3" w14:textId="28658FD0"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544</w:t>
            </w:r>
          </w:p>
        </w:tc>
        <w:tc>
          <w:tcPr>
            <w:tcW w:w="71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3C97BC48" w14:textId="664517CB"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40</w:t>
            </w:r>
          </w:p>
        </w:tc>
        <w:tc>
          <w:tcPr>
            <w:tcW w:w="1126"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241EF026" w14:textId="6294AFA3"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w:t>
            </w:r>
          </w:p>
        </w:tc>
      </w:tr>
      <w:tr w:rsidR="00BD67FA" w:rsidRPr="00AD63AE" w14:paraId="75E1D919" w14:textId="77777777" w:rsidTr="00951BB2">
        <w:trPr>
          <w:trHeight w:val="32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hideMark/>
          </w:tcPr>
          <w:p w14:paraId="701C12DE"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MALINA</w:t>
            </w:r>
          </w:p>
        </w:tc>
        <w:tc>
          <w:tcPr>
            <w:tcW w:w="972"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hideMark/>
          </w:tcPr>
          <w:p w14:paraId="000CC3FE"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540</w:t>
            </w:r>
          </w:p>
        </w:tc>
        <w:tc>
          <w:tcPr>
            <w:tcW w:w="737"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04C785C6" w14:textId="41302D6D"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84</w:t>
            </w:r>
          </w:p>
        </w:tc>
        <w:tc>
          <w:tcPr>
            <w:tcW w:w="84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7563ADA2" w14:textId="1ADB1817"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0C0909E6" w14:textId="147F8378"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w:t>
            </w:r>
          </w:p>
        </w:tc>
        <w:tc>
          <w:tcPr>
            <w:tcW w:w="937"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51CD6923" w14:textId="7B183CD0"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558</w:t>
            </w:r>
          </w:p>
        </w:tc>
        <w:tc>
          <w:tcPr>
            <w:tcW w:w="714"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5047407A" w14:textId="55BFF966"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75</w:t>
            </w:r>
          </w:p>
        </w:tc>
        <w:tc>
          <w:tcPr>
            <w:tcW w:w="1126"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58815D37" w14:textId="78FCE719"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w:t>
            </w:r>
          </w:p>
        </w:tc>
      </w:tr>
      <w:tr w:rsidR="00BD67FA" w:rsidRPr="00AD63AE" w14:paraId="4962A210" w14:textId="77777777" w:rsidTr="00951BB2">
        <w:trPr>
          <w:trHeight w:val="32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74529747"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MALINA</w:t>
            </w:r>
          </w:p>
        </w:tc>
        <w:tc>
          <w:tcPr>
            <w:tcW w:w="97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F828118"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620</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6C9F4AC3" w14:textId="7B1C3ED5"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95</w:t>
            </w:r>
          </w:p>
        </w:tc>
        <w:tc>
          <w:tcPr>
            <w:tcW w:w="8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3603FAE6" w14:textId="6852296E"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51BD1E4C" w14:textId="7BBF0806"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w:t>
            </w:r>
          </w:p>
        </w:tc>
        <w:tc>
          <w:tcPr>
            <w:tcW w:w="9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5F403428" w14:textId="2773CB52"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609</w:t>
            </w:r>
          </w:p>
        </w:tc>
        <w:tc>
          <w:tcPr>
            <w:tcW w:w="71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3D1DC79C" w14:textId="182E4417"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86</w:t>
            </w:r>
          </w:p>
        </w:tc>
        <w:tc>
          <w:tcPr>
            <w:tcW w:w="1126"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3A7F86C9" w14:textId="35437B3C"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w:t>
            </w:r>
          </w:p>
        </w:tc>
      </w:tr>
      <w:tr w:rsidR="00BD67FA" w:rsidRPr="00AD63AE" w14:paraId="5052500C" w14:textId="77777777" w:rsidTr="00951BB2">
        <w:trPr>
          <w:trHeight w:val="32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hideMark/>
          </w:tcPr>
          <w:p w14:paraId="67F01FDE"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PEACETIME</w:t>
            </w:r>
          </w:p>
        </w:tc>
        <w:tc>
          <w:tcPr>
            <w:tcW w:w="972"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hideMark/>
          </w:tcPr>
          <w:p w14:paraId="0203829C"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FAST</w:t>
            </w:r>
          </w:p>
        </w:tc>
        <w:tc>
          <w:tcPr>
            <w:tcW w:w="737"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5BB650EB" w14:textId="1692A65E"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109</w:t>
            </w:r>
          </w:p>
        </w:tc>
        <w:tc>
          <w:tcPr>
            <w:tcW w:w="84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7C4B34B1" w14:textId="46485CB6"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6C315BAA" w14:textId="29DC218B"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21</w:t>
            </w:r>
          </w:p>
        </w:tc>
        <w:tc>
          <w:tcPr>
            <w:tcW w:w="937"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3C968238" w14:textId="7454B6D4"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628</w:t>
            </w:r>
          </w:p>
        </w:tc>
        <w:tc>
          <w:tcPr>
            <w:tcW w:w="714"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750E62C0" w14:textId="4A6C2D9C"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28</w:t>
            </w:r>
          </w:p>
        </w:tc>
        <w:tc>
          <w:tcPr>
            <w:tcW w:w="1126"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43EF59BC" w14:textId="34C374A5"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8</w:t>
            </w:r>
          </w:p>
        </w:tc>
      </w:tr>
      <w:tr w:rsidR="00BD67FA" w:rsidRPr="00AD63AE" w14:paraId="48CB5C71" w14:textId="77777777" w:rsidTr="00951BB2">
        <w:trPr>
          <w:trHeight w:val="32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00D5B288"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PEACETIME</w:t>
            </w:r>
          </w:p>
        </w:tc>
        <w:tc>
          <w:tcPr>
            <w:tcW w:w="97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212EBA8A"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ION</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18B6FD47" w14:textId="512D8BCB"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118</w:t>
            </w:r>
          </w:p>
        </w:tc>
        <w:tc>
          <w:tcPr>
            <w:tcW w:w="8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3F1F542A" w14:textId="798B685D"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2FEC9667" w14:textId="66F9E7E9"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11</w:t>
            </w:r>
          </w:p>
        </w:tc>
        <w:tc>
          <w:tcPr>
            <w:tcW w:w="9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2252C5FC" w14:textId="4AA57C6B"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498</w:t>
            </w:r>
          </w:p>
        </w:tc>
        <w:tc>
          <w:tcPr>
            <w:tcW w:w="71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5C8222D8" w14:textId="0B140923"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25</w:t>
            </w:r>
          </w:p>
        </w:tc>
        <w:tc>
          <w:tcPr>
            <w:tcW w:w="1126"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077FB18F" w14:textId="4F975C74"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6</w:t>
            </w:r>
          </w:p>
        </w:tc>
      </w:tr>
      <w:tr w:rsidR="00BD67FA" w:rsidRPr="00AD63AE" w14:paraId="446E5E81" w14:textId="77777777" w:rsidTr="00951BB2">
        <w:trPr>
          <w:trHeight w:val="32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hideMark/>
          </w:tcPr>
          <w:p w14:paraId="3CA63C4F"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PEACETIME</w:t>
            </w:r>
          </w:p>
        </w:tc>
        <w:tc>
          <w:tcPr>
            <w:tcW w:w="972"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hideMark/>
          </w:tcPr>
          <w:p w14:paraId="506473B2"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TYR</w:t>
            </w:r>
          </w:p>
        </w:tc>
        <w:tc>
          <w:tcPr>
            <w:tcW w:w="737"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38B75B11" w14:textId="54960421"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111</w:t>
            </w:r>
          </w:p>
        </w:tc>
        <w:tc>
          <w:tcPr>
            <w:tcW w:w="84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6D2D6820" w14:textId="3B31FD4F"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02008260" w14:textId="423C5510"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10</w:t>
            </w:r>
          </w:p>
        </w:tc>
        <w:tc>
          <w:tcPr>
            <w:tcW w:w="937"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68963BF8" w14:textId="2B546AE4"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606</w:t>
            </w:r>
          </w:p>
        </w:tc>
        <w:tc>
          <w:tcPr>
            <w:tcW w:w="714"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6687818B" w14:textId="624DEBF3"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43</w:t>
            </w:r>
          </w:p>
        </w:tc>
        <w:tc>
          <w:tcPr>
            <w:tcW w:w="1126"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center"/>
            <w:hideMark/>
          </w:tcPr>
          <w:p w14:paraId="7781AA47" w14:textId="573A01E1"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6</w:t>
            </w:r>
          </w:p>
        </w:tc>
      </w:tr>
      <w:tr w:rsidR="00BD67FA" w:rsidRPr="00AD63AE" w14:paraId="669DA063" w14:textId="77777777" w:rsidTr="00951BB2">
        <w:trPr>
          <w:trHeight w:val="321"/>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592C4651"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TONGA</w:t>
            </w:r>
          </w:p>
        </w:tc>
        <w:tc>
          <w:tcPr>
            <w:tcW w:w="972"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hideMark/>
          </w:tcPr>
          <w:p w14:paraId="129267E5" w14:textId="77777777" w:rsidR="00BD67FA" w:rsidRPr="00AD63AE" w:rsidRDefault="00BD67FA" w:rsidP="00BD67FA">
            <w:pPr>
              <w:spacing w:after="0" w:line="240" w:lineRule="auto"/>
              <w:jc w:val="both"/>
              <w:rPr>
                <w:rFonts w:ascii="Times New Roman" w:eastAsia="Times New Roman" w:hAnsi="Times New Roman" w:cs="Times New Roman"/>
                <w:sz w:val="24"/>
                <w:szCs w:val="24"/>
                <w:lang w:val="fr-FR"/>
              </w:rPr>
            </w:pPr>
            <w:r w:rsidRPr="00AD63AE">
              <w:rPr>
                <w:rFonts w:ascii="Arial" w:eastAsia="Times New Roman" w:hAnsi="Arial" w:cs="Arial"/>
                <w:color w:val="000000"/>
                <w:sz w:val="16"/>
                <w:szCs w:val="16"/>
                <w:lang w:val="fr-FR"/>
              </w:rPr>
              <w:t>STATION 8</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15A88733" w14:textId="745CA41B"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153</w:t>
            </w:r>
          </w:p>
        </w:tc>
        <w:tc>
          <w:tcPr>
            <w:tcW w:w="84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7D575C2E" w14:textId="13817FBD"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1B785ACE" w14:textId="3F40F360"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5</w:t>
            </w:r>
          </w:p>
        </w:tc>
        <w:tc>
          <w:tcPr>
            <w:tcW w:w="93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734061AE" w14:textId="67D6C69C"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702</w:t>
            </w:r>
          </w:p>
        </w:tc>
        <w:tc>
          <w:tcPr>
            <w:tcW w:w="714"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07F0500B" w14:textId="2C867ACD"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135</w:t>
            </w:r>
          </w:p>
        </w:tc>
        <w:tc>
          <w:tcPr>
            <w:tcW w:w="1126"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center"/>
            <w:hideMark/>
          </w:tcPr>
          <w:p w14:paraId="293B64FA" w14:textId="3566010E" w:rsidR="00BD67FA" w:rsidRPr="00951BB2" w:rsidRDefault="00BD67FA" w:rsidP="00BD67FA">
            <w:pPr>
              <w:spacing w:after="0" w:line="240" w:lineRule="auto"/>
              <w:jc w:val="both"/>
              <w:rPr>
                <w:rFonts w:ascii="Arial" w:eastAsia="Times New Roman" w:hAnsi="Arial" w:cs="Arial"/>
                <w:color w:val="000000"/>
                <w:sz w:val="16"/>
                <w:szCs w:val="16"/>
                <w:lang w:val="fr-FR"/>
              </w:rPr>
            </w:pPr>
            <w:r w:rsidRPr="00951BB2">
              <w:rPr>
                <w:rFonts w:ascii="Arial" w:eastAsia="Times New Roman" w:hAnsi="Arial" w:cs="Arial"/>
                <w:color w:val="000000"/>
                <w:sz w:val="16"/>
                <w:szCs w:val="16"/>
                <w:lang w:val="fr-FR"/>
              </w:rPr>
              <w:t>3</w:t>
            </w:r>
          </w:p>
        </w:tc>
      </w:tr>
    </w:tbl>
    <w:p w14:paraId="35C9662D" w14:textId="4A55247F" w:rsidR="00AD63AE" w:rsidRDefault="00AD63AE" w:rsidP="00EE6F80">
      <w:pPr>
        <w:jc w:val="both"/>
      </w:pPr>
    </w:p>
    <w:p w14:paraId="3F65F048" w14:textId="77777777" w:rsidR="00EE6F80" w:rsidRDefault="00EE6F80" w:rsidP="00EE6F80">
      <w:pPr>
        <w:jc w:val="both"/>
      </w:pPr>
    </w:p>
    <w:p w14:paraId="021DDA5F" w14:textId="63351E48" w:rsidR="00EE6F80" w:rsidRDefault="00335786" w:rsidP="00EE6F80">
      <w:pPr>
        <w:pStyle w:val="NormalWeb"/>
        <w:spacing w:before="0" w:beforeAutospacing="0" w:after="160" w:afterAutospacing="0"/>
        <w:jc w:val="center"/>
      </w:pPr>
      <w:r>
        <w:rPr>
          <w:rFonts w:ascii="Calibri" w:hAnsi="Calibri" w:cs="Calibri"/>
          <w:noProof/>
          <w:color w:val="000000"/>
          <w:sz w:val="22"/>
          <w:szCs w:val="22"/>
          <w:bdr w:val="none" w:sz="0" w:space="0" w:color="auto" w:frame="1"/>
        </w:rPr>
        <w:drawing>
          <wp:inline distT="0" distB="0" distL="0" distR="0" wp14:anchorId="4C41A74F" wp14:editId="48C4ADB3">
            <wp:extent cx="4657725" cy="330821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5915" cy="3399267"/>
                    </a:xfrm>
                    <a:prstGeom prst="rect">
                      <a:avLst/>
                    </a:prstGeom>
                    <a:noFill/>
                    <a:ln>
                      <a:noFill/>
                    </a:ln>
                  </pic:spPr>
                </pic:pic>
              </a:graphicData>
            </a:graphic>
          </wp:inline>
        </w:drawing>
      </w:r>
    </w:p>
    <w:p w14:paraId="017DA5E6" w14:textId="0E5D6DAE" w:rsidR="00C21D0D" w:rsidRPr="00243251" w:rsidRDefault="00EE6F80" w:rsidP="00243251">
      <w:pPr>
        <w:pStyle w:val="NormalWeb"/>
        <w:spacing w:before="0" w:beforeAutospacing="0" w:after="0" w:afterAutospacing="0"/>
        <w:ind w:right="-460"/>
        <w:jc w:val="both"/>
        <w:rPr>
          <w:color w:val="000000"/>
          <w:sz w:val="22"/>
          <w:szCs w:val="22"/>
          <w:u w:val="single"/>
          <w:lang w:val="en-US"/>
        </w:rPr>
      </w:pPr>
      <w:r w:rsidRPr="00EE6F80">
        <w:rPr>
          <w:color w:val="000000"/>
          <w:sz w:val="22"/>
          <w:szCs w:val="22"/>
          <w:u w:val="single"/>
          <w:lang w:val="en-US"/>
        </w:rPr>
        <w:t xml:space="preserve">Figure S2: Variation of the boundary estimates due to the withdrawal of one variable from the CTD signal for the upper boundary (a) and lower boundary (b). </w:t>
      </w:r>
    </w:p>
    <w:p w14:paraId="6D262A5E" w14:textId="00FCE673" w:rsidR="00EE6F80" w:rsidRPr="00EA26B9" w:rsidRDefault="004D6920" w:rsidP="00EE6F80">
      <w:pPr>
        <w:pStyle w:val="NormalWeb"/>
        <w:spacing w:before="0" w:beforeAutospacing="0" w:after="160" w:afterAutospacing="0"/>
        <w:jc w:val="center"/>
        <w:rPr>
          <w:lang w:val="en-US"/>
        </w:rPr>
      </w:pPr>
      <w:r>
        <w:rPr>
          <w:rFonts w:ascii="Calibri" w:hAnsi="Calibri" w:cs="Calibri"/>
          <w:noProof/>
          <w:color w:val="000000"/>
          <w:sz w:val="22"/>
          <w:szCs w:val="22"/>
          <w:bdr w:val="none" w:sz="0" w:space="0" w:color="auto" w:frame="1"/>
          <w:lang w:val="en-US"/>
        </w:rPr>
        <w:lastRenderedPageBreak/>
        <w:drawing>
          <wp:inline distT="0" distB="0" distL="0" distR="0" wp14:anchorId="4F89B8C4" wp14:editId="1ED8DF58">
            <wp:extent cx="5407660" cy="355663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7660" cy="3556635"/>
                    </a:xfrm>
                    <a:prstGeom prst="rect">
                      <a:avLst/>
                    </a:prstGeom>
                    <a:noFill/>
                    <a:ln>
                      <a:noFill/>
                    </a:ln>
                  </pic:spPr>
                </pic:pic>
              </a:graphicData>
            </a:graphic>
          </wp:inline>
        </w:drawing>
      </w:r>
    </w:p>
    <w:p w14:paraId="30D3FBCE" w14:textId="6E4D2D55" w:rsidR="00E87745" w:rsidRPr="00E87745" w:rsidRDefault="00EE6F80" w:rsidP="00EE6F80">
      <w:pPr>
        <w:pStyle w:val="NormalWeb"/>
        <w:spacing w:before="0" w:beforeAutospacing="0" w:after="0" w:afterAutospacing="0"/>
        <w:ind w:right="-460"/>
        <w:jc w:val="both"/>
        <w:rPr>
          <w:color w:val="000000"/>
          <w:sz w:val="22"/>
          <w:szCs w:val="22"/>
          <w:u w:val="single"/>
          <w:lang w:val="en-US"/>
        </w:rPr>
      </w:pPr>
      <w:r w:rsidRPr="00E87745">
        <w:rPr>
          <w:color w:val="000000"/>
          <w:sz w:val="22"/>
          <w:szCs w:val="22"/>
          <w:u w:val="single"/>
          <w:lang w:val="en-US"/>
        </w:rPr>
        <w:t>Figure S3: Discrepanc</w:t>
      </w:r>
      <w:r w:rsidR="007173AD">
        <w:rPr>
          <w:color w:val="000000"/>
          <w:sz w:val="22"/>
          <w:szCs w:val="22"/>
          <w:u w:val="single"/>
          <w:lang w:val="en-US"/>
        </w:rPr>
        <w:t>ies</w:t>
      </w:r>
      <w:r w:rsidRPr="00E87745">
        <w:rPr>
          <w:color w:val="000000"/>
          <w:sz w:val="22"/>
          <w:szCs w:val="22"/>
          <w:u w:val="single"/>
          <w:lang w:val="en-US"/>
        </w:rPr>
        <w:t xml:space="preserve"> derived from </w:t>
      </w:r>
      <w:r w:rsidR="003D032A">
        <w:rPr>
          <w:color w:val="000000"/>
          <w:sz w:val="22"/>
          <w:szCs w:val="22"/>
          <w:u w:val="single"/>
          <w:lang w:val="en-US"/>
        </w:rPr>
        <w:t xml:space="preserve">the </w:t>
      </w:r>
      <w:r w:rsidRPr="00E87745">
        <w:rPr>
          <w:color w:val="000000"/>
          <w:sz w:val="22"/>
          <w:szCs w:val="22"/>
          <w:u w:val="single"/>
          <w:lang w:val="en-US"/>
        </w:rPr>
        <w:t>assessment of C budget</w:t>
      </w:r>
      <w:r w:rsidR="007173AD">
        <w:rPr>
          <w:color w:val="000000"/>
          <w:sz w:val="22"/>
          <w:szCs w:val="22"/>
          <w:u w:val="single"/>
          <w:lang w:val="en-US"/>
        </w:rPr>
        <w:t>s</w:t>
      </w:r>
      <w:r w:rsidRPr="00E87745">
        <w:rPr>
          <w:color w:val="000000"/>
          <w:sz w:val="22"/>
          <w:szCs w:val="22"/>
          <w:u w:val="single"/>
          <w:lang w:val="en-US"/>
        </w:rPr>
        <w:t xml:space="preserve"> </w:t>
      </w:r>
      <w:r w:rsidR="00E87745">
        <w:rPr>
          <w:color w:val="000000"/>
          <w:sz w:val="22"/>
          <w:szCs w:val="22"/>
          <w:u w:val="single"/>
          <w:lang w:val="en-US"/>
        </w:rPr>
        <w:t>integrated between vertical boundaries defined</w:t>
      </w:r>
      <w:r w:rsidRPr="00E87745">
        <w:rPr>
          <w:color w:val="000000"/>
          <w:sz w:val="22"/>
          <w:szCs w:val="22"/>
          <w:u w:val="single"/>
          <w:lang w:val="en-US"/>
        </w:rPr>
        <w:t xml:space="preserve"> from all different approaches including RUBALIZ. </w:t>
      </w:r>
      <w:r w:rsidR="00E87745" w:rsidRPr="00E87745">
        <w:rPr>
          <w:color w:val="000000"/>
          <w:sz w:val="22"/>
          <w:szCs w:val="22"/>
          <w:u w:val="single"/>
          <w:lang w:val="en-US"/>
        </w:rPr>
        <w:t>The discrepancy shown here is the difference between gravitational POC fluxes and prokaryotic C demand derived from H</w:t>
      </w:r>
      <w:r w:rsidR="00E87745" w:rsidRPr="00E87745">
        <w:rPr>
          <w:color w:val="000000"/>
          <w:sz w:val="22"/>
          <w:szCs w:val="22"/>
          <w:u w:val="single"/>
          <w:vertAlign w:val="superscript"/>
          <w:lang w:val="en-US"/>
        </w:rPr>
        <w:t>3</w:t>
      </w:r>
      <w:r w:rsidR="00E87745" w:rsidRPr="00E87745">
        <w:rPr>
          <w:color w:val="000000"/>
          <w:sz w:val="22"/>
          <w:szCs w:val="22"/>
          <w:u w:val="single"/>
          <w:lang w:val="en-US"/>
        </w:rPr>
        <w:t xml:space="preserve">-leucine measurements (CF leu/C of </w:t>
      </w:r>
      <w:r w:rsidR="00E87745" w:rsidRPr="00E87745">
        <w:rPr>
          <w:color w:val="000000"/>
          <w:u w:val="single"/>
          <w:lang w:val="en-US"/>
        </w:rPr>
        <w:t>1.55</w:t>
      </w:r>
      <w:r w:rsidR="00E87745" w:rsidRPr="00E87745">
        <w:rPr>
          <w:u w:val="single"/>
          <w:lang w:val="en-US"/>
        </w:rPr>
        <w:t>n</w:t>
      </w:r>
      <w:r w:rsidR="00E87745" w:rsidRPr="00E87745">
        <w:rPr>
          <w:color w:val="000000"/>
          <w:u w:val="single"/>
          <w:lang w:val="en-US"/>
        </w:rPr>
        <w:t>g C pmol</w:t>
      </w:r>
      <w:r w:rsidR="00E87745" w:rsidRPr="00E87745">
        <w:rPr>
          <w:color w:val="000000"/>
          <w:u w:val="single"/>
          <w:vertAlign w:val="superscript"/>
          <w:lang w:val="en-US"/>
        </w:rPr>
        <w:t>-1</w:t>
      </w:r>
      <w:r w:rsidR="00E87745" w:rsidRPr="00E87745">
        <w:rPr>
          <w:color w:val="000000"/>
          <w:u w:val="single"/>
          <w:lang w:val="en-US"/>
        </w:rPr>
        <w:t xml:space="preserve"> Leu and</w:t>
      </w:r>
      <w:r w:rsidR="00E87745" w:rsidRPr="00E87745">
        <w:rPr>
          <w:color w:val="000000"/>
          <w:sz w:val="22"/>
          <w:szCs w:val="22"/>
          <w:u w:val="single"/>
          <w:lang w:val="en-US"/>
        </w:rPr>
        <w:t xml:space="preserve"> PGE of 7%). </w:t>
      </w:r>
    </w:p>
    <w:p w14:paraId="6C345859" w14:textId="6451CA8A" w:rsidR="00EE6F80" w:rsidRPr="00E87745" w:rsidRDefault="00EE6F80" w:rsidP="00EE6F80">
      <w:pPr>
        <w:pStyle w:val="NormalWeb"/>
        <w:spacing w:before="0" w:beforeAutospacing="0" w:after="0" w:afterAutospacing="0"/>
        <w:ind w:right="-460"/>
        <w:jc w:val="both"/>
        <w:rPr>
          <w:color w:val="000000"/>
          <w:sz w:val="22"/>
          <w:szCs w:val="22"/>
          <w:u w:val="single"/>
          <w:lang w:val="en-US"/>
        </w:rPr>
      </w:pPr>
      <w:r w:rsidRPr="00E87745">
        <w:rPr>
          <w:color w:val="000000"/>
          <w:sz w:val="22"/>
          <w:szCs w:val="22"/>
          <w:u w:val="single"/>
          <w:lang w:val="en-US"/>
        </w:rPr>
        <w:t xml:space="preserve">The gray cells correspond to stations for which a given method could not determine an upper boundary. </w:t>
      </w:r>
    </w:p>
    <w:p w14:paraId="0E1AD07A" w14:textId="3281E350" w:rsidR="00EE6F80" w:rsidRDefault="00EE6F80" w:rsidP="00EE6F80">
      <w:pPr>
        <w:jc w:val="both"/>
      </w:pPr>
    </w:p>
    <w:p w14:paraId="3BFA35ED" w14:textId="08F391FA" w:rsidR="00EE6F80" w:rsidRDefault="00EE6F80" w:rsidP="00EE6F80">
      <w:pPr>
        <w:jc w:val="both"/>
      </w:pPr>
    </w:p>
    <w:p w14:paraId="6B51C0A4" w14:textId="45EDF158" w:rsidR="00EE6F80" w:rsidRDefault="00EE6F80" w:rsidP="00EE6F80">
      <w:pPr>
        <w:pStyle w:val="NormalWeb"/>
        <w:spacing w:before="0" w:beforeAutospacing="0" w:after="0" w:afterAutospacing="0"/>
        <w:ind w:right="-460"/>
        <w:jc w:val="center"/>
      </w:pPr>
      <w:r>
        <w:rPr>
          <w:rFonts w:ascii="Calibri" w:hAnsi="Calibri" w:cs="Calibri"/>
          <w:noProof/>
          <w:color w:val="000000"/>
          <w:sz w:val="22"/>
          <w:szCs w:val="22"/>
          <w:bdr w:val="none" w:sz="0" w:space="0" w:color="auto" w:frame="1"/>
        </w:rPr>
        <w:lastRenderedPageBreak/>
        <w:drawing>
          <wp:inline distT="0" distB="0" distL="0" distR="0" wp14:anchorId="3CE9AAFF" wp14:editId="0887344C">
            <wp:extent cx="5572125" cy="544830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125" cy="5448300"/>
                    </a:xfrm>
                    <a:prstGeom prst="rect">
                      <a:avLst/>
                    </a:prstGeom>
                    <a:noFill/>
                    <a:ln>
                      <a:noFill/>
                    </a:ln>
                  </pic:spPr>
                </pic:pic>
              </a:graphicData>
            </a:graphic>
          </wp:inline>
        </w:drawing>
      </w:r>
    </w:p>
    <w:p w14:paraId="3A5842C6" w14:textId="77777777" w:rsidR="00EE6F80" w:rsidRPr="00EE6F80" w:rsidRDefault="00EE6F80" w:rsidP="00EE6F80">
      <w:pPr>
        <w:pStyle w:val="NormalWeb"/>
        <w:spacing w:before="0" w:beforeAutospacing="0" w:after="0" w:afterAutospacing="0"/>
        <w:ind w:right="-460"/>
        <w:jc w:val="both"/>
        <w:rPr>
          <w:color w:val="000000"/>
          <w:sz w:val="22"/>
          <w:szCs w:val="22"/>
          <w:u w:val="single"/>
          <w:lang w:val="en-US"/>
        </w:rPr>
      </w:pPr>
      <w:r w:rsidRPr="00EE6F80">
        <w:rPr>
          <w:color w:val="000000"/>
          <w:sz w:val="22"/>
          <w:szCs w:val="22"/>
          <w:u w:val="single"/>
          <w:lang w:val="en-US"/>
        </w:rPr>
        <w:t xml:space="preserve">Figure S4: Example of the evolution of the boundaries estimate and associated standard errors (meters deep) when the number of CTDs available grows at the PEACETIME FAST station. </w:t>
      </w:r>
    </w:p>
    <w:p w14:paraId="0333E53D" w14:textId="54509D7A" w:rsidR="00EE6F80" w:rsidRDefault="00EE6F80" w:rsidP="00EE6F80">
      <w:pPr>
        <w:jc w:val="both"/>
      </w:pPr>
    </w:p>
    <w:p w14:paraId="33B6295D" w14:textId="3A1E72B1" w:rsidR="00EE6F80" w:rsidRDefault="00CA31C2" w:rsidP="009074A4">
      <w:pPr>
        <w:jc w:val="center"/>
      </w:pPr>
      <w:r>
        <w:rPr>
          <w:noProof/>
        </w:rPr>
        <w:lastRenderedPageBreak/>
        <w:drawing>
          <wp:inline distT="0" distB="0" distL="0" distR="0" wp14:anchorId="060531C5" wp14:editId="1C9C7AC4">
            <wp:extent cx="3200400" cy="888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8886825"/>
                    </a:xfrm>
                    <a:prstGeom prst="rect">
                      <a:avLst/>
                    </a:prstGeom>
                    <a:noFill/>
                    <a:ln>
                      <a:noFill/>
                    </a:ln>
                  </pic:spPr>
                </pic:pic>
              </a:graphicData>
            </a:graphic>
          </wp:inline>
        </w:drawing>
      </w:r>
    </w:p>
    <w:p w14:paraId="6A06CE59" w14:textId="3C18996A" w:rsidR="00235B1E" w:rsidRDefault="00CA31C2" w:rsidP="00235B1E">
      <w:pPr>
        <w:spacing w:after="0"/>
        <w:jc w:val="both"/>
        <w:rPr>
          <w:color w:val="0E101A"/>
          <w:u w:val="single"/>
        </w:rPr>
      </w:pPr>
      <w:r>
        <w:rPr>
          <w:color w:val="0E101A"/>
          <w:u w:val="single"/>
        </w:rPr>
        <w:lastRenderedPageBreak/>
        <w:t>Figure S5: Analysis on synthetic data of the change in (a, c, e, g) upper and (b, d, f, h) lower estimated boundaries when useless variables (noise variables) are added. An “informative” variable for which the breakpoints are known beforehand has been generated along with noise variables</w:t>
      </w:r>
      <w:r w:rsidR="00235B1E">
        <w:rPr>
          <w:color w:val="0E101A"/>
          <w:u w:val="single"/>
        </w:rPr>
        <w:t xml:space="preserve"> of different types:</w:t>
      </w:r>
      <w:r>
        <w:rPr>
          <w:color w:val="0E101A"/>
          <w:u w:val="single"/>
        </w:rPr>
        <w:t xml:space="preserve"> white noise </w:t>
      </w:r>
      <w:r w:rsidR="00235B1E">
        <w:rPr>
          <w:color w:val="0E101A"/>
          <w:u w:val="single"/>
        </w:rPr>
        <w:t>(</w:t>
      </w:r>
      <w:r>
        <w:rPr>
          <w:color w:val="0E101A"/>
          <w:u w:val="single"/>
        </w:rPr>
        <w:t>a and b), blue noise</w:t>
      </w:r>
      <w:r w:rsidR="00235B1E">
        <w:rPr>
          <w:color w:val="0E101A"/>
          <w:u w:val="single"/>
        </w:rPr>
        <w:t xml:space="preserve"> (</w:t>
      </w:r>
      <w:r>
        <w:rPr>
          <w:color w:val="0E101A"/>
          <w:u w:val="single"/>
        </w:rPr>
        <w:t>c and d), pink noise</w:t>
      </w:r>
      <w:r w:rsidR="00235B1E">
        <w:rPr>
          <w:color w:val="0E101A"/>
          <w:u w:val="single"/>
        </w:rPr>
        <w:t xml:space="preserve"> (</w:t>
      </w:r>
      <w:r>
        <w:rPr>
          <w:color w:val="0E101A"/>
          <w:u w:val="single"/>
        </w:rPr>
        <w:t xml:space="preserve">e and f), red noise: </w:t>
      </w:r>
      <w:r w:rsidR="00235B1E">
        <w:rPr>
          <w:color w:val="0E101A"/>
          <w:u w:val="single"/>
        </w:rPr>
        <w:t>(</w:t>
      </w:r>
      <w:r>
        <w:rPr>
          <w:color w:val="0E101A"/>
          <w:u w:val="single"/>
        </w:rPr>
        <w:t>g and h)</w:t>
      </w:r>
      <w:r w:rsidR="00E43622" w:rsidRPr="00FA3695">
        <w:rPr>
          <w:rStyle w:val="Appelnotedebasdep"/>
        </w:rPr>
        <w:footnoteReference w:id="1"/>
      </w:r>
      <w:r>
        <w:rPr>
          <w:color w:val="0E101A"/>
          <w:u w:val="single"/>
        </w:rPr>
        <w:t xml:space="preserve"> </w:t>
      </w:r>
      <w:r w:rsidR="00CC636B">
        <w:rPr>
          <w:color w:val="0E101A"/>
          <w:u w:val="single"/>
        </w:rPr>
        <w:t>(</w:t>
      </w:r>
      <w:r w:rsidR="00CC636B">
        <w:t>Timmer</w:t>
      </w:r>
      <w:r w:rsidR="00FB2AC4">
        <w:t xml:space="preserve"> and</w:t>
      </w:r>
      <w:r w:rsidR="00CC636B">
        <w:t xml:space="preserve"> Koenig,</w:t>
      </w:r>
      <w:r w:rsidR="00E43622">
        <w:t xml:space="preserve"> </w:t>
      </w:r>
      <w:r w:rsidR="00CC636B">
        <w:t>1995)</w:t>
      </w:r>
      <w:r w:rsidR="00235B1E">
        <w:rPr>
          <w:color w:val="0E101A"/>
          <w:u w:val="single"/>
        </w:rPr>
        <w:t>. W</w:t>
      </w:r>
      <w:r>
        <w:rPr>
          <w:color w:val="0E101A"/>
          <w:u w:val="single"/>
        </w:rPr>
        <w:t xml:space="preserve">hite noise </w:t>
      </w:r>
      <w:r w:rsidR="00235B1E">
        <w:rPr>
          <w:color w:val="0E101A"/>
          <w:u w:val="single"/>
        </w:rPr>
        <w:t>presents</w:t>
      </w:r>
      <w:r>
        <w:rPr>
          <w:color w:val="0E101A"/>
          <w:u w:val="single"/>
        </w:rPr>
        <w:t xml:space="preserve"> no autocorrelation whereas the other type of noise does</w:t>
      </w:r>
      <w:r w:rsidR="00235B1E">
        <w:rPr>
          <w:color w:val="0E101A"/>
          <w:u w:val="single"/>
        </w:rPr>
        <w:t>:</w:t>
      </w:r>
      <w:r>
        <w:rPr>
          <w:color w:val="0E101A"/>
          <w:u w:val="single"/>
        </w:rPr>
        <w:t xml:space="preserve"> they are then more likely to perturb the identification process. </w:t>
      </w:r>
    </w:p>
    <w:p w14:paraId="68344F40" w14:textId="0E8A8806" w:rsidR="00CA31C2" w:rsidRDefault="00CA31C2" w:rsidP="00235B1E">
      <w:pPr>
        <w:spacing w:after="0"/>
        <w:jc w:val="both"/>
        <w:rPr>
          <w:color w:val="0E101A"/>
          <w:u w:val="single"/>
        </w:rPr>
      </w:pPr>
      <w:r>
        <w:rPr>
          <w:color w:val="0E101A"/>
          <w:u w:val="single"/>
        </w:rPr>
        <w:t xml:space="preserve">Starting with the informative variable, noise variables are sequentially added, and the estimated boundaries (dashed line in </w:t>
      </w:r>
      <w:proofErr w:type="spellStart"/>
      <w:r>
        <w:rPr>
          <w:color w:val="0E101A"/>
          <w:u w:val="single"/>
        </w:rPr>
        <w:t>i</w:t>
      </w:r>
      <w:proofErr w:type="spellEnd"/>
      <w:r>
        <w:rPr>
          <w:color w:val="0E101A"/>
          <w:u w:val="single"/>
        </w:rPr>
        <w:t xml:space="preserve">) are compared with the actual ones (colored in red and blue in </w:t>
      </w:r>
      <w:proofErr w:type="spellStart"/>
      <w:r>
        <w:rPr>
          <w:color w:val="0E101A"/>
          <w:u w:val="single"/>
        </w:rPr>
        <w:t>i</w:t>
      </w:r>
      <w:proofErr w:type="spellEnd"/>
      <w:r>
        <w:rPr>
          <w:color w:val="0E101A"/>
          <w:u w:val="single"/>
        </w:rPr>
        <w:t>). The noise variables and the informative variable have the same standard error (equal to 1). The error is non-zero even without noise variables, underlining the fact that the informative variable presents significant variability</w:t>
      </w:r>
      <w:r w:rsidR="00235B1E">
        <w:rPr>
          <w:color w:val="0E101A"/>
          <w:u w:val="single"/>
        </w:rPr>
        <w:t xml:space="preserve"> </w:t>
      </w:r>
      <w:r w:rsidR="00B27153">
        <w:rPr>
          <w:color w:val="0E101A"/>
          <w:u w:val="single"/>
        </w:rPr>
        <w:t xml:space="preserve">(which often occurs in </w:t>
      </w:r>
      <w:r w:rsidR="00235B1E">
        <w:rPr>
          <w:color w:val="0E101A"/>
          <w:u w:val="single"/>
        </w:rPr>
        <w:t>real-world settings</w:t>
      </w:r>
      <w:r w:rsidR="00B27153">
        <w:rPr>
          <w:color w:val="0E101A"/>
          <w:u w:val="single"/>
        </w:rPr>
        <w:t>)</w:t>
      </w:r>
      <w:r>
        <w:rPr>
          <w:color w:val="0E101A"/>
          <w:u w:val="single"/>
        </w:rPr>
        <w:t xml:space="preserve">. The differences in means between the informative variable sub-signals (colored in </w:t>
      </w:r>
      <w:proofErr w:type="spellStart"/>
      <w:r>
        <w:rPr>
          <w:color w:val="0E101A"/>
          <w:u w:val="single"/>
        </w:rPr>
        <w:t>i</w:t>
      </w:r>
      <w:proofErr w:type="spellEnd"/>
      <w:r>
        <w:rPr>
          <w:color w:val="0E101A"/>
          <w:u w:val="single"/>
        </w:rPr>
        <w:t>) are respectively 0.6 and -0.3, thus inferior to the standard errors of noise and informative variables. As a result, the informative variable ruptures are comparable in magnitude with the noise variable variance, and identifying the actual breakpoints is not a trivial task. The error in presence of white noise and blue noise remains inferior to 4</w:t>
      </w:r>
      <w:r w:rsidR="00235B1E">
        <w:rPr>
          <w:color w:val="0E101A"/>
          <w:u w:val="single"/>
        </w:rPr>
        <w:t>5</w:t>
      </w:r>
      <w:r>
        <w:rPr>
          <w:color w:val="0E101A"/>
          <w:u w:val="single"/>
        </w:rPr>
        <w:t>m whatever the number of noise variables added. The red and pink noise caused more issues, with some strong perturbations occurring when the number of noise variables becomes high. In conclusion, when the noise presents no autocorrelation (a and b), noise variables do not perturb the estimation process. For more complex noises, when the</w:t>
      </w:r>
      <w:r w:rsidR="00235B1E">
        <w:rPr>
          <w:color w:val="0E101A"/>
          <w:u w:val="single"/>
        </w:rPr>
        <w:t>re is at least one</w:t>
      </w:r>
      <w:r>
        <w:rPr>
          <w:color w:val="0E101A"/>
          <w:u w:val="single"/>
        </w:rPr>
        <w:t xml:space="preserve"> informative variable</w:t>
      </w:r>
      <w:r w:rsidR="00235B1E">
        <w:rPr>
          <w:color w:val="0E101A"/>
          <w:u w:val="single"/>
        </w:rPr>
        <w:t xml:space="preserve"> for two noise variables,</w:t>
      </w:r>
      <w:r>
        <w:rPr>
          <w:color w:val="0E101A"/>
          <w:u w:val="single"/>
        </w:rPr>
        <w:t xml:space="preserve"> no significant perturbations were recorded</w:t>
      </w:r>
      <w:r w:rsidR="00FB2C80">
        <w:rPr>
          <w:color w:val="0E101A"/>
          <w:u w:val="single"/>
        </w:rPr>
        <w:t xml:space="preserve">. This condition should be easily </w:t>
      </w:r>
      <w:r w:rsidR="00257B30">
        <w:rPr>
          <w:color w:val="0E101A"/>
          <w:u w:val="single"/>
        </w:rPr>
        <w:t>verified</w:t>
      </w:r>
      <w:r w:rsidR="00FB2C80">
        <w:rPr>
          <w:color w:val="0E101A"/>
          <w:u w:val="single"/>
        </w:rPr>
        <w:t xml:space="preserve"> as RUBALIZ is based upon five variables and as no “purely” random variable should be included in the process.</w:t>
      </w:r>
    </w:p>
    <w:p w14:paraId="0601C435" w14:textId="0CD0DB48" w:rsidR="00235B1E" w:rsidRDefault="00235B1E" w:rsidP="00235B1E">
      <w:pPr>
        <w:spacing w:after="0"/>
        <w:jc w:val="both"/>
        <w:rPr>
          <w:rFonts w:ascii="Times New Roman" w:eastAsia="Times New Roman" w:hAnsi="Times New Roman" w:cs="Times New Roman"/>
          <w:sz w:val="24"/>
          <w:szCs w:val="24"/>
        </w:rPr>
      </w:pPr>
    </w:p>
    <w:p w14:paraId="43790B35" w14:textId="15AFD6FC" w:rsidR="00235B1E" w:rsidRDefault="00235B1E" w:rsidP="00235B1E">
      <w:pPr>
        <w:spacing w:after="0"/>
        <w:jc w:val="both"/>
        <w:rPr>
          <w:rFonts w:ascii="Times New Roman" w:eastAsia="Times New Roman" w:hAnsi="Times New Roman" w:cs="Times New Roman"/>
          <w:sz w:val="24"/>
          <w:szCs w:val="24"/>
        </w:rPr>
      </w:pPr>
    </w:p>
    <w:p w14:paraId="15D73626" w14:textId="77777777" w:rsidR="00235B1E" w:rsidRPr="00B2040A" w:rsidRDefault="00235B1E" w:rsidP="00235B1E">
      <w:pPr>
        <w:spacing w:after="0"/>
        <w:jc w:val="both"/>
        <w:rPr>
          <w:rFonts w:ascii="Times New Roman" w:eastAsia="Times New Roman" w:hAnsi="Times New Roman" w:cs="Times New Roman"/>
          <w:sz w:val="24"/>
          <w:szCs w:val="24"/>
        </w:rPr>
      </w:pPr>
    </w:p>
    <w:p w14:paraId="5769D175" w14:textId="2F63F92C" w:rsidR="00EE6F80" w:rsidRPr="00CA31C2" w:rsidRDefault="00EE6F80" w:rsidP="00EE6F80">
      <w:pPr>
        <w:spacing w:after="0" w:line="240" w:lineRule="auto"/>
        <w:ind w:right="-460"/>
        <w:jc w:val="center"/>
        <w:rPr>
          <w:rFonts w:ascii="Times New Roman" w:eastAsia="Times New Roman" w:hAnsi="Times New Roman" w:cs="Times New Roman"/>
          <w:sz w:val="24"/>
          <w:szCs w:val="24"/>
        </w:rPr>
      </w:pPr>
      <w:r w:rsidRPr="00EE6F80">
        <w:rPr>
          <w:rFonts w:ascii="Arial" w:eastAsia="Times New Roman" w:hAnsi="Arial" w:cs="Arial"/>
          <w:noProof/>
          <w:color w:val="000000"/>
          <w:bdr w:val="none" w:sz="0" w:space="0" w:color="auto" w:frame="1"/>
          <w:lang w:val="fr-FR"/>
        </w:rPr>
        <w:lastRenderedPageBreak/>
        <w:drawing>
          <wp:inline distT="0" distB="0" distL="0" distR="0" wp14:anchorId="0AEA3E6F" wp14:editId="72FCECB3">
            <wp:extent cx="3200400" cy="307657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3076575"/>
                    </a:xfrm>
                    <a:prstGeom prst="rect">
                      <a:avLst/>
                    </a:prstGeom>
                    <a:noFill/>
                    <a:ln>
                      <a:noFill/>
                    </a:ln>
                  </pic:spPr>
                </pic:pic>
              </a:graphicData>
            </a:graphic>
          </wp:inline>
        </w:drawing>
      </w:r>
    </w:p>
    <w:p w14:paraId="17B6C7B1" w14:textId="167548E7" w:rsidR="00EE6F80" w:rsidRDefault="00EE6F80" w:rsidP="00EE6F80">
      <w:pPr>
        <w:jc w:val="both"/>
        <w:rPr>
          <w:rFonts w:ascii="Times New Roman" w:eastAsia="Times New Roman" w:hAnsi="Times New Roman" w:cs="Times New Roman"/>
          <w:color w:val="000000"/>
          <w:u w:val="single"/>
        </w:rPr>
      </w:pPr>
      <w:r w:rsidRPr="00EE6F80">
        <w:rPr>
          <w:rFonts w:ascii="Times New Roman" w:eastAsia="Times New Roman" w:hAnsi="Times New Roman" w:cs="Times New Roman"/>
          <w:sz w:val="24"/>
          <w:szCs w:val="24"/>
        </w:rPr>
        <w:br/>
      </w:r>
      <w:r w:rsidRPr="00EE6F80">
        <w:rPr>
          <w:rFonts w:ascii="Times New Roman" w:eastAsia="Times New Roman" w:hAnsi="Times New Roman" w:cs="Times New Roman"/>
          <w:color w:val="000000"/>
          <w:u w:val="single"/>
        </w:rPr>
        <w:t>Figure S</w:t>
      </w:r>
      <w:r w:rsidR="00B2040A">
        <w:rPr>
          <w:rFonts w:ascii="Times New Roman" w:eastAsia="Times New Roman" w:hAnsi="Times New Roman" w:cs="Times New Roman"/>
          <w:color w:val="000000"/>
          <w:u w:val="single"/>
        </w:rPr>
        <w:t>6</w:t>
      </w:r>
      <w:r w:rsidRPr="00EE6F80">
        <w:rPr>
          <w:rFonts w:ascii="Times New Roman" w:eastAsia="Times New Roman" w:hAnsi="Times New Roman" w:cs="Times New Roman"/>
          <w:color w:val="000000"/>
          <w:u w:val="single"/>
        </w:rPr>
        <w:t>: R</w:t>
      </w:r>
      <w:r w:rsidRPr="00EE6F80">
        <w:rPr>
          <w:rFonts w:ascii="Times New Roman" w:eastAsia="Times New Roman" w:hAnsi="Times New Roman" w:cs="Times New Roman"/>
          <w:color w:val="000000"/>
          <w:u w:val="single"/>
          <w:vertAlign w:val="superscript"/>
        </w:rPr>
        <w:t>2</w:t>
      </w:r>
      <w:r w:rsidRPr="00EE6F80">
        <w:rPr>
          <w:rFonts w:ascii="Times New Roman" w:eastAsia="Times New Roman" w:hAnsi="Times New Roman" w:cs="Times New Roman"/>
          <w:color w:val="000000"/>
          <w:u w:val="single"/>
        </w:rPr>
        <w:t xml:space="preserve"> coefficients obtained using linear splines with one node on log-depth and log-PHP as a function of power law regression R2 coefficients for each station. The red line represents a situation where both methods have the same quality of fit, points above the line correspond to stations for which the spline regressions gave a better fit and conversely for points under the line.</w:t>
      </w:r>
    </w:p>
    <w:p w14:paraId="5B0158C9" w14:textId="717B8091" w:rsidR="002A46E9" w:rsidRDefault="002A46E9" w:rsidP="00EE6F80">
      <w:pPr>
        <w:jc w:val="both"/>
      </w:pPr>
    </w:p>
    <w:p w14:paraId="2A0020A8" w14:textId="463B80AA" w:rsidR="004E5068" w:rsidRPr="004E5068" w:rsidRDefault="004E5068" w:rsidP="00EE6F80">
      <w:pPr>
        <w:jc w:val="both"/>
        <w:rPr>
          <w:sz w:val="16"/>
        </w:rPr>
      </w:pPr>
      <w:r>
        <w:rPr>
          <w:rFonts w:ascii="Times New Roman" w:eastAsia="Times New Roman" w:hAnsi="Times New Roman" w:cs="Times New Roman"/>
          <w:color w:val="000000"/>
          <w:u w:val="single"/>
        </w:rPr>
        <w:t>Table</w:t>
      </w:r>
      <w:r w:rsidRPr="00EE6F80">
        <w:rPr>
          <w:rFonts w:ascii="Times New Roman" w:eastAsia="Times New Roman" w:hAnsi="Times New Roman" w:cs="Times New Roman"/>
          <w:color w:val="000000"/>
          <w:u w:val="single"/>
        </w:rPr>
        <w:t xml:space="preserve"> S</w:t>
      </w:r>
      <w:r>
        <w:rPr>
          <w:rFonts w:ascii="Times New Roman" w:eastAsia="Times New Roman" w:hAnsi="Times New Roman" w:cs="Times New Roman"/>
          <w:color w:val="000000"/>
          <w:u w:val="single"/>
        </w:rPr>
        <w:t>2</w:t>
      </w:r>
      <w:r w:rsidRPr="00EE6F80">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 xml:space="preserve">Median changes in the boundary estimations due to the withdrawal of the fluorescence and </w:t>
      </w:r>
      <w:r w:rsidRPr="00B35487">
        <w:rPr>
          <w:rFonts w:ascii="Times New Roman" w:eastAsia="Times New Roman" w:hAnsi="Times New Roman" w:cs="Times New Roman"/>
          <w:color w:val="000000"/>
          <w:u w:val="single"/>
        </w:rPr>
        <w:t>[</w:t>
      </w:r>
      <w:r w:rsidR="004F1987">
        <w:rPr>
          <w:rFonts w:ascii="Times New Roman" w:eastAsia="Times New Roman" w:hAnsi="Times New Roman" w:cs="Times New Roman"/>
          <w:color w:val="000000"/>
          <w:u w:val="single"/>
        </w:rPr>
        <w:t>O</w:t>
      </w:r>
      <w:r>
        <w:rPr>
          <w:rFonts w:ascii="Times New Roman" w:eastAsia="Times New Roman" w:hAnsi="Times New Roman" w:cs="Times New Roman"/>
          <w:color w:val="000000"/>
          <w:u w:val="single"/>
          <w:vertAlign w:val="subscript"/>
        </w:rPr>
        <w:t>2</w:t>
      </w:r>
      <w:r w:rsidRPr="00B35487">
        <w:rPr>
          <w:rFonts w:ascii="Times New Roman" w:eastAsia="Times New Roman" w:hAnsi="Times New Roman" w:cs="Times New Roman"/>
          <w:color w:val="000000"/>
          <w:u w:val="single"/>
        </w:rPr>
        <w:t>]</w:t>
      </w:r>
      <w:r>
        <w:rPr>
          <w:rFonts w:ascii="Times New Roman" w:eastAsia="Times New Roman" w:hAnsi="Times New Roman" w:cs="Times New Roman"/>
          <w:color w:val="000000"/>
          <w:u w:val="single"/>
        </w:rPr>
        <w:t xml:space="preserve"> for both upper and lower boundar</w:t>
      </w:r>
      <w:r w:rsidR="00103E09">
        <w:rPr>
          <w:rFonts w:ascii="Times New Roman" w:eastAsia="Times New Roman" w:hAnsi="Times New Roman" w:cs="Times New Roman"/>
          <w:color w:val="000000"/>
          <w:u w:val="single"/>
        </w:rPr>
        <w:t>ies</w:t>
      </w:r>
      <w:r>
        <w:rPr>
          <w:rFonts w:ascii="Times New Roman" w:eastAsia="Times New Roman" w:hAnsi="Times New Roman" w:cs="Times New Roman"/>
          <w:color w:val="000000"/>
          <w:u w:val="single"/>
        </w:rPr>
        <w:t>.</w:t>
      </w:r>
      <w:r w:rsidR="00E53B09">
        <w:rPr>
          <w:rFonts w:ascii="Times New Roman" w:eastAsia="Times New Roman" w:hAnsi="Times New Roman" w:cs="Times New Roman"/>
          <w:color w:val="000000"/>
          <w:u w:val="single"/>
        </w:rPr>
        <w:t xml:space="preserve"> In median the </w:t>
      </w:r>
      <w:r w:rsidR="00103E09">
        <w:rPr>
          <w:rFonts w:ascii="Times New Roman" w:eastAsia="Times New Roman" w:hAnsi="Times New Roman" w:cs="Times New Roman"/>
          <w:color w:val="000000"/>
          <w:u w:val="single"/>
        </w:rPr>
        <w:t xml:space="preserve">estimated </w:t>
      </w:r>
      <w:r w:rsidR="00E53B09">
        <w:rPr>
          <w:rFonts w:ascii="Times New Roman" w:eastAsia="Times New Roman" w:hAnsi="Times New Roman" w:cs="Times New Roman"/>
          <w:color w:val="000000"/>
          <w:u w:val="single"/>
        </w:rPr>
        <w:t xml:space="preserve">upper boundary </w:t>
      </w:r>
      <w:r w:rsidR="00103E09">
        <w:rPr>
          <w:rFonts w:ascii="Times New Roman" w:eastAsia="Times New Roman" w:hAnsi="Times New Roman" w:cs="Times New Roman"/>
          <w:color w:val="000000"/>
          <w:u w:val="single"/>
        </w:rPr>
        <w:t>moves by 3</w:t>
      </w:r>
      <w:r w:rsidR="006735DE">
        <w:rPr>
          <w:rFonts w:ascii="Times New Roman" w:eastAsia="Times New Roman" w:hAnsi="Times New Roman" w:cs="Times New Roman"/>
          <w:color w:val="000000"/>
          <w:u w:val="single"/>
        </w:rPr>
        <w:t>0</w:t>
      </w:r>
      <w:r w:rsidR="00103E09">
        <w:rPr>
          <w:rFonts w:ascii="Times New Roman" w:eastAsia="Times New Roman" w:hAnsi="Times New Roman" w:cs="Times New Roman"/>
          <w:color w:val="000000"/>
          <w:u w:val="single"/>
        </w:rPr>
        <w:t xml:space="preserve">m (in absolute value) when the two signals are not included and the lower boundary by </w:t>
      </w:r>
      <w:r w:rsidR="006735DE">
        <w:rPr>
          <w:rFonts w:ascii="Times New Roman" w:eastAsia="Times New Roman" w:hAnsi="Times New Roman" w:cs="Times New Roman"/>
          <w:color w:val="000000"/>
          <w:u w:val="single"/>
        </w:rPr>
        <w:t>101</w:t>
      </w:r>
      <w:r w:rsidR="00103E09">
        <w:rPr>
          <w:rFonts w:ascii="Times New Roman" w:eastAsia="Times New Roman" w:hAnsi="Times New Roman" w:cs="Times New Roman"/>
          <w:color w:val="000000"/>
          <w:u w:val="single"/>
        </w:rPr>
        <w:t>m (in absolute value).</w:t>
      </w:r>
    </w:p>
    <w:tbl>
      <w:tblPr>
        <w:tblStyle w:val="Grilledutableau"/>
        <w:tblW w:w="0" w:type="auto"/>
        <w:jc w:val="center"/>
        <w:tblLook w:val="04A0" w:firstRow="1" w:lastRow="0" w:firstColumn="1" w:lastColumn="0" w:noHBand="0" w:noVBand="1"/>
      </w:tblPr>
      <w:tblGrid>
        <w:gridCol w:w="1913"/>
        <w:gridCol w:w="1913"/>
      </w:tblGrid>
      <w:tr w:rsidR="002A46E9" w14:paraId="5F54BF91" w14:textId="77777777" w:rsidTr="00B35487">
        <w:trPr>
          <w:trHeight w:val="343"/>
          <w:jc w:val="center"/>
        </w:trPr>
        <w:tc>
          <w:tcPr>
            <w:tcW w:w="1913" w:type="dxa"/>
          </w:tcPr>
          <w:p w14:paraId="7305EA0B" w14:textId="2CB8FE54" w:rsidR="002A46E9" w:rsidRDefault="002A46E9" w:rsidP="00EE6F80">
            <w:pPr>
              <w:jc w:val="both"/>
            </w:pPr>
            <w:r>
              <w:t>Upper boundary</w:t>
            </w:r>
          </w:p>
        </w:tc>
        <w:tc>
          <w:tcPr>
            <w:tcW w:w="1913" w:type="dxa"/>
          </w:tcPr>
          <w:p w14:paraId="44F0A773" w14:textId="681F4542" w:rsidR="002A46E9" w:rsidRDefault="002A46E9" w:rsidP="00EE6F80">
            <w:pPr>
              <w:jc w:val="both"/>
            </w:pPr>
            <w:r>
              <w:t>Lower boundary</w:t>
            </w:r>
          </w:p>
        </w:tc>
      </w:tr>
      <w:tr w:rsidR="002A46E9" w14:paraId="655E0BD8" w14:textId="77777777" w:rsidTr="00B35487">
        <w:trPr>
          <w:trHeight w:val="325"/>
          <w:jc w:val="center"/>
        </w:trPr>
        <w:tc>
          <w:tcPr>
            <w:tcW w:w="1913" w:type="dxa"/>
          </w:tcPr>
          <w:p w14:paraId="514600E1" w14:textId="05B5E271" w:rsidR="002A46E9" w:rsidRDefault="002A46E9" w:rsidP="00EE6F80">
            <w:pPr>
              <w:jc w:val="both"/>
            </w:pPr>
            <w:r>
              <w:t>3</w:t>
            </w:r>
            <w:r w:rsidR="006735DE">
              <w:t>0</w:t>
            </w:r>
            <w:r>
              <w:t xml:space="preserve"> m</w:t>
            </w:r>
          </w:p>
        </w:tc>
        <w:tc>
          <w:tcPr>
            <w:tcW w:w="1913" w:type="dxa"/>
          </w:tcPr>
          <w:p w14:paraId="059CA477" w14:textId="648620B7" w:rsidR="002A46E9" w:rsidRDefault="006735DE" w:rsidP="00EE6F80">
            <w:pPr>
              <w:jc w:val="both"/>
            </w:pPr>
            <w:r>
              <w:t>101</w:t>
            </w:r>
            <w:r w:rsidR="002A46E9">
              <w:t xml:space="preserve"> m</w:t>
            </w:r>
          </w:p>
        </w:tc>
      </w:tr>
    </w:tbl>
    <w:p w14:paraId="753292FF" w14:textId="4519F6E2" w:rsidR="002A46E9" w:rsidRDefault="002A46E9" w:rsidP="004E5068">
      <w:pPr>
        <w:jc w:val="both"/>
        <w:rPr>
          <w:sz w:val="16"/>
        </w:rPr>
      </w:pPr>
    </w:p>
    <w:p w14:paraId="102118CB" w14:textId="60C0CB4E" w:rsidR="00A47F2C" w:rsidRDefault="00A47F2C" w:rsidP="004E5068">
      <w:pPr>
        <w:jc w:val="both"/>
        <w:rPr>
          <w:sz w:val="16"/>
        </w:rPr>
      </w:pPr>
    </w:p>
    <w:p w14:paraId="5F446BF1" w14:textId="00A89AD3" w:rsidR="00A47F2C" w:rsidRDefault="00A47F2C" w:rsidP="004E5068">
      <w:pPr>
        <w:jc w:val="both"/>
        <w:rPr>
          <w:rFonts w:ascii="Times New Roman" w:hAnsi="Times New Roman" w:cs="Times New Roman"/>
          <w:sz w:val="28"/>
          <w:szCs w:val="28"/>
          <w:u w:val="single"/>
        </w:rPr>
      </w:pPr>
      <w:r w:rsidRPr="00A47F2C">
        <w:rPr>
          <w:rFonts w:ascii="Times New Roman" w:hAnsi="Times New Roman" w:cs="Times New Roman"/>
          <w:sz w:val="28"/>
          <w:szCs w:val="28"/>
          <w:u w:val="single"/>
        </w:rPr>
        <w:t>Supplementary references</w:t>
      </w:r>
    </w:p>
    <w:p w14:paraId="5F482F26" w14:textId="2F6DFE7E" w:rsidR="00A47F2C" w:rsidRPr="00A47F2C" w:rsidRDefault="00A47F2C" w:rsidP="004E5068">
      <w:pPr>
        <w:jc w:val="both"/>
        <w:rPr>
          <w:rFonts w:ascii="Times New Roman" w:hAnsi="Times New Roman" w:cs="Times New Roman"/>
        </w:rPr>
      </w:pPr>
      <w:r>
        <w:rPr>
          <w:rFonts w:ascii="Arial" w:hAnsi="Arial" w:cs="Arial"/>
          <w:color w:val="222222"/>
          <w:sz w:val="20"/>
          <w:szCs w:val="20"/>
          <w:shd w:val="clear" w:color="auto" w:fill="FFFFFF"/>
        </w:rPr>
        <w:t>Timmer, J., &amp; Koenig, M. (1995). On generating power law noise. </w:t>
      </w:r>
      <w:r>
        <w:rPr>
          <w:rFonts w:ascii="Arial" w:hAnsi="Arial" w:cs="Arial"/>
          <w:i/>
          <w:iCs/>
          <w:color w:val="222222"/>
          <w:sz w:val="20"/>
          <w:szCs w:val="20"/>
          <w:shd w:val="clear" w:color="auto" w:fill="FFFFFF"/>
        </w:rPr>
        <w:t>Astronomy and Astrophysics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300</w:t>
      </w:r>
      <w:r>
        <w:rPr>
          <w:rFonts w:ascii="Arial" w:hAnsi="Arial" w:cs="Arial"/>
          <w:color w:val="222222"/>
          <w:sz w:val="20"/>
          <w:szCs w:val="20"/>
          <w:shd w:val="clear" w:color="auto" w:fill="FFFFFF"/>
        </w:rPr>
        <w:t>, 707.</w:t>
      </w:r>
    </w:p>
    <w:sectPr w:rsidR="00A47F2C" w:rsidRPr="00A47F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756E" w14:textId="77777777" w:rsidR="00685E76" w:rsidRDefault="00685E76" w:rsidP="00243251">
      <w:pPr>
        <w:spacing w:after="0" w:line="240" w:lineRule="auto"/>
      </w:pPr>
      <w:r>
        <w:separator/>
      </w:r>
    </w:p>
  </w:endnote>
  <w:endnote w:type="continuationSeparator" w:id="0">
    <w:p w14:paraId="6306DA40" w14:textId="77777777" w:rsidR="00685E76" w:rsidRDefault="00685E76" w:rsidP="0024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5C1D" w14:textId="77777777" w:rsidR="00685E76" w:rsidRDefault="00685E76" w:rsidP="00243251">
      <w:pPr>
        <w:spacing w:after="0" w:line="240" w:lineRule="auto"/>
      </w:pPr>
      <w:r>
        <w:separator/>
      </w:r>
    </w:p>
  </w:footnote>
  <w:footnote w:type="continuationSeparator" w:id="0">
    <w:p w14:paraId="19190220" w14:textId="77777777" w:rsidR="00685E76" w:rsidRDefault="00685E76" w:rsidP="00243251">
      <w:pPr>
        <w:spacing w:after="0" w:line="240" w:lineRule="auto"/>
      </w:pPr>
      <w:r>
        <w:continuationSeparator/>
      </w:r>
    </w:p>
  </w:footnote>
  <w:footnote w:id="1">
    <w:p w14:paraId="565AE391" w14:textId="22A59373" w:rsidR="00E43622" w:rsidRPr="00E43622" w:rsidRDefault="00E43622" w:rsidP="00E43622">
      <w:pPr>
        <w:spacing w:after="0" w:line="240" w:lineRule="auto"/>
        <w:ind w:left="720"/>
        <w:rPr>
          <w:rFonts w:ascii="Times New Roman" w:eastAsia="Times New Roman" w:hAnsi="Times New Roman" w:cs="Times New Roman"/>
          <w:sz w:val="24"/>
          <w:szCs w:val="24"/>
        </w:rPr>
      </w:pPr>
      <w:r w:rsidRPr="00FA3695">
        <w:rPr>
          <w:rStyle w:val="Appelnotedebasdep"/>
        </w:rPr>
        <w:footnoteRef/>
      </w:r>
      <w:r>
        <w:t xml:space="preserve"> Adapted from </w:t>
      </w:r>
      <w:hyperlink r:id="rId1" w:history="1">
        <w:r w:rsidRPr="00C12519">
          <w:rPr>
            <w:rStyle w:val="Lienhypertexte"/>
          </w:rPr>
          <w:t>http://www.statistics4u.com/fundstat_eng/cc_noise_types.html</w:t>
        </w:r>
      </w:hyperlink>
      <w:r>
        <w:t xml:space="preserve"> (</w:t>
      </w:r>
      <w:r w:rsidR="00A80DDD">
        <w:t xml:space="preserve">last consulted on </w:t>
      </w:r>
      <w:r>
        <w:t>29/08/2022)</w:t>
      </w:r>
    </w:p>
    <w:p w14:paraId="56A7F20F" w14:textId="55D001D6" w:rsidR="00E43622" w:rsidRPr="00E43622" w:rsidRDefault="00E43622" w:rsidP="00E43622">
      <w:pPr>
        <w:numPr>
          <w:ilvl w:val="0"/>
          <w:numId w:val="1"/>
        </w:numPr>
        <w:spacing w:after="0" w:line="240" w:lineRule="auto"/>
        <w:rPr>
          <w:rFonts w:ascii="Times New Roman" w:eastAsia="Times New Roman" w:hAnsi="Times New Roman" w:cs="Times New Roman"/>
          <w:sz w:val="24"/>
          <w:szCs w:val="24"/>
        </w:rPr>
      </w:pPr>
      <w:r w:rsidRPr="00E43622">
        <w:rPr>
          <w:rFonts w:ascii="Times New Roman" w:eastAsia="Times New Roman" w:hAnsi="Times New Roman" w:cs="Times New Roman"/>
          <w:b/>
          <w:bCs/>
          <w:sz w:val="24"/>
          <w:szCs w:val="24"/>
        </w:rPr>
        <w:t>white noise</w:t>
      </w:r>
      <w:r w:rsidRPr="00E436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Independent draws from a Gaussian distribution </w:t>
      </w:r>
    </w:p>
    <w:p w14:paraId="03FE1D38" w14:textId="102F7FE7" w:rsidR="00E43622" w:rsidRPr="00E43622" w:rsidRDefault="00E43622" w:rsidP="004405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3622">
        <w:rPr>
          <w:rFonts w:ascii="Times New Roman" w:eastAsia="Times New Roman" w:hAnsi="Times New Roman" w:cs="Times New Roman"/>
          <w:b/>
          <w:bCs/>
          <w:sz w:val="24"/>
          <w:szCs w:val="24"/>
        </w:rPr>
        <w:t>pink noise</w:t>
      </w:r>
      <w:r w:rsidRPr="00E43622">
        <w:rPr>
          <w:rFonts w:ascii="Times New Roman" w:eastAsia="Times New Roman" w:hAnsi="Times New Roman" w:cs="Times New Roman"/>
          <w:sz w:val="24"/>
          <w:szCs w:val="24"/>
        </w:rPr>
        <w:t xml:space="preserve">: </w:t>
      </w:r>
      <w:r w:rsidR="00440584">
        <w:rPr>
          <w:rFonts w:ascii="Times New Roman" w:eastAsia="Times New Roman" w:hAnsi="Times New Roman" w:cs="Times New Roman"/>
          <w:sz w:val="24"/>
          <w:szCs w:val="24"/>
        </w:rPr>
        <w:t>T</w:t>
      </w:r>
      <w:r w:rsidRPr="00E43622">
        <w:rPr>
          <w:rFonts w:ascii="Times New Roman" w:eastAsia="Times New Roman" w:hAnsi="Times New Roman" w:cs="Times New Roman"/>
          <w:sz w:val="24"/>
          <w:szCs w:val="24"/>
        </w:rPr>
        <w:t>he intensity of the noise decreases with the frequency</w:t>
      </w:r>
    </w:p>
    <w:p w14:paraId="46B392CF" w14:textId="0ACA1C90" w:rsidR="00E43622" w:rsidRPr="00E43622" w:rsidRDefault="00E43622" w:rsidP="00E436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3622">
        <w:rPr>
          <w:rFonts w:ascii="Times New Roman" w:eastAsia="Times New Roman" w:hAnsi="Times New Roman" w:cs="Times New Roman"/>
          <w:b/>
          <w:bCs/>
          <w:sz w:val="24"/>
          <w:szCs w:val="24"/>
        </w:rPr>
        <w:t>red noise</w:t>
      </w:r>
      <w:r w:rsidRPr="00E43622">
        <w:rPr>
          <w:rFonts w:ascii="Times New Roman" w:eastAsia="Times New Roman" w:hAnsi="Times New Roman" w:cs="Times New Roman"/>
          <w:sz w:val="24"/>
          <w:szCs w:val="24"/>
        </w:rPr>
        <w:t xml:space="preserve">: </w:t>
      </w:r>
      <w:r w:rsidR="00440584">
        <w:rPr>
          <w:rFonts w:ascii="Times New Roman" w:eastAsia="Times New Roman" w:hAnsi="Times New Roman" w:cs="Times New Roman"/>
          <w:sz w:val="24"/>
          <w:szCs w:val="24"/>
        </w:rPr>
        <w:t>M</w:t>
      </w:r>
      <w:r w:rsidRPr="00E43622">
        <w:rPr>
          <w:rFonts w:ascii="Times New Roman" w:eastAsia="Times New Roman" w:hAnsi="Times New Roman" w:cs="Times New Roman"/>
          <w:sz w:val="24"/>
          <w:szCs w:val="24"/>
        </w:rPr>
        <w:t>ore of low frequency than the average</w:t>
      </w:r>
    </w:p>
    <w:p w14:paraId="7213E224" w14:textId="1FE6C52B" w:rsidR="00E43622" w:rsidRPr="00E43622" w:rsidRDefault="00E43622" w:rsidP="00E436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3622">
        <w:rPr>
          <w:rFonts w:ascii="Times New Roman" w:eastAsia="Times New Roman" w:hAnsi="Times New Roman" w:cs="Times New Roman"/>
          <w:b/>
          <w:bCs/>
          <w:sz w:val="24"/>
          <w:szCs w:val="24"/>
        </w:rPr>
        <w:t>blue noise</w:t>
      </w:r>
      <w:r w:rsidRPr="00E43622">
        <w:rPr>
          <w:rFonts w:ascii="Times New Roman" w:eastAsia="Times New Roman" w:hAnsi="Times New Roman" w:cs="Times New Roman"/>
          <w:sz w:val="24"/>
          <w:szCs w:val="24"/>
        </w:rPr>
        <w:t xml:space="preserve">: </w:t>
      </w:r>
      <w:r w:rsidR="00440584">
        <w:rPr>
          <w:rFonts w:ascii="Times New Roman" w:eastAsia="Times New Roman" w:hAnsi="Times New Roman" w:cs="Times New Roman"/>
          <w:sz w:val="24"/>
          <w:szCs w:val="24"/>
        </w:rPr>
        <w:t>M</w:t>
      </w:r>
      <w:r w:rsidRPr="00E43622">
        <w:rPr>
          <w:rFonts w:ascii="Times New Roman" w:eastAsia="Times New Roman" w:hAnsi="Times New Roman" w:cs="Times New Roman"/>
          <w:sz w:val="24"/>
          <w:szCs w:val="24"/>
        </w:rPr>
        <w:t>ore of high frequency than the average</w:t>
      </w:r>
    </w:p>
    <w:p w14:paraId="6DB3EB12" w14:textId="0E706A31" w:rsidR="00E43622" w:rsidRPr="00E43622" w:rsidRDefault="00E43622">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B38AE"/>
    <w:multiLevelType w:val="multilevel"/>
    <w:tmpl w:val="35F6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398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34"/>
    <w:rsid w:val="00067B32"/>
    <w:rsid w:val="000C6E25"/>
    <w:rsid w:val="000D3B7F"/>
    <w:rsid w:val="00103E09"/>
    <w:rsid w:val="00152834"/>
    <w:rsid w:val="001E2A2A"/>
    <w:rsid w:val="001F5835"/>
    <w:rsid w:val="00205CFB"/>
    <w:rsid w:val="00222AE4"/>
    <w:rsid w:val="002244B8"/>
    <w:rsid w:val="00227670"/>
    <w:rsid w:val="00235B1E"/>
    <w:rsid w:val="00243251"/>
    <w:rsid w:val="00257B30"/>
    <w:rsid w:val="00272BBB"/>
    <w:rsid w:val="002A46E9"/>
    <w:rsid w:val="002F602C"/>
    <w:rsid w:val="00335786"/>
    <w:rsid w:val="003D032A"/>
    <w:rsid w:val="00414050"/>
    <w:rsid w:val="0042617B"/>
    <w:rsid w:val="00440584"/>
    <w:rsid w:val="004D6920"/>
    <w:rsid w:val="004E5068"/>
    <w:rsid w:val="004F1987"/>
    <w:rsid w:val="00626466"/>
    <w:rsid w:val="006735DE"/>
    <w:rsid w:val="00685E76"/>
    <w:rsid w:val="007173AD"/>
    <w:rsid w:val="00744DB3"/>
    <w:rsid w:val="007B311F"/>
    <w:rsid w:val="00864219"/>
    <w:rsid w:val="008E526B"/>
    <w:rsid w:val="00903AF7"/>
    <w:rsid w:val="009074A4"/>
    <w:rsid w:val="00951BB2"/>
    <w:rsid w:val="00A47F2C"/>
    <w:rsid w:val="00A577EE"/>
    <w:rsid w:val="00A80DDD"/>
    <w:rsid w:val="00A97450"/>
    <w:rsid w:val="00AD63AE"/>
    <w:rsid w:val="00B1604E"/>
    <w:rsid w:val="00B2040A"/>
    <w:rsid w:val="00B27153"/>
    <w:rsid w:val="00B279B4"/>
    <w:rsid w:val="00B35487"/>
    <w:rsid w:val="00B90A84"/>
    <w:rsid w:val="00BD67FA"/>
    <w:rsid w:val="00C21D0D"/>
    <w:rsid w:val="00C97634"/>
    <w:rsid w:val="00CA31C2"/>
    <w:rsid w:val="00CC636B"/>
    <w:rsid w:val="00CE695F"/>
    <w:rsid w:val="00D73058"/>
    <w:rsid w:val="00DA368B"/>
    <w:rsid w:val="00DA5B2A"/>
    <w:rsid w:val="00DB3D85"/>
    <w:rsid w:val="00DC0693"/>
    <w:rsid w:val="00E43622"/>
    <w:rsid w:val="00E53B09"/>
    <w:rsid w:val="00E6218C"/>
    <w:rsid w:val="00E87745"/>
    <w:rsid w:val="00EA26B9"/>
    <w:rsid w:val="00EB477F"/>
    <w:rsid w:val="00EE6F80"/>
    <w:rsid w:val="00F87F06"/>
    <w:rsid w:val="00FA3695"/>
    <w:rsid w:val="00FB2AC4"/>
    <w:rsid w:val="00FB2C80"/>
    <w:rsid w:val="00FF65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3396C"/>
  <w15:chartTrackingRefBased/>
  <w15:docId w15:val="{55D178C1-76FA-4D89-9F63-69CB99E8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450"/>
    <w:pPr>
      <w:spacing w:line="256" w:lineRule="auto"/>
    </w:pPr>
    <w:rPr>
      <w:rFonts w:ascii="Calibri" w:eastAsia="Calibri" w:hAnsi="Calibri" w:cs="Calibri"/>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97450"/>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Commentaire">
    <w:name w:val="annotation text"/>
    <w:basedOn w:val="Normal"/>
    <w:link w:val="CommentaireCar"/>
    <w:uiPriority w:val="99"/>
    <w:unhideWhenUsed/>
    <w:rsid w:val="00A97450"/>
    <w:pPr>
      <w:spacing w:line="240" w:lineRule="auto"/>
    </w:pPr>
    <w:rPr>
      <w:sz w:val="20"/>
      <w:szCs w:val="20"/>
    </w:rPr>
  </w:style>
  <w:style w:type="character" w:customStyle="1" w:styleId="CommentaireCar">
    <w:name w:val="Commentaire Car"/>
    <w:basedOn w:val="Policepardfaut"/>
    <w:link w:val="Commentaire"/>
    <w:uiPriority w:val="99"/>
    <w:rsid w:val="00A97450"/>
    <w:rPr>
      <w:rFonts w:ascii="Calibri" w:eastAsia="Calibri" w:hAnsi="Calibri" w:cs="Calibri"/>
      <w:sz w:val="20"/>
      <w:szCs w:val="20"/>
      <w:lang w:val="en-US" w:eastAsia="fr-FR"/>
    </w:rPr>
  </w:style>
  <w:style w:type="character" w:styleId="Marquedecommentaire">
    <w:name w:val="annotation reference"/>
    <w:basedOn w:val="Policepardfaut"/>
    <w:uiPriority w:val="99"/>
    <w:semiHidden/>
    <w:unhideWhenUsed/>
    <w:rsid w:val="00A97450"/>
    <w:rPr>
      <w:sz w:val="16"/>
      <w:szCs w:val="16"/>
    </w:rPr>
  </w:style>
  <w:style w:type="paragraph" w:styleId="En-tte">
    <w:name w:val="header"/>
    <w:basedOn w:val="Normal"/>
    <w:link w:val="En-tteCar"/>
    <w:uiPriority w:val="99"/>
    <w:unhideWhenUsed/>
    <w:rsid w:val="00243251"/>
    <w:pPr>
      <w:tabs>
        <w:tab w:val="center" w:pos="4536"/>
        <w:tab w:val="right" w:pos="9072"/>
      </w:tabs>
      <w:spacing w:after="0" w:line="240" w:lineRule="auto"/>
    </w:pPr>
  </w:style>
  <w:style w:type="character" w:customStyle="1" w:styleId="En-tteCar">
    <w:name w:val="En-tête Car"/>
    <w:basedOn w:val="Policepardfaut"/>
    <w:link w:val="En-tte"/>
    <w:uiPriority w:val="99"/>
    <w:rsid w:val="00243251"/>
    <w:rPr>
      <w:rFonts w:ascii="Calibri" w:eastAsia="Calibri" w:hAnsi="Calibri" w:cs="Calibri"/>
      <w:lang w:val="en-US" w:eastAsia="fr-FR"/>
    </w:rPr>
  </w:style>
  <w:style w:type="paragraph" w:styleId="Pieddepage">
    <w:name w:val="footer"/>
    <w:basedOn w:val="Normal"/>
    <w:link w:val="PieddepageCar"/>
    <w:uiPriority w:val="99"/>
    <w:unhideWhenUsed/>
    <w:rsid w:val="002432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3251"/>
    <w:rPr>
      <w:rFonts w:ascii="Calibri" w:eastAsia="Calibri" w:hAnsi="Calibri" w:cs="Calibri"/>
      <w:lang w:val="en-US" w:eastAsia="fr-FR"/>
    </w:rPr>
  </w:style>
  <w:style w:type="paragraph" w:styleId="Objetducommentaire">
    <w:name w:val="annotation subject"/>
    <w:basedOn w:val="Commentaire"/>
    <w:next w:val="Commentaire"/>
    <w:link w:val="ObjetducommentaireCar"/>
    <w:uiPriority w:val="99"/>
    <w:semiHidden/>
    <w:unhideWhenUsed/>
    <w:rsid w:val="00DC0693"/>
    <w:rPr>
      <w:b/>
      <w:bCs/>
    </w:rPr>
  </w:style>
  <w:style w:type="character" w:customStyle="1" w:styleId="ObjetducommentaireCar">
    <w:name w:val="Objet du commentaire Car"/>
    <w:basedOn w:val="CommentaireCar"/>
    <w:link w:val="Objetducommentaire"/>
    <w:uiPriority w:val="99"/>
    <w:semiHidden/>
    <w:rsid w:val="00DC0693"/>
    <w:rPr>
      <w:rFonts w:ascii="Calibri" w:eastAsia="Calibri" w:hAnsi="Calibri" w:cs="Calibri"/>
      <w:b/>
      <w:bCs/>
      <w:sz w:val="20"/>
      <w:szCs w:val="20"/>
      <w:lang w:val="en-US" w:eastAsia="fr-FR"/>
    </w:rPr>
  </w:style>
  <w:style w:type="paragraph" w:styleId="Textedebulles">
    <w:name w:val="Balloon Text"/>
    <w:basedOn w:val="Normal"/>
    <w:link w:val="TextedebullesCar"/>
    <w:uiPriority w:val="99"/>
    <w:semiHidden/>
    <w:unhideWhenUsed/>
    <w:rsid w:val="00DC06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0693"/>
    <w:rPr>
      <w:rFonts w:ascii="Segoe UI" w:eastAsia="Calibri" w:hAnsi="Segoe UI" w:cs="Segoe UI"/>
      <w:sz w:val="18"/>
      <w:szCs w:val="18"/>
      <w:lang w:val="en-US" w:eastAsia="fr-FR"/>
    </w:rPr>
  </w:style>
  <w:style w:type="table" w:styleId="Grilledutableau">
    <w:name w:val="Table Grid"/>
    <w:basedOn w:val="TableauNormal"/>
    <w:uiPriority w:val="39"/>
    <w:rsid w:val="002A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436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3622"/>
    <w:rPr>
      <w:rFonts w:ascii="Calibri" w:eastAsia="Calibri" w:hAnsi="Calibri" w:cs="Calibri"/>
      <w:sz w:val="20"/>
      <w:szCs w:val="20"/>
      <w:lang w:val="en-US" w:eastAsia="fr-FR"/>
    </w:rPr>
  </w:style>
  <w:style w:type="character" w:styleId="Appelnotedebasdep">
    <w:name w:val="footnote reference"/>
    <w:basedOn w:val="Policepardfaut"/>
    <w:uiPriority w:val="99"/>
    <w:semiHidden/>
    <w:unhideWhenUsed/>
    <w:rsid w:val="00E43622"/>
    <w:rPr>
      <w:vertAlign w:val="superscript"/>
    </w:rPr>
  </w:style>
  <w:style w:type="character" w:styleId="Lienhypertexte">
    <w:name w:val="Hyperlink"/>
    <w:basedOn w:val="Policepardfaut"/>
    <w:uiPriority w:val="99"/>
    <w:unhideWhenUsed/>
    <w:rsid w:val="00E43622"/>
    <w:rPr>
      <w:color w:val="0563C1" w:themeColor="hyperlink"/>
      <w:u w:val="single"/>
    </w:rPr>
  </w:style>
  <w:style w:type="character" w:styleId="Mentionnonrsolue">
    <w:name w:val="Unresolved Mention"/>
    <w:basedOn w:val="Policepardfaut"/>
    <w:uiPriority w:val="99"/>
    <w:semiHidden/>
    <w:unhideWhenUsed/>
    <w:rsid w:val="00E43622"/>
    <w:rPr>
      <w:color w:val="605E5C"/>
      <w:shd w:val="clear" w:color="auto" w:fill="E1DFDD"/>
    </w:rPr>
  </w:style>
  <w:style w:type="character" w:styleId="Appeldenotedefin">
    <w:name w:val="endnote reference"/>
    <w:basedOn w:val="Policepardfaut"/>
    <w:uiPriority w:val="99"/>
    <w:semiHidden/>
    <w:unhideWhenUsed/>
    <w:rsid w:val="00FA3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1732">
      <w:bodyDiv w:val="1"/>
      <w:marLeft w:val="0"/>
      <w:marRight w:val="0"/>
      <w:marTop w:val="0"/>
      <w:marBottom w:val="0"/>
      <w:divBdr>
        <w:top w:val="none" w:sz="0" w:space="0" w:color="auto"/>
        <w:left w:val="none" w:sz="0" w:space="0" w:color="auto"/>
        <w:bottom w:val="none" w:sz="0" w:space="0" w:color="auto"/>
        <w:right w:val="none" w:sz="0" w:space="0" w:color="auto"/>
      </w:divBdr>
    </w:div>
    <w:div w:id="452210012">
      <w:bodyDiv w:val="1"/>
      <w:marLeft w:val="0"/>
      <w:marRight w:val="0"/>
      <w:marTop w:val="0"/>
      <w:marBottom w:val="0"/>
      <w:divBdr>
        <w:top w:val="none" w:sz="0" w:space="0" w:color="auto"/>
        <w:left w:val="none" w:sz="0" w:space="0" w:color="auto"/>
        <w:bottom w:val="none" w:sz="0" w:space="0" w:color="auto"/>
        <w:right w:val="none" w:sz="0" w:space="0" w:color="auto"/>
      </w:divBdr>
    </w:div>
    <w:div w:id="518348361">
      <w:bodyDiv w:val="1"/>
      <w:marLeft w:val="0"/>
      <w:marRight w:val="0"/>
      <w:marTop w:val="0"/>
      <w:marBottom w:val="0"/>
      <w:divBdr>
        <w:top w:val="none" w:sz="0" w:space="0" w:color="auto"/>
        <w:left w:val="none" w:sz="0" w:space="0" w:color="auto"/>
        <w:bottom w:val="none" w:sz="0" w:space="0" w:color="auto"/>
        <w:right w:val="none" w:sz="0" w:space="0" w:color="auto"/>
      </w:divBdr>
    </w:div>
    <w:div w:id="580481599">
      <w:bodyDiv w:val="1"/>
      <w:marLeft w:val="0"/>
      <w:marRight w:val="0"/>
      <w:marTop w:val="0"/>
      <w:marBottom w:val="0"/>
      <w:divBdr>
        <w:top w:val="none" w:sz="0" w:space="0" w:color="auto"/>
        <w:left w:val="none" w:sz="0" w:space="0" w:color="auto"/>
        <w:bottom w:val="none" w:sz="0" w:space="0" w:color="auto"/>
        <w:right w:val="none" w:sz="0" w:space="0" w:color="auto"/>
      </w:divBdr>
    </w:div>
    <w:div w:id="1034841296">
      <w:bodyDiv w:val="1"/>
      <w:marLeft w:val="0"/>
      <w:marRight w:val="0"/>
      <w:marTop w:val="0"/>
      <w:marBottom w:val="0"/>
      <w:divBdr>
        <w:top w:val="none" w:sz="0" w:space="0" w:color="auto"/>
        <w:left w:val="none" w:sz="0" w:space="0" w:color="auto"/>
        <w:bottom w:val="none" w:sz="0" w:space="0" w:color="auto"/>
        <w:right w:val="none" w:sz="0" w:space="0" w:color="auto"/>
      </w:divBdr>
    </w:div>
    <w:div w:id="1172453985">
      <w:bodyDiv w:val="1"/>
      <w:marLeft w:val="0"/>
      <w:marRight w:val="0"/>
      <w:marTop w:val="0"/>
      <w:marBottom w:val="0"/>
      <w:divBdr>
        <w:top w:val="none" w:sz="0" w:space="0" w:color="auto"/>
        <w:left w:val="none" w:sz="0" w:space="0" w:color="auto"/>
        <w:bottom w:val="none" w:sz="0" w:space="0" w:color="auto"/>
        <w:right w:val="none" w:sz="0" w:space="0" w:color="auto"/>
      </w:divBdr>
    </w:div>
    <w:div w:id="1749110102">
      <w:bodyDiv w:val="1"/>
      <w:marLeft w:val="0"/>
      <w:marRight w:val="0"/>
      <w:marTop w:val="0"/>
      <w:marBottom w:val="0"/>
      <w:divBdr>
        <w:top w:val="none" w:sz="0" w:space="0" w:color="auto"/>
        <w:left w:val="none" w:sz="0" w:space="0" w:color="auto"/>
        <w:bottom w:val="none" w:sz="0" w:space="0" w:color="auto"/>
        <w:right w:val="none" w:sz="0" w:space="0" w:color="auto"/>
      </w:divBdr>
    </w:div>
    <w:div w:id="1752387749">
      <w:bodyDiv w:val="1"/>
      <w:marLeft w:val="0"/>
      <w:marRight w:val="0"/>
      <w:marTop w:val="0"/>
      <w:marBottom w:val="0"/>
      <w:divBdr>
        <w:top w:val="none" w:sz="0" w:space="0" w:color="auto"/>
        <w:left w:val="none" w:sz="0" w:space="0" w:color="auto"/>
        <w:bottom w:val="none" w:sz="0" w:space="0" w:color="auto"/>
        <w:right w:val="none" w:sz="0" w:space="0" w:color="auto"/>
      </w:divBdr>
    </w:div>
    <w:div w:id="20345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tatistics4u.com/fundstat_eng/cc_noise_typ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FD177-AC50-4268-BA2F-0BB45D2B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801</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Baumas</dc:creator>
  <cp:keywords/>
  <dc:description/>
  <cp:lastModifiedBy>Chloe Baumas</cp:lastModifiedBy>
  <cp:revision>19</cp:revision>
  <dcterms:created xsi:type="dcterms:W3CDTF">2022-07-15T16:18:00Z</dcterms:created>
  <dcterms:modified xsi:type="dcterms:W3CDTF">2022-10-01T13:20:00Z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http://www.zotero.org/styles/limnology-and-oceanography</vt:lpwstr>
  </property>
  <property fmtid="{D5CDD505-2E9C-101B-9397-08002B2CF9AE}" pid="15" name="Mendeley Recent Style Name 6_1">
    <vt:lpwstr>Limnology and Oceanography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