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A3DB9" w14:textId="77777777" w:rsidR="00690EFC" w:rsidRDefault="00690EFC" w:rsidP="00690EFC">
      <w:pPr>
        <w:pStyle w:val="Ttulo1"/>
      </w:pPr>
      <w:r>
        <w:t>Supplementary Material</w:t>
      </w:r>
    </w:p>
    <w:p w14:paraId="46AE8DF7" w14:textId="77777777" w:rsidR="00690EFC" w:rsidRPr="0070544D" w:rsidRDefault="00690EFC" w:rsidP="00690EFC">
      <w:pPr>
        <w:rPr>
          <w:lang w:val="pt-BR"/>
        </w:rPr>
      </w:pPr>
      <w:bookmarkStart w:id="0" w:name="_Hlk101859561"/>
      <w:r w:rsidRPr="00A7650D">
        <w:t xml:space="preserve">Supplementary Figure 1: Map of the </w:t>
      </w:r>
      <w:bookmarkEnd w:id="0"/>
      <w:r w:rsidRPr="00A7650D">
        <w:t xml:space="preserve">sediment classification of the northeastern Brazil coast and zone A (dominated by sand) and zone B (where complex substrates such as calcareous algae and reefs occur more). </w:t>
      </w:r>
      <w:r w:rsidRPr="00D06BCD">
        <w:rPr>
          <w:lang w:val="pt-BR"/>
        </w:rPr>
        <w:t xml:space="preserve">AL: Alagoas; PB: </w:t>
      </w:r>
      <w:proofErr w:type="spellStart"/>
      <w:r w:rsidRPr="00D06BCD">
        <w:rPr>
          <w:lang w:val="pt-BR"/>
        </w:rPr>
        <w:t>Paraiba</w:t>
      </w:r>
      <w:proofErr w:type="spellEnd"/>
      <w:r w:rsidRPr="00D06BCD">
        <w:rPr>
          <w:lang w:val="pt-BR"/>
        </w:rPr>
        <w:t xml:space="preserve">; PE: Pernambuco; RN: Rio Grande do Norte. </w:t>
      </w:r>
      <w:r w:rsidRPr="00A7650D">
        <w:t>The sedimentological data were compiled from the Brazilian National Oceanographic Data Bank (BNDO) and litera</w:t>
      </w:r>
      <w:r>
        <w:t>t</w:t>
      </w:r>
      <w:r w:rsidRPr="00A7650D">
        <w:t>u</w:t>
      </w:r>
      <w:r>
        <w:t>r</w:t>
      </w:r>
      <w:r w:rsidRPr="00A7650D">
        <w:t>e</w:t>
      </w:r>
      <w:r w:rsidRPr="00B52EEE">
        <w:fldChar w:fldCharType="begin"/>
      </w:r>
      <w:r w:rsidRPr="00B52EEE">
        <w:instrText xml:space="preserve"> ADDIN ZOTERO_ITEM CSL_CITATION {"citationID":"n2erPTZ3","properties":{"formattedCitation":"(Amaral and Santos, 2015; ASSIS et al., 2016; Assis et al., 2015; Vital et al., 2005)","plainCitation":"(Amaral and Santos, 2015; ASSIS et al., 2016; Assis et al., 2015; Vital et al., 2005)","noteIndex":0},"citationItems":[{"id":1736,"uris":["http://zotero.org/users/4871981/items/7M5LIC5M"],"itemData":{"id":1736,"type":"map","genre":"mapa color.,73,25 x71,99cm","note":"publisher: CPRM","scale":"1:100.000","source":"Google Scholar","title":"Carta textural da plataforma continental rasa do estado de Rio Grande do Norte-setor Touro","author":[{"family":"Amaral","given":"Ricardo Farias","dropping-particle":"do"},{"family":"Santos","given":"Jonas Ricardo","dropping-particle":"dos"}],"issued":{"date-parts":[["2015"]]}}},{"id":1734,"uris":["http://zotero.org/users/4871981/items/KFF66GXY"],"itemData":{"id":1734,"type":"map","note":"publisher: CPRM","publisher":"Recife CPRM","source":"Google Scholar","title":"Carta textural e geomorfológica da Plataforma Rasa de Alagoas, setor Maceió Oeste","author":[{"family":"ASSIS","given":"Hortencia Maria Barboza","dropping-particle":"de"},{"family":"LOPES","given":"Holly"},{"family":"GOMES","given":"Ronaldo Bezerra"},{"family":"SALVIANO","given":"Katiane dos Santos"},{"family":"VALLE","given":"Marcio Martins"},{"family":"OLIVEIRA","given":"Patícia Reis Alencar"},{"family":"MOURA","given":"Luiz Paulo"}],"issued":{"date-parts":[["2016"]]}}},{"id":1363,"uris":["http://zotero.org/users/4871981/items/9FHHSIF6"],"itemData":{"id":1363,"type":"article-journal","note":"publisher: CPRM","source":"Google Scholar","title":"Carta de caracterização dos agregados marinhos da plataforma continental rasa do estado de Pernambuco","author":[{"family":"Assis","given":"Hortencia Maria Barboza","dropping-particle":"de"},{"family":"Valle","given":"Marcio Martins"},{"family":"Gomes","given":"Ronaldo Bezerra"},{"family":"Salviano","given":"Katiane dos Santos"},{"family":"Pereira","given":"Ludmila Bernardo Farias"}],"issued":{"date-parts":[["2015"]]}}},{"id":1738,"uris":["http://zotero.org/users/4871981/items/B3XNE7W6"],"itemData":{"id":1738,"type":"article-journal","container-title":"Revista Brasileira de Geofísica","issue":"3","note":"publisher: SciELO Brasil","page":"233–241","source":"Google Scholar","title":"Carta sedimentólogica da plataforma continental brasileira: área Guamaré a Macau (NE Brasil), utilizando integração de dados geológicos e sensoriamento remoto","title-short":"Carta sedimentólogica da plataforma continental brasileira","volume":"23","author":[{"family":"Vital","given":"Helenice"},{"family":"Silveira","given":"Iracema Miranda","dropping-particle":"da"},{"family":"Amaro","given":"Venerando Eustáquio"}],"issued":{"date-parts":[["2005"]]}}}],"schema":"https://github.com/citation-style-language/schema/raw/master/csl-citation.json"} </w:instrText>
      </w:r>
      <w:r w:rsidRPr="00B52EEE">
        <w:fldChar w:fldCharType="separate"/>
      </w:r>
      <w:r w:rsidRPr="00B52EEE">
        <w:t xml:space="preserve">(Amaral and Santos, 2015; </w:t>
      </w:r>
      <w:proofErr w:type="spellStart"/>
      <w:r w:rsidRPr="00B52EEE">
        <w:t>Assiset</w:t>
      </w:r>
      <w:proofErr w:type="spellEnd"/>
      <w:r w:rsidRPr="00B52EEE">
        <w:t xml:space="preserve"> al., 2016; Assis et al., 2015; Vital et al., 2005)</w:t>
      </w:r>
      <w:r w:rsidRPr="00B52EEE">
        <w:fldChar w:fldCharType="end"/>
      </w:r>
      <w:r w:rsidRPr="00A7650D">
        <w:t xml:space="preserve"> (Assis et al., 2015, 2016, Amaral et al., 2015, Vital et al., 2005) with information about the sediment composition (i.e., percent of mud, sand, and gravel). The sediment data were categorized attributing distinct numbers 1 to 9 to each sediment class and then interpolated, with the same spatial resolution of 100 m, using the natural neighbor technique, to generate a textural classification map according to (</w:t>
      </w:r>
      <w:proofErr w:type="spellStart"/>
      <w:r w:rsidRPr="00A7650D">
        <w:t>Lucatelli</w:t>
      </w:r>
      <w:proofErr w:type="spellEnd"/>
      <w:r w:rsidRPr="00A7650D">
        <w:t xml:space="preserve"> et al. (2020).</w:t>
      </w:r>
    </w:p>
    <w:p w14:paraId="31891992" w14:textId="77777777" w:rsidR="00690EFC" w:rsidRDefault="00690EFC" w:rsidP="00690EFC">
      <w:r>
        <w:rPr>
          <w:noProof/>
          <w:lang w:val="pt-BR" w:eastAsia="pt-BR"/>
        </w:rPr>
        <w:drawing>
          <wp:inline distT="0" distB="0" distL="0" distR="0" wp14:anchorId="30E2243B" wp14:editId="6E94BEAD">
            <wp:extent cx="3932530" cy="5514975"/>
            <wp:effectExtent l="0" t="0" r="0" b="0"/>
            <wp:docPr id="2" name="Imagem 2" descr="Map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Mapa&#10;&#10;Descrição gerada automa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33278" cy="5516024"/>
                    </a:xfrm>
                    <a:prstGeom prst="rect">
                      <a:avLst/>
                    </a:prstGeom>
                  </pic:spPr>
                </pic:pic>
              </a:graphicData>
            </a:graphic>
          </wp:inline>
        </w:drawing>
      </w:r>
    </w:p>
    <w:p w14:paraId="73A6C28A" w14:textId="77777777" w:rsidR="00690EFC" w:rsidRDefault="00690EFC" w:rsidP="00690EFC">
      <w:pPr>
        <w:pStyle w:val="Subttulo"/>
      </w:pPr>
    </w:p>
    <w:p w14:paraId="5F82136E" w14:textId="77777777" w:rsidR="00690EFC" w:rsidRDefault="00690EFC" w:rsidP="00690EFC">
      <w:r>
        <w:br w:type="page"/>
      </w:r>
    </w:p>
    <w:p w14:paraId="1C304100" w14:textId="77777777" w:rsidR="00690EFC" w:rsidRPr="0070544D" w:rsidRDefault="00690EFC" w:rsidP="00690EFC">
      <w:r w:rsidRPr="0070544D">
        <w:lastRenderedPageBreak/>
        <w:t xml:space="preserve">Supplementary Figure 2: Resultant uncertainty in the TA (total isotopic </w:t>
      </w:r>
      <w:proofErr w:type="spellStart"/>
      <w:r w:rsidRPr="0070544D">
        <w:t>área</w:t>
      </w:r>
      <w:proofErr w:type="spellEnd"/>
      <w:r w:rsidRPr="0070544D">
        <w:t xml:space="preserve">), </w:t>
      </w:r>
      <w:proofErr w:type="spellStart"/>
      <w:r w:rsidRPr="0070544D">
        <w:t>dC</w:t>
      </w:r>
      <w:proofErr w:type="spellEnd"/>
      <w:r w:rsidRPr="0070544D">
        <w:t xml:space="preserve"> (carbon range and </w:t>
      </w:r>
      <w:proofErr w:type="spellStart"/>
      <w:r w:rsidRPr="0070544D">
        <w:t>dN</w:t>
      </w:r>
      <w:proofErr w:type="spellEnd"/>
      <w:r w:rsidRPr="0070544D">
        <w:t xml:space="preserve"> (nitrogen range) arising from the simulations. Black dots represent the mode of the values, and the shaded boxes represent the 50%, 75%and 95% credible intervals from dark to light grey.</w:t>
      </w:r>
    </w:p>
    <w:p w14:paraId="023A4EE8" w14:textId="77777777" w:rsidR="00690EFC" w:rsidRPr="0070544D" w:rsidRDefault="00690EFC" w:rsidP="00690EFC"/>
    <w:p w14:paraId="5DC6932A" w14:textId="77777777" w:rsidR="00230D24" w:rsidRDefault="00230D24">
      <w:pPr>
        <w:spacing w:line="259" w:lineRule="auto"/>
        <w:jc w:val="left"/>
        <w:rPr>
          <w:noProof/>
          <w:lang w:val="pt-BR" w:eastAsia="pt-BR"/>
        </w:rPr>
      </w:pPr>
      <w:r>
        <w:rPr>
          <w:noProof/>
          <w:lang w:val="pt-BR" w:eastAsia="pt-BR"/>
        </w:rPr>
        <w:br w:type="page"/>
      </w:r>
    </w:p>
    <w:p w14:paraId="11F1CCB6" w14:textId="0BB94632" w:rsidR="00690EFC" w:rsidRPr="00840987" w:rsidRDefault="00690EFC" w:rsidP="00690EFC">
      <w:pPr>
        <w:rPr>
          <w:lang w:val="pt-BR"/>
        </w:rPr>
        <w:sectPr w:rsidR="00690EFC" w:rsidRPr="00840987">
          <w:headerReference w:type="even" r:id="rId5"/>
          <w:headerReference w:type="default" r:id="rId6"/>
          <w:footerReference w:type="even" r:id="rId7"/>
          <w:footerReference w:type="default" r:id="rId8"/>
          <w:headerReference w:type="first" r:id="rId9"/>
          <w:footerReference w:type="first" r:id="rId10"/>
          <w:pgSz w:w="11906" w:h="16838"/>
          <w:pgMar w:top="1417" w:right="1701" w:bottom="1417" w:left="1701" w:header="708" w:footer="708" w:gutter="0"/>
          <w:cols w:space="708"/>
          <w:docGrid w:linePitch="360"/>
        </w:sectPr>
      </w:pPr>
      <w:r>
        <w:rPr>
          <w:noProof/>
          <w:lang w:val="pt-BR" w:eastAsia="pt-BR"/>
        </w:rPr>
        <w:lastRenderedPageBreak/>
        <w:drawing>
          <wp:inline distT="0" distB="0" distL="0" distR="0" wp14:anchorId="5B63EB7B" wp14:editId="234DB89C">
            <wp:extent cx="4614681" cy="4584201"/>
            <wp:effectExtent l="0" t="0" r="0" b="6985"/>
            <wp:docPr id="6" name="Imagem 6" descr="Diagrama, Esquemát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Diagrama, Esquemático&#10;&#10;Descrição gerad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14681" cy="4584201"/>
                    </a:xfrm>
                    <a:prstGeom prst="rect">
                      <a:avLst/>
                    </a:prstGeom>
                  </pic:spPr>
                </pic:pic>
              </a:graphicData>
            </a:graphic>
          </wp:inline>
        </w:drawing>
      </w:r>
    </w:p>
    <w:p w14:paraId="04471EF7" w14:textId="77777777" w:rsidR="00690EFC" w:rsidRPr="00621C3A" w:rsidRDefault="00690EFC" w:rsidP="00690EFC">
      <w:r w:rsidRPr="00621C3A">
        <w:lastRenderedPageBreak/>
        <w:t xml:space="preserve">Supplementary Table 1: Trophic guild (from Ferreira et al. 2019), trophic levels (from </w:t>
      </w:r>
      <w:proofErr w:type="spellStart"/>
      <w:r w:rsidRPr="00621C3A">
        <w:t>Fishbase</w:t>
      </w:r>
      <w:proofErr w:type="spellEnd"/>
      <w:r w:rsidRPr="00621C3A">
        <w:t>).</w:t>
      </w:r>
    </w:p>
    <w:tbl>
      <w:tblPr>
        <w:tblStyle w:val="Tabelacomgrade"/>
        <w:tblpPr w:leftFromText="141" w:rightFromText="141" w:vertAnchor="text" w:horzAnchor="margin" w:tblpY="7"/>
        <w:tblW w:w="5000" w:type="pct"/>
        <w:tblLook w:val="04A0" w:firstRow="1" w:lastRow="0" w:firstColumn="1" w:lastColumn="0" w:noHBand="0" w:noVBand="1"/>
      </w:tblPr>
      <w:tblGrid>
        <w:gridCol w:w="8797"/>
        <w:gridCol w:w="1959"/>
        <w:gridCol w:w="3238"/>
      </w:tblGrid>
      <w:tr w:rsidR="00690EFC" w14:paraId="281A6F2B" w14:textId="77777777" w:rsidTr="0053517C">
        <w:tc>
          <w:tcPr>
            <w:tcW w:w="3143" w:type="pct"/>
          </w:tcPr>
          <w:p w14:paraId="377BA0BB" w14:textId="77777777" w:rsidR="00690EFC" w:rsidRDefault="00690EFC" w:rsidP="00855B1C">
            <w:r>
              <w:t>Species</w:t>
            </w:r>
          </w:p>
        </w:tc>
        <w:tc>
          <w:tcPr>
            <w:tcW w:w="700" w:type="pct"/>
          </w:tcPr>
          <w:p w14:paraId="1CD1E5DA" w14:textId="77777777" w:rsidR="00690EFC" w:rsidRDefault="00690EFC" w:rsidP="00855B1C">
            <w:r>
              <w:t>Acronym</w:t>
            </w:r>
          </w:p>
        </w:tc>
        <w:tc>
          <w:tcPr>
            <w:tcW w:w="1157" w:type="pct"/>
          </w:tcPr>
          <w:p w14:paraId="3B6B8D59" w14:textId="77777777" w:rsidR="00690EFC" w:rsidRDefault="00690EFC" w:rsidP="00855B1C">
            <w:r>
              <w:t>Trophic Guild</w:t>
            </w:r>
          </w:p>
        </w:tc>
      </w:tr>
      <w:tr w:rsidR="00690EFC" w14:paraId="2AE88B42" w14:textId="77777777" w:rsidTr="0053517C">
        <w:tc>
          <w:tcPr>
            <w:tcW w:w="3143" w:type="pct"/>
          </w:tcPr>
          <w:p w14:paraId="19278450" w14:textId="77777777" w:rsidR="00690EFC" w:rsidRPr="00700698" w:rsidRDefault="00690EFC" w:rsidP="00855B1C">
            <w:proofErr w:type="spellStart"/>
            <w:r w:rsidRPr="00FB5C53">
              <w:t>Acanthurus</w:t>
            </w:r>
            <w:proofErr w:type="spellEnd"/>
            <w:r w:rsidRPr="00700698">
              <w:t xml:space="preserve"> </w:t>
            </w:r>
            <w:proofErr w:type="spellStart"/>
            <w:r w:rsidRPr="003C7A7D">
              <w:t>chirurgus</w:t>
            </w:r>
            <w:proofErr w:type="spellEnd"/>
          </w:p>
          <w:p w14:paraId="1C0BB3AD" w14:textId="77777777" w:rsidR="00690EFC" w:rsidRDefault="00690EFC" w:rsidP="00855B1C">
            <w:pPr>
              <w:rPr>
                <w:rFonts w:ascii="Calibri" w:hAnsi="Calibri" w:cs="Calibri"/>
                <w:color w:val="000000"/>
              </w:rPr>
            </w:pPr>
            <w:r>
              <w:rPr>
                <w:shd w:val="clear" w:color="auto" w:fill="FFFFFF"/>
              </w:rPr>
              <w:t> (Bloch, 1787)</w:t>
            </w:r>
          </w:p>
        </w:tc>
        <w:tc>
          <w:tcPr>
            <w:tcW w:w="700" w:type="pct"/>
            <w:vAlign w:val="bottom"/>
          </w:tcPr>
          <w:p w14:paraId="07F8B9AF" w14:textId="77777777" w:rsidR="00690EFC" w:rsidRDefault="00690EFC" w:rsidP="00855B1C">
            <w:proofErr w:type="spellStart"/>
            <w:r>
              <w:t>aca.chi</w:t>
            </w:r>
            <w:proofErr w:type="spellEnd"/>
          </w:p>
        </w:tc>
        <w:tc>
          <w:tcPr>
            <w:tcW w:w="1157" w:type="pct"/>
          </w:tcPr>
          <w:p w14:paraId="6BF82D23" w14:textId="77777777" w:rsidR="00690EFC" w:rsidRDefault="00690EFC" w:rsidP="00855B1C">
            <w:r>
              <w:t>Herbivorous</w:t>
            </w:r>
          </w:p>
        </w:tc>
      </w:tr>
      <w:tr w:rsidR="00690EFC" w14:paraId="5EA25599" w14:textId="77777777" w:rsidTr="0053517C">
        <w:tc>
          <w:tcPr>
            <w:tcW w:w="3143" w:type="pct"/>
          </w:tcPr>
          <w:p w14:paraId="36331A0D" w14:textId="77777777" w:rsidR="00690EFC" w:rsidRDefault="00690EFC" w:rsidP="00855B1C">
            <w:proofErr w:type="spellStart"/>
            <w:r w:rsidRPr="00FB5C53">
              <w:t>Haemulon</w:t>
            </w:r>
            <w:proofErr w:type="spellEnd"/>
            <w:r w:rsidRPr="00FB5C53">
              <w:t xml:space="preserve"> </w:t>
            </w:r>
            <w:proofErr w:type="spellStart"/>
            <w:r w:rsidRPr="00FB5C53">
              <w:t>aurolineatum</w:t>
            </w:r>
            <w:proofErr w:type="spellEnd"/>
            <w:r w:rsidRPr="00CA284D">
              <w:t xml:space="preserve"> Cuvier, 1830</w:t>
            </w:r>
          </w:p>
        </w:tc>
        <w:tc>
          <w:tcPr>
            <w:tcW w:w="700" w:type="pct"/>
            <w:vAlign w:val="bottom"/>
          </w:tcPr>
          <w:p w14:paraId="617B2B9A" w14:textId="77777777" w:rsidR="00690EFC" w:rsidRDefault="00690EFC" w:rsidP="00855B1C">
            <w:proofErr w:type="spellStart"/>
            <w:r>
              <w:t>hae.aur</w:t>
            </w:r>
            <w:proofErr w:type="spellEnd"/>
          </w:p>
        </w:tc>
        <w:tc>
          <w:tcPr>
            <w:tcW w:w="1157" w:type="pct"/>
          </w:tcPr>
          <w:p w14:paraId="4D44ACB4" w14:textId="77777777" w:rsidR="00690EFC" w:rsidRDefault="00690EFC" w:rsidP="00855B1C">
            <w:proofErr w:type="spellStart"/>
            <w:r>
              <w:t>Zoobenthivorous</w:t>
            </w:r>
            <w:proofErr w:type="spellEnd"/>
          </w:p>
        </w:tc>
      </w:tr>
      <w:tr w:rsidR="00690EFC" w14:paraId="70FF3D3A" w14:textId="77777777" w:rsidTr="0053517C">
        <w:tc>
          <w:tcPr>
            <w:tcW w:w="3143" w:type="pct"/>
          </w:tcPr>
          <w:p w14:paraId="14BAB11E" w14:textId="77777777" w:rsidR="00690EFC" w:rsidRDefault="00690EFC" w:rsidP="00855B1C">
            <w:proofErr w:type="spellStart"/>
            <w:r w:rsidRPr="00FB5C53">
              <w:t>Haemulon</w:t>
            </w:r>
            <w:proofErr w:type="spellEnd"/>
            <w:r w:rsidRPr="00FB5C53">
              <w:t xml:space="preserve"> </w:t>
            </w:r>
            <w:proofErr w:type="spellStart"/>
            <w:r w:rsidRPr="00FB5C53">
              <w:t>plumierii</w:t>
            </w:r>
            <w:proofErr w:type="spellEnd"/>
            <w:r>
              <w:t xml:space="preserve"> </w:t>
            </w:r>
            <w:r w:rsidRPr="00F36E83">
              <w:t>(</w:t>
            </w:r>
            <w:proofErr w:type="spellStart"/>
            <w:r w:rsidRPr="00F36E83">
              <w:t>Lacepède</w:t>
            </w:r>
            <w:proofErr w:type="spellEnd"/>
            <w:r w:rsidRPr="00F36E83">
              <w:t>, 1801)</w:t>
            </w:r>
          </w:p>
        </w:tc>
        <w:tc>
          <w:tcPr>
            <w:tcW w:w="700" w:type="pct"/>
            <w:vAlign w:val="bottom"/>
          </w:tcPr>
          <w:p w14:paraId="592979E7" w14:textId="77777777" w:rsidR="00690EFC" w:rsidRDefault="00690EFC" w:rsidP="00855B1C">
            <w:proofErr w:type="spellStart"/>
            <w:r>
              <w:t>hae.plu</w:t>
            </w:r>
            <w:proofErr w:type="spellEnd"/>
          </w:p>
        </w:tc>
        <w:tc>
          <w:tcPr>
            <w:tcW w:w="1157" w:type="pct"/>
          </w:tcPr>
          <w:p w14:paraId="273680FD" w14:textId="77777777" w:rsidR="00690EFC" w:rsidRDefault="00690EFC" w:rsidP="00855B1C">
            <w:proofErr w:type="spellStart"/>
            <w:r>
              <w:t>Zoobenthivorous</w:t>
            </w:r>
            <w:proofErr w:type="spellEnd"/>
          </w:p>
        </w:tc>
      </w:tr>
      <w:tr w:rsidR="00690EFC" w14:paraId="1A9A173D" w14:textId="77777777" w:rsidTr="0053517C">
        <w:tc>
          <w:tcPr>
            <w:tcW w:w="3143" w:type="pct"/>
          </w:tcPr>
          <w:p w14:paraId="0ADCD9AD" w14:textId="77777777" w:rsidR="00690EFC" w:rsidRDefault="00690EFC" w:rsidP="00855B1C">
            <w:proofErr w:type="spellStart"/>
            <w:r w:rsidRPr="00FB5C53">
              <w:t>Holocentrus</w:t>
            </w:r>
            <w:proofErr w:type="spellEnd"/>
            <w:r w:rsidRPr="00FB5C53">
              <w:t xml:space="preserve"> </w:t>
            </w:r>
            <w:proofErr w:type="spellStart"/>
            <w:r w:rsidRPr="00FB5C53">
              <w:t>adscensionis</w:t>
            </w:r>
            <w:proofErr w:type="spellEnd"/>
            <w:r w:rsidRPr="000914AB">
              <w:t xml:space="preserve"> (</w:t>
            </w:r>
            <w:proofErr w:type="spellStart"/>
            <w:r w:rsidRPr="000914AB">
              <w:t>Osbeck</w:t>
            </w:r>
            <w:proofErr w:type="spellEnd"/>
            <w:r w:rsidRPr="000914AB">
              <w:t>, 1765)</w:t>
            </w:r>
          </w:p>
        </w:tc>
        <w:tc>
          <w:tcPr>
            <w:tcW w:w="700" w:type="pct"/>
            <w:vAlign w:val="bottom"/>
          </w:tcPr>
          <w:p w14:paraId="55978236" w14:textId="77777777" w:rsidR="00690EFC" w:rsidRDefault="00690EFC" w:rsidP="00855B1C">
            <w:proofErr w:type="spellStart"/>
            <w:r>
              <w:t>hol.ads</w:t>
            </w:r>
            <w:proofErr w:type="spellEnd"/>
          </w:p>
        </w:tc>
        <w:tc>
          <w:tcPr>
            <w:tcW w:w="1157" w:type="pct"/>
          </w:tcPr>
          <w:p w14:paraId="306B2C95" w14:textId="77777777" w:rsidR="00690EFC" w:rsidRDefault="00690EFC" w:rsidP="00855B1C">
            <w:proofErr w:type="spellStart"/>
            <w:r>
              <w:t>Zoobenthivorous</w:t>
            </w:r>
            <w:proofErr w:type="spellEnd"/>
          </w:p>
        </w:tc>
      </w:tr>
      <w:tr w:rsidR="00690EFC" w14:paraId="610107EB" w14:textId="77777777" w:rsidTr="0053517C">
        <w:tc>
          <w:tcPr>
            <w:tcW w:w="3143" w:type="pct"/>
          </w:tcPr>
          <w:p w14:paraId="247A4119" w14:textId="77777777" w:rsidR="00690EFC" w:rsidRPr="0070544D" w:rsidRDefault="00690EFC" w:rsidP="00855B1C">
            <w:pPr>
              <w:rPr>
                <w:lang w:val="pt-BR"/>
              </w:rPr>
            </w:pPr>
            <w:proofErr w:type="spellStart"/>
            <w:r w:rsidRPr="0070544D">
              <w:rPr>
                <w:i/>
                <w:iCs/>
                <w:lang w:val="pt-BR"/>
              </w:rPr>
              <w:t>Hypanus</w:t>
            </w:r>
            <w:proofErr w:type="spellEnd"/>
            <w:r w:rsidRPr="0070544D">
              <w:rPr>
                <w:i/>
                <w:iCs/>
                <w:lang w:val="pt-BR"/>
              </w:rPr>
              <w:t xml:space="preserve"> </w:t>
            </w:r>
            <w:proofErr w:type="spellStart"/>
            <w:r w:rsidRPr="0070544D">
              <w:rPr>
                <w:i/>
                <w:iCs/>
                <w:lang w:val="pt-BR"/>
              </w:rPr>
              <w:t>marianae</w:t>
            </w:r>
            <w:proofErr w:type="spellEnd"/>
            <w:r w:rsidRPr="0070544D">
              <w:rPr>
                <w:lang w:val="pt-BR"/>
              </w:rPr>
              <w:t xml:space="preserve"> (Gomes, Rosa &amp; </w:t>
            </w:r>
            <w:proofErr w:type="spellStart"/>
            <w:r w:rsidRPr="0070544D">
              <w:rPr>
                <w:lang w:val="pt-BR"/>
              </w:rPr>
              <w:t>Gadig</w:t>
            </w:r>
            <w:proofErr w:type="spellEnd"/>
            <w:r w:rsidRPr="0070544D">
              <w:rPr>
                <w:lang w:val="pt-BR"/>
              </w:rPr>
              <w:t>, 2000)</w:t>
            </w:r>
          </w:p>
        </w:tc>
        <w:tc>
          <w:tcPr>
            <w:tcW w:w="700" w:type="pct"/>
            <w:vAlign w:val="bottom"/>
          </w:tcPr>
          <w:p w14:paraId="01202FEE" w14:textId="77777777" w:rsidR="00690EFC" w:rsidRDefault="00690EFC" w:rsidP="00855B1C">
            <w:proofErr w:type="spellStart"/>
            <w:r>
              <w:t>hyp.mar</w:t>
            </w:r>
            <w:proofErr w:type="spellEnd"/>
          </w:p>
        </w:tc>
        <w:tc>
          <w:tcPr>
            <w:tcW w:w="1157" w:type="pct"/>
          </w:tcPr>
          <w:p w14:paraId="4ADB7AC0" w14:textId="77777777" w:rsidR="00690EFC" w:rsidRDefault="00690EFC" w:rsidP="00855B1C">
            <w:proofErr w:type="spellStart"/>
            <w:r>
              <w:t>Zoobenthivorous</w:t>
            </w:r>
            <w:proofErr w:type="spellEnd"/>
          </w:p>
        </w:tc>
      </w:tr>
      <w:tr w:rsidR="00690EFC" w14:paraId="0983EEF6" w14:textId="77777777" w:rsidTr="0053517C">
        <w:tc>
          <w:tcPr>
            <w:tcW w:w="3143" w:type="pct"/>
          </w:tcPr>
          <w:p w14:paraId="7F99A473" w14:textId="77777777" w:rsidR="00690EFC" w:rsidRDefault="00690EFC" w:rsidP="00855B1C">
            <w:r w:rsidRPr="00FB5C53">
              <w:rPr>
                <w:i/>
                <w:iCs/>
              </w:rPr>
              <w:t xml:space="preserve">Lutjanus </w:t>
            </w:r>
            <w:proofErr w:type="spellStart"/>
            <w:r w:rsidRPr="00FB5C53">
              <w:rPr>
                <w:i/>
                <w:iCs/>
              </w:rPr>
              <w:t>synagris</w:t>
            </w:r>
            <w:proofErr w:type="spellEnd"/>
            <w:r w:rsidRPr="007374E9">
              <w:t xml:space="preserve"> (Linnaeus, 1758)</w:t>
            </w:r>
          </w:p>
        </w:tc>
        <w:tc>
          <w:tcPr>
            <w:tcW w:w="700" w:type="pct"/>
            <w:vAlign w:val="bottom"/>
          </w:tcPr>
          <w:p w14:paraId="4446C710" w14:textId="77777777" w:rsidR="00690EFC" w:rsidRDefault="00690EFC" w:rsidP="00855B1C">
            <w:proofErr w:type="spellStart"/>
            <w:r>
              <w:t>lut.syn</w:t>
            </w:r>
            <w:proofErr w:type="spellEnd"/>
          </w:p>
        </w:tc>
        <w:tc>
          <w:tcPr>
            <w:tcW w:w="1157" w:type="pct"/>
          </w:tcPr>
          <w:p w14:paraId="6A4F913E" w14:textId="77777777" w:rsidR="00690EFC" w:rsidRDefault="00690EFC" w:rsidP="00855B1C">
            <w:proofErr w:type="spellStart"/>
            <w:r>
              <w:t>Zoobenthivorous</w:t>
            </w:r>
            <w:proofErr w:type="spellEnd"/>
          </w:p>
        </w:tc>
      </w:tr>
      <w:tr w:rsidR="00690EFC" w14:paraId="3A7AF561" w14:textId="77777777" w:rsidTr="0053517C">
        <w:tc>
          <w:tcPr>
            <w:tcW w:w="3143" w:type="pct"/>
          </w:tcPr>
          <w:p w14:paraId="25731B60" w14:textId="77777777" w:rsidR="00690EFC" w:rsidRDefault="00690EFC" w:rsidP="00855B1C">
            <w:proofErr w:type="spellStart"/>
            <w:r w:rsidRPr="00FB5C53">
              <w:rPr>
                <w:i/>
                <w:iCs/>
              </w:rPr>
              <w:t>Pseudupeneus</w:t>
            </w:r>
            <w:proofErr w:type="spellEnd"/>
            <w:r w:rsidRPr="00F34745">
              <w:t xml:space="preserve"> maculatus (Bloch, 1793)</w:t>
            </w:r>
          </w:p>
        </w:tc>
        <w:tc>
          <w:tcPr>
            <w:tcW w:w="700" w:type="pct"/>
            <w:vAlign w:val="bottom"/>
          </w:tcPr>
          <w:p w14:paraId="4BEDFAB4" w14:textId="77777777" w:rsidR="00690EFC" w:rsidRDefault="00690EFC" w:rsidP="00855B1C">
            <w:r>
              <w:t>pse.mac</w:t>
            </w:r>
          </w:p>
        </w:tc>
        <w:tc>
          <w:tcPr>
            <w:tcW w:w="1157" w:type="pct"/>
          </w:tcPr>
          <w:p w14:paraId="03B7BA83" w14:textId="77777777" w:rsidR="00690EFC" w:rsidRDefault="00690EFC" w:rsidP="00855B1C">
            <w:proofErr w:type="spellStart"/>
            <w:r>
              <w:t>Zoobenthivorous</w:t>
            </w:r>
            <w:proofErr w:type="spellEnd"/>
          </w:p>
        </w:tc>
      </w:tr>
      <w:tr w:rsidR="00690EFC" w14:paraId="46437A21" w14:textId="77777777" w:rsidTr="0053517C">
        <w:tc>
          <w:tcPr>
            <w:tcW w:w="3143" w:type="pct"/>
          </w:tcPr>
          <w:p w14:paraId="1A245026" w14:textId="77777777" w:rsidR="00690EFC" w:rsidRDefault="00690EFC" w:rsidP="00855B1C">
            <w:proofErr w:type="spellStart"/>
            <w:r w:rsidRPr="00FB5C53">
              <w:rPr>
                <w:i/>
                <w:iCs/>
              </w:rPr>
              <w:t>Sparisoma</w:t>
            </w:r>
            <w:proofErr w:type="spellEnd"/>
            <w:r w:rsidRPr="00FB5C53">
              <w:rPr>
                <w:i/>
                <w:iCs/>
              </w:rPr>
              <w:t xml:space="preserve"> </w:t>
            </w:r>
            <w:proofErr w:type="spellStart"/>
            <w:r w:rsidRPr="00FB5C53">
              <w:rPr>
                <w:i/>
                <w:iCs/>
              </w:rPr>
              <w:t>axillare</w:t>
            </w:r>
            <w:proofErr w:type="spellEnd"/>
            <w:r w:rsidRPr="000A621E">
              <w:t xml:space="preserve"> (</w:t>
            </w:r>
            <w:proofErr w:type="spellStart"/>
            <w:r w:rsidRPr="000A621E">
              <w:t>Steindachner</w:t>
            </w:r>
            <w:proofErr w:type="spellEnd"/>
            <w:r w:rsidRPr="000A621E">
              <w:t>, 1878)</w:t>
            </w:r>
          </w:p>
        </w:tc>
        <w:tc>
          <w:tcPr>
            <w:tcW w:w="700" w:type="pct"/>
            <w:vAlign w:val="bottom"/>
          </w:tcPr>
          <w:p w14:paraId="7E238756" w14:textId="77777777" w:rsidR="00690EFC" w:rsidRDefault="00690EFC" w:rsidP="00855B1C">
            <w:proofErr w:type="spellStart"/>
            <w:r>
              <w:t>spa.axi</w:t>
            </w:r>
            <w:proofErr w:type="spellEnd"/>
          </w:p>
        </w:tc>
        <w:tc>
          <w:tcPr>
            <w:tcW w:w="1157" w:type="pct"/>
          </w:tcPr>
          <w:p w14:paraId="340BDDA9" w14:textId="77777777" w:rsidR="00690EFC" w:rsidRDefault="00690EFC" w:rsidP="00855B1C">
            <w:r>
              <w:t>Herbivorous</w:t>
            </w:r>
          </w:p>
        </w:tc>
      </w:tr>
    </w:tbl>
    <w:p w14:paraId="6BAAFF40" w14:textId="77777777" w:rsidR="0053517C" w:rsidRDefault="0053517C" w:rsidP="00C845D1">
      <w:pPr>
        <w:pStyle w:val="Subttulo"/>
      </w:pPr>
    </w:p>
    <w:p w14:paraId="04266A12" w14:textId="1A0F2BEB" w:rsidR="00C845D1" w:rsidRDefault="00C845D1" w:rsidP="00C845D1">
      <w:pPr>
        <w:pStyle w:val="Subttulo"/>
      </w:pPr>
      <w:r>
        <w:t>Supplementary Table 2:</w:t>
      </w:r>
      <w:r w:rsidR="0053517C">
        <w:t xml:space="preserve"> </w:t>
      </w:r>
      <w:r>
        <w:t>Importance of each compartment in the diet of the selected species.</w:t>
      </w:r>
    </w:p>
    <w:tbl>
      <w:tblPr>
        <w:tblStyle w:val="Tabelacomgrade"/>
        <w:tblpPr w:leftFromText="141" w:rightFromText="141" w:vertAnchor="page" w:horzAnchor="page" w:tblpX="901" w:tblpY="6061"/>
        <w:tblW w:w="5164" w:type="pct"/>
        <w:tblLook w:val="04A0" w:firstRow="1" w:lastRow="0" w:firstColumn="1" w:lastColumn="0" w:noHBand="0" w:noVBand="1"/>
      </w:tblPr>
      <w:tblGrid>
        <w:gridCol w:w="1010"/>
        <w:gridCol w:w="836"/>
        <w:gridCol w:w="936"/>
        <w:gridCol w:w="1163"/>
        <w:gridCol w:w="990"/>
        <w:gridCol w:w="1669"/>
        <w:gridCol w:w="1110"/>
        <w:gridCol w:w="1269"/>
        <w:gridCol w:w="1056"/>
        <w:gridCol w:w="1096"/>
        <w:gridCol w:w="3318"/>
      </w:tblGrid>
      <w:tr w:rsidR="0053517C" w14:paraId="4DB6D439" w14:textId="77777777" w:rsidTr="006E3499">
        <w:tc>
          <w:tcPr>
            <w:tcW w:w="349" w:type="pct"/>
          </w:tcPr>
          <w:p w14:paraId="0E2995AC" w14:textId="77777777" w:rsidR="0053517C" w:rsidRDefault="0053517C" w:rsidP="0053517C"/>
        </w:tc>
        <w:tc>
          <w:tcPr>
            <w:tcW w:w="289" w:type="pct"/>
            <w:vAlign w:val="bottom"/>
          </w:tcPr>
          <w:p w14:paraId="6C5FA692" w14:textId="77777777" w:rsidR="0053517C" w:rsidRDefault="0053517C" w:rsidP="0053517C">
            <w:r>
              <w:t>Algae</w:t>
            </w:r>
          </w:p>
        </w:tc>
        <w:tc>
          <w:tcPr>
            <w:tcW w:w="324" w:type="pct"/>
            <w:vAlign w:val="bottom"/>
          </w:tcPr>
          <w:p w14:paraId="2C862CFF" w14:textId="77777777" w:rsidR="0053517C" w:rsidRDefault="0053517C" w:rsidP="0053517C">
            <w:r>
              <w:t>Animal</w:t>
            </w:r>
          </w:p>
        </w:tc>
        <w:tc>
          <w:tcPr>
            <w:tcW w:w="402" w:type="pct"/>
            <w:vAlign w:val="bottom"/>
          </w:tcPr>
          <w:p w14:paraId="3278F327" w14:textId="77777777" w:rsidR="0053517C" w:rsidRDefault="0053517C" w:rsidP="0053517C">
            <w:r>
              <w:t>Crustacea</w:t>
            </w:r>
          </w:p>
        </w:tc>
        <w:tc>
          <w:tcPr>
            <w:tcW w:w="342" w:type="pct"/>
            <w:vAlign w:val="bottom"/>
          </w:tcPr>
          <w:p w14:paraId="6514E1B4" w14:textId="77777777" w:rsidR="0053517C" w:rsidRDefault="0053517C" w:rsidP="0053517C">
            <w:r>
              <w:t>Detritus</w:t>
            </w:r>
          </w:p>
        </w:tc>
        <w:tc>
          <w:tcPr>
            <w:tcW w:w="577" w:type="pct"/>
            <w:vAlign w:val="bottom"/>
          </w:tcPr>
          <w:p w14:paraId="6D239B9E" w14:textId="77777777" w:rsidR="0053517C" w:rsidRDefault="0053517C" w:rsidP="0053517C">
            <w:r>
              <w:t>Echinodermata</w:t>
            </w:r>
          </w:p>
        </w:tc>
        <w:tc>
          <w:tcPr>
            <w:tcW w:w="384" w:type="pct"/>
            <w:vAlign w:val="bottom"/>
          </w:tcPr>
          <w:p w14:paraId="0A15E574" w14:textId="77777777" w:rsidR="0053517C" w:rsidRDefault="0053517C" w:rsidP="0053517C">
            <w:r>
              <w:t>Mollusca</w:t>
            </w:r>
          </w:p>
        </w:tc>
        <w:tc>
          <w:tcPr>
            <w:tcW w:w="439" w:type="pct"/>
            <w:vAlign w:val="bottom"/>
          </w:tcPr>
          <w:p w14:paraId="051039BC" w14:textId="77777777" w:rsidR="0053517C" w:rsidRDefault="0053517C" w:rsidP="0053517C">
            <w:r>
              <w:t>Polychaeta</w:t>
            </w:r>
          </w:p>
        </w:tc>
        <w:tc>
          <w:tcPr>
            <w:tcW w:w="365" w:type="pct"/>
            <w:vAlign w:val="bottom"/>
          </w:tcPr>
          <w:p w14:paraId="5A838350" w14:textId="77777777" w:rsidR="0053517C" w:rsidRDefault="0053517C" w:rsidP="0053517C">
            <w:r>
              <w:t>Seagrass</w:t>
            </w:r>
          </w:p>
        </w:tc>
        <w:tc>
          <w:tcPr>
            <w:tcW w:w="379" w:type="pct"/>
            <w:vAlign w:val="bottom"/>
          </w:tcPr>
          <w:p w14:paraId="02517FBD" w14:textId="77777777" w:rsidR="0053517C" w:rsidRDefault="0053517C" w:rsidP="0053517C">
            <w:r>
              <w:t>Teleostei</w:t>
            </w:r>
          </w:p>
        </w:tc>
        <w:tc>
          <w:tcPr>
            <w:tcW w:w="1148" w:type="pct"/>
          </w:tcPr>
          <w:p w14:paraId="0B9E29D0" w14:textId="77777777" w:rsidR="0053517C" w:rsidRDefault="0053517C" w:rsidP="0053517C">
            <w:r>
              <w:t>Reference</w:t>
            </w:r>
          </w:p>
        </w:tc>
      </w:tr>
      <w:tr w:rsidR="0053517C" w14:paraId="5A7FFA4D" w14:textId="77777777" w:rsidTr="006E3499">
        <w:tc>
          <w:tcPr>
            <w:tcW w:w="349" w:type="pct"/>
            <w:vAlign w:val="bottom"/>
          </w:tcPr>
          <w:p w14:paraId="79F8805C" w14:textId="77777777" w:rsidR="0053517C" w:rsidRDefault="0053517C" w:rsidP="0053517C">
            <w:proofErr w:type="spellStart"/>
            <w:r>
              <w:t>aca.chi</w:t>
            </w:r>
            <w:proofErr w:type="spellEnd"/>
          </w:p>
        </w:tc>
        <w:tc>
          <w:tcPr>
            <w:tcW w:w="289" w:type="pct"/>
            <w:vAlign w:val="bottom"/>
          </w:tcPr>
          <w:p w14:paraId="4D614F65" w14:textId="77777777" w:rsidR="0053517C" w:rsidRDefault="0053517C" w:rsidP="0053517C">
            <w:r>
              <w:t>61%</w:t>
            </w:r>
          </w:p>
        </w:tc>
        <w:tc>
          <w:tcPr>
            <w:tcW w:w="324" w:type="pct"/>
            <w:vAlign w:val="bottom"/>
          </w:tcPr>
          <w:p w14:paraId="292FA6D7" w14:textId="77777777" w:rsidR="0053517C" w:rsidRDefault="0053517C" w:rsidP="0053517C">
            <w:r>
              <w:t>2%</w:t>
            </w:r>
          </w:p>
        </w:tc>
        <w:tc>
          <w:tcPr>
            <w:tcW w:w="402" w:type="pct"/>
            <w:vAlign w:val="bottom"/>
          </w:tcPr>
          <w:p w14:paraId="24205515" w14:textId="77777777" w:rsidR="0053517C" w:rsidRDefault="0053517C" w:rsidP="0053517C"/>
        </w:tc>
        <w:tc>
          <w:tcPr>
            <w:tcW w:w="342" w:type="pct"/>
            <w:vAlign w:val="bottom"/>
          </w:tcPr>
          <w:p w14:paraId="076CCB58" w14:textId="77777777" w:rsidR="0053517C" w:rsidRDefault="0053517C" w:rsidP="0053517C">
            <w:r>
              <w:t>44%</w:t>
            </w:r>
          </w:p>
        </w:tc>
        <w:tc>
          <w:tcPr>
            <w:tcW w:w="577" w:type="pct"/>
            <w:vAlign w:val="bottom"/>
          </w:tcPr>
          <w:p w14:paraId="73C191BC" w14:textId="77777777" w:rsidR="0053517C" w:rsidRDefault="0053517C" w:rsidP="0053517C"/>
        </w:tc>
        <w:tc>
          <w:tcPr>
            <w:tcW w:w="384" w:type="pct"/>
            <w:vAlign w:val="bottom"/>
          </w:tcPr>
          <w:p w14:paraId="6400BDEC" w14:textId="77777777" w:rsidR="0053517C" w:rsidRDefault="0053517C" w:rsidP="0053517C"/>
        </w:tc>
        <w:tc>
          <w:tcPr>
            <w:tcW w:w="439" w:type="pct"/>
            <w:vAlign w:val="bottom"/>
          </w:tcPr>
          <w:p w14:paraId="0B8304D8" w14:textId="77777777" w:rsidR="0053517C" w:rsidRDefault="0053517C" w:rsidP="0053517C"/>
        </w:tc>
        <w:tc>
          <w:tcPr>
            <w:tcW w:w="365" w:type="pct"/>
            <w:vAlign w:val="bottom"/>
          </w:tcPr>
          <w:p w14:paraId="3C5D7A7B" w14:textId="77777777" w:rsidR="0053517C" w:rsidRDefault="0053517C" w:rsidP="0053517C">
            <w:r>
              <w:t>3%</w:t>
            </w:r>
          </w:p>
        </w:tc>
        <w:tc>
          <w:tcPr>
            <w:tcW w:w="379" w:type="pct"/>
            <w:vAlign w:val="bottom"/>
          </w:tcPr>
          <w:p w14:paraId="69309A5F" w14:textId="77777777" w:rsidR="0053517C" w:rsidRDefault="0053517C" w:rsidP="0053517C"/>
        </w:tc>
        <w:tc>
          <w:tcPr>
            <w:tcW w:w="1148" w:type="pct"/>
          </w:tcPr>
          <w:p w14:paraId="089F189D" w14:textId="77777777" w:rsidR="0053517C" w:rsidRDefault="0053517C" w:rsidP="0053517C">
            <w:r>
              <w:fldChar w:fldCharType="begin"/>
            </w:r>
            <w:r>
              <w:instrText xml:space="preserve"> ADDIN ZOTERO_ITEM CSL_CITATION {"citationID":"aJA8e2CF","properties":{"formattedCitation":"(Ferreira and Gon\\uc0\\u231{}alves, 2006)","plainCitation":"(Ferreira and Gonçalves, 2006)","noteIndex":0},"citationItems":[{"id":1605,"uris":["http://zotero.org/users/4871981/items/7KA9CHNA"],"itemData":{"id":1605,"type":"article-journal","container-title":"Journal of Fish Biology","issue":"5","note":"publisher: Wiley Online Library","page":"1533–1551","source":"Google Scholar","title":"Community structure and diet of roving herbivorous reef fishes in the Abrolhos Archipelago, south-western Atlantic","volume":"69","author":[{"family":"Ferreira","given":"C. E. L."},{"family":"Gonçalves","given":"J. E. A."}],"issued":{"date-parts":[["2006"]]}}}],"schema":"https://github.com/citation-style-language/schema/raw/master/csl-citation.json"} </w:instrText>
            </w:r>
            <w:r>
              <w:fldChar w:fldCharType="separate"/>
            </w:r>
            <w:r w:rsidRPr="00CB5EAD">
              <w:rPr>
                <w:rFonts w:ascii="Calibri" w:hAnsi="Calibri" w:cs="Calibri"/>
              </w:rPr>
              <w:t>(Ferreira and Gonçalves, 2006)</w:t>
            </w:r>
            <w:r>
              <w:fldChar w:fldCharType="end"/>
            </w:r>
          </w:p>
        </w:tc>
      </w:tr>
      <w:tr w:rsidR="0053517C" w14:paraId="4710AC6C" w14:textId="77777777" w:rsidTr="006E3499">
        <w:tc>
          <w:tcPr>
            <w:tcW w:w="349" w:type="pct"/>
            <w:vAlign w:val="bottom"/>
          </w:tcPr>
          <w:p w14:paraId="7AB24FCF" w14:textId="77777777" w:rsidR="0053517C" w:rsidRDefault="0053517C" w:rsidP="0053517C">
            <w:proofErr w:type="spellStart"/>
            <w:r>
              <w:t>hae.aur</w:t>
            </w:r>
            <w:proofErr w:type="spellEnd"/>
          </w:p>
        </w:tc>
        <w:tc>
          <w:tcPr>
            <w:tcW w:w="289" w:type="pct"/>
            <w:vAlign w:val="bottom"/>
          </w:tcPr>
          <w:p w14:paraId="25ACB15C" w14:textId="77777777" w:rsidR="0053517C" w:rsidRDefault="0053517C" w:rsidP="0053517C"/>
        </w:tc>
        <w:tc>
          <w:tcPr>
            <w:tcW w:w="324" w:type="pct"/>
            <w:vAlign w:val="bottom"/>
          </w:tcPr>
          <w:p w14:paraId="6D1CE552" w14:textId="77777777" w:rsidR="0053517C" w:rsidRDefault="0053517C" w:rsidP="0053517C"/>
        </w:tc>
        <w:tc>
          <w:tcPr>
            <w:tcW w:w="402" w:type="pct"/>
            <w:vAlign w:val="bottom"/>
          </w:tcPr>
          <w:p w14:paraId="08965EE6" w14:textId="77777777" w:rsidR="0053517C" w:rsidRDefault="0053517C" w:rsidP="0053517C">
            <w:r>
              <w:t>72%</w:t>
            </w:r>
          </w:p>
        </w:tc>
        <w:tc>
          <w:tcPr>
            <w:tcW w:w="342" w:type="pct"/>
            <w:vAlign w:val="bottom"/>
          </w:tcPr>
          <w:p w14:paraId="0BC34472" w14:textId="77777777" w:rsidR="0053517C" w:rsidRDefault="0053517C" w:rsidP="0053517C"/>
        </w:tc>
        <w:tc>
          <w:tcPr>
            <w:tcW w:w="577" w:type="pct"/>
            <w:vAlign w:val="bottom"/>
          </w:tcPr>
          <w:p w14:paraId="5D25874E" w14:textId="77777777" w:rsidR="0053517C" w:rsidRDefault="0053517C" w:rsidP="0053517C">
            <w:r>
              <w:t>5%</w:t>
            </w:r>
          </w:p>
        </w:tc>
        <w:tc>
          <w:tcPr>
            <w:tcW w:w="384" w:type="pct"/>
            <w:vAlign w:val="bottom"/>
          </w:tcPr>
          <w:p w14:paraId="03C49687" w14:textId="77777777" w:rsidR="0053517C" w:rsidRDefault="0053517C" w:rsidP="0053517C">
            <w:r>
              <w:t>3%</w:t>
            </w:r>
          </w:p>
        </w:tc>
        <w:tc>
          <w:tcPr>
            <w:tcW w:w="439" w:type="pct"/>
            <w:vAlign w:val="bottom"/>
          </w:tcPr>
          <w:p w14:paraId="27CF6EB2" w14:textId="77777777" w:rsidR="0053517C" w:rsidRDefault="0053517C" w:rsidP="0053517C">
            <w:r>
              <w:t>20%</w:t>
            </w:r>
          </w:p>
        </w:tc>
        <w:tc>
          <w:tcPr>
            <w:tcW w:w="365" w:type="pct"/>
            <w:vAlign w:val="bottom"/>
          </w:tcPr>
          <w:p w14:paraId="5BD6583D" w14:textId="77777777" w:rsidR="0053517C" w:rsidRDefault="0053517C" w:rsidP="0053517C"/>
        </w:tc>
        <w:tc>
          <w:tcPr>
            <w:tcW w:w="379" w:type="pct"/>
            <w:vAlign w:val="bottom"/>
          </w:tcPr>
          <w:p w14:paraId="4903F121" w14:textId="77777777" w:rsidR="0053517C" w:rsidRDefault="0053517C" w:rsidP="0053517C">
            <w:r>
              <w:t>0,1%</w:t>
            </w:r>
          </w:p>
        </w:tc>
        <w:tc>
          <w:tcPr>
            <w:tcW w:w="1148" w:type="pct"/>
          </w:tcPr>
          <w:p w14:paraId="37465814" w14:textId="77777777" w:rsidR="0053517C" w:rsidRDefault="0053517C" w:rsidP="0053517C">
            <w:r>
              <w:t>Cruise data</w:t>
            </w:r>
          </w:p>
          <w:p w14:paraId="20ADCFFC" w14:textId="77777777" w:rsidR="0053517C" w:rsidRDefault="0053517C" w:rsidP="0053517C">
            <w:r>
              <w:t>Submitted in Limeira et al.</w:t>
            </w:r>
          </w:p>
        </w:tc>
      </w:tr>
      <w:tr w:rsidR="0053517C" w14:paraId="524540F0" w14:textId="77777777" w:rsidTr="006E3499">
        <w:tc>
          <w:tcPr>
            <w:tcW w:w="349" w:type="pct"/>
            <w:vAlign w:val="bottom"/>
          </w:tcPr>
          <w:p w14:paraId="65B375B6" w14:textId="77777777" w:rsidR="0053517C" w:rsidRDefault="0053517C" w:rsidP="0053517C">
            <w:proofErr w:type="spellStart"/>
            <w:r>
              <w:t>hae.plu</w:t>
            </w:r>
            <w:proofErr w:type="spellEnd"/>
          </w:p>
        </w:tc>
        <w:tc>
          <w:tcPr>
            <w:tcW w:w="289" w:type="pct"/>
            <w:vAlign w:val="bottom"/>
          </w:tcPr>
          <w:p w14:paraId="30B7B616" w14:textId="77777777" w:rsidR="0053517C" w:rsidRDefault="0053517C" w:rsidP="0053517C"/>
        </w:tc>
        <w:tc>
          <w:tcPr>
            <w:tcW w:w="324" w:type="pct"/>
            <w:vAlign w:val="bottom"/>
          </w:tcPr>
          <w:p w14:paraId="12D14435" w14:textId="77777777" w:rsidR="0053517C" w:rsidRDefault="0053517C" w:rsidP="0053517C"/>
        </w:tc>
        <w:tc>
          <w:tcPr>
            <w:tcW w:w="402" w:type="pct"/>
            <w:vAlign w:val="bottom"/>
          </w:tcPr>
          <w:p w14:paraId="01327369" w14:textId="77777777" w:rsidR="0053517C" w:rsidRDefault="0053517C" w:rsidP="0053517C">
            <w:r>
              <w:t>42%</w:t>
            </w:r>
          </w:p>
        </w:tc>
        <w:tc>
          <w:tcPr>
            <w:tcW w:w="342" w:type="pct"/>
            <w:vAlign w:val="bottom"/>
          </w:tcPr>
          <w:p w14:paraId="07822192" w14:textId="77777777" w:rsidR="0053517C" w:rsidRDefault="0053517C" w:rsidP="0053517C"/>
        </w:tc>
        <w:tc>
          <w:tcPr>
            <w:tcW w:w="577" w:type="pct"/>
            <w:vAlign w:val="bottom"/>
          </w:tcPr>
          <w:p w14:paraId="264E87C7" w14:textId="77777777" w:rsidR="0053517C" w:rsidRDefault="0053517C" w:rsidP="0053517C">
            <w:r>
              <w:t>23%</w:t>
            </w:r>
          </w:p>
        </w:tc>
        <w:tc>
          <w:tcPr>
            <w:tcW w:w="384" w:type="pct"/>
            <w:vAlign w:val="bottom"/>
          </w:tcPr>
          <w:p w14:paraId="2DBBA2F1" w14:textId="77777777" w:rsidR="0053517C" w:rsidRDefault="0053517C" w:rsidP="0053517C">
            <w:r>
              <w:t>4%</w:t>
            </w:r>
          </w:p>
        </w:tc>
        <w:tc>
          <w:tcPr>
            <w:tcW w:w="439" w:type="pct"/>
            <w:vAlign w:val="bottom"/>
          </w:tcPr>
          <w:p w14:paraId="1266B7E1" w14:textId="77777777" w:rsidR="0053517C" w:rsidRDefault="0053517C" w:rsidP="0053517C">
            <w:r>
              <w:t>19%</w:t>
            </w:r>
          </w:p>
        </w:tc>
        <w:tc>
          <w:tcPr>
            <w:tcW w:w="365" w:type="pct"/>
            <w:vAlign w:val="bottom"/>
          </w:tcPr>
          <w:p w14:paraId="09A8F70A" w14:textId="77777777" w:rsidR="0053517C" w:rsidRDefault="0053517C" w:rsidP="0053517C"/>
        </w:tc>
        <w:tc>
          <w:tcPr>
            <w:tcW w:w="379" w:type="pct"/>
            <w:vAlign w:val="bottom"/>
          </w:tcPr>
          <w:p w14:paraId="3219F09F" w14:textId="77777777" w:rsidR="0053517C" w:rsidRDefault="0053517C" w:rsidP="0053517C">
            <w:r>
              <w:t>12%</w:t>
            </w:r>
          </w:p>
        </w:tc>
        <w:tc>
          <w:tcPr>
            <w:tcW w:w="1148" w:type="pct"/>
          </w:tcPr>
          <w:p w14:paraId="2830C583" w14:textId="77777777" w:rsidR="0053517C" w:rsidRDefault="0053517C" w:rsidP="0053517C">
            <w:r>
              <w:t>Cruise data</w:t>
            </w:r>
          </w:p>
          <w:p w14:paraId="72160831" w14:textId="77777777" w:rsidR="0053517C" w:rsidRDefault="0053517C" w:rsidP="0053517C">
            <w:r>
              <w:t>Submitted in Limeira et al.</w:t>
            </w:r>
          </w:p>
        </w:tc>
      </w:tr>
      <w:tr w:rsidR="0053517C" w14:paraId="199310F3" w14:textId="77777777" w:rsidTr="006E3499">
        <w:tc>
          <w:tcPr>
            <w:tcW w:w="349" w:type="pct"/>
            <w:vAlign w:val="bottom"/>
          </w:tcPr>
          <w:p w14:paraId="45D92675" w14:textId="77777777" w:rsidR="0053517C" w:rsidRDefault="0053517C" w:rsidP="0053517C">
            <w:proofErr w:type="spellStart"/>
            <w:r>
              <w:t>hol.ads</w:t>
            </w:r>
            <w:proofErr w:type="spellEnd"/>
          </w:p>
        </w:tc>
        <w:tc>
          <w:tcPr>
            <w:tcW w:w="289" w:type="pct"/>
            <w:vAlign w:val="bottom"/>
          </w:tcPr>
          <w:p w14:paraId="36A5263A" w14:textId="77777777" w:rsidR="0053517C" w:rsidRDefault="0053517C" w:rsidP="0053517C"/>
        </w:tc>
        <w:tc>
          <w:tcPr>
            <w:tcW w:w="324" w:type="pct"/>
            <w:vAlign w:val="bottom"/>
          </w:tcPr>
          <w:p w14:paraId="78B86319" w14:textId="77777777" w:rsidR="0053517C" w:rsidRDefault="0053517C" w:rsidP="0053517C"/>
        </w:tc>
        <w:tc>
          <w:tcPr>
            <w:tcW w:w="402" w:type="pct"/>
            <w:vAlign w:val="bottom"/>
          </w:tcPr>
          <w:p w14:paraId="54BEA2BA" w14:textId="77777777" w:rsidR="0053517C" w:rsidRDefault="0053517C" w:rsidP="0053517C">
            <w:r>
              <w:t>95%</w:t>
            </w:r>
          </w:p>
        </w:tc>
        <w:tc>
          <w:tcPr>
            <w:tcW w:w="342" w:type="pct"/>
            <w:vAlign w:val="bottom"/>
          </w:tcPr>
          <w:p w14:paraId="3075A219" w14:textId="77777777" w:rsidR="0053517C" w:rsidRDefault="0053517C" w:rsidP="0053517C"/>
        </w:tc>
        <w:tc>
          <w:tcPr>
            <w:tcW w:w="577" w:type="pct"/>
            <w:vAlign w:val="bottom"/>
          </w:tcPr>
          <w:p w14:paraId="2BD85B78" w14:textId="77777777" w:rsidR="0053517C" w:rsidRDefault="0053517C" w:rsidP="0053517C"/>
        </w:tc>
        <w:tc>
          <w:tcPr>
            <w:tcW w:w="384" w:type="pct"/>
            <w:vAlign w:val="bottom"/>
          </w:tcPr>
          <w:p w14:paraId="2639E1E3" w14:textId="77777777" w:rsidR="0053517C" w:rsidRDefault="0053517C" w:rsidP="0053517C">
            <w:r>
              <w:t>1%</w:t>
            </w:r>
          </w:p>
        </w:tc>
        <w:tc>
          <w:tcPr>
            <w:tcW w:w="439" w:type="pct"/>
            <w:vAlign w:val="bottom"/>
          </w:tcPr>
          <w:p w14:paraId="159B8C65" w14:textId="77777777" w:rsidR="0053517C" w:rsidRDefault="0053517C" w:rsidP="0053517C">
            <w:r>
              <w:t>4%</w:t>
            </w:r>
          </w:p>
        </w:tc>
        <w:tc>
          <w:tcPr>
            <w:tcW w:w="365" w:type="pct"/>
            <w:vAlign w:val="bottom"/>
          </w:tcPr>
          <w:p w14:paraId="0B65CABF" w14:textId="77777777" w:rsidR="0053517C" w:rsidRDefault="0053517C" w:rsidP="0053517C"/>
        </w:tc>
        <w:tc>
          <w:tcPr>
            <w:tcW w:w="379" w:type="pct"/>
            <w:vAlign w:val="bottom"/>
          </w:tcPr>
          <w:p w14:paraId="5B1FC2DF" w14:textId="77777777" w:rsidR="0053517C" w:rsidRDefault="0053517C" w:rsidP="0053517C"/>
        </w:tc>
        <w:tc>
          <w:tcPr>
            <w:tcW w:w="1148" w:type="pct"/>
          </w:tcPr>
          <w:p w14:paraId="6C83DBC5" w14:textId="77777777" w:rsidR="0053517C" w:rsidRDefault="0053517C" w:rsidP="0053517C">
            <w:r>
              <w:fldChar w:fldCharType="begin"/>
            </w:r>
            <w:r>
              <w:instrText xml:space="preserve"> ADDIN ZOTERO_ITEM CSL_CITATION {"citationID":"TnRJk32e","properties":{"formattedCitation":"(Randall, 1967)","plainCitation":"(Randall, 1967)","noteIndex":0},"citationItems":[{"id":1611,"uris":["http://zotero.org/users/4871981/items/XJHDQWFX"],"itemData":{"id":1611,"type":"book","publisher":"Institute of Marine Sciences, University of Miami Coral Gables","source":"Google Scholar","title":"Food habits of reef fishes of the West Indies","volume":"5","author":[{"family":"Randall","given":"John E."}],"issued":{"date-parts":[["1967"]]}}}],"schema":"https://github.com/citation-style-language/schema/raw/master/csl-citation.json"} </w:instrText>
            </w:r>
            <w:r>
              <w:fldChar w:fldCharType="separate"/>
            </w:r>
            <w:r w:rsidRPr="00002DBD">
              <w:rPr>
                <w:rFonts w:ascii="Calibri" w:hAnsi="Calibri" w:cs="Calibri"/>
              </w:rPr>
              <w:t>(Randall, 1967)</w:t>
            </w:r>
            <w:r>
              <w:fldChar w:fldCharType="end"/>
            </w:r>
          </w:p>
        </w:tc>
      </w:tr>
      <w:tr w:rsidR="0053517C" w14:paraId="4FBE6BA4" w14:textId="77777777" w:rsidTr="006E3499">
        <w:tc>
          <w:tcPr>
            <w:tcW w:w="349" w:type="pct"/>
            <w:vAlign w:val="bottom"/>
          </w:tcPr>
          <w:p w14:paraId="39FE01D6" w14:textId="77777777" w:rsidR="0053517C" w:rsidRDefault="0053517C" w:rsidP="0053517C">
            <w:proofErr w:type="spellStart"/>
            <w:r>
              <w:t>hyp.mar</w:t>
            </w:r>
            <w:proofErr w:type="spellEnd"/>
          </w:p>
        </w:tc>
        <w:tc>
          <w:tcPr>
            <w:tcW w:w="289" w:type="pct"/>
            <w:vAlign w:val="bottom"/>
          </w:tcPr>
          <w:p w14:paraId="60993420" w14:textId="77777777" w:rsidR="0053517C" w:rsidRDefault="0053517C" w:rsidP="0053517C"/>
        </w:tc>
        <w:tc>
          <w:tcPr>
            <w:tcW w:w="324" w:type="pct"/>
            <w:vAlign w:val="bottom"/>
          </w:tcPr>
          <w:p w14:paraId="7071911B" w14:textId="77777777" w:rsidR="0053517C" w:rsidRDefault="0053517C" w:rsidP="0053517C"/>
        </w:tc>
        <w:tc>
          <w:tcPr>
            <w:tcW w:w="402" w:type="pct"/>
            <w:vAlign w:val="bottom"/>
          </w:tcPr>
          <w:p w14:paraId="4FD89EB6" w14:textId="77777777" w:rsidR="0053517C" w:rsidRDefault="0053517C" w:rsidP="0053517C">
            <w:r>
              <w:t>54%</w:t>
            </w:r>
          </w:p>
        </w:tc>
        <w:tc>
          <w:tcPr>
            <w:tcW w:w="342" w:type="pct"/>
            <w:vAlign w:val="bottom"/>
          </w:tcPr>
          <w:p w14:paraId="444D8728" w14:textId="77777777" w:rsidR="0053517C" w:rsidRDefault="0053517C" w:rsidP="0053517C"/>
        </w:tc>
        <w:tc>
          <w:tcPr>
            <w:tcW w:w="577" w:type="pct"/>
            <w:vAlign w:val="bottom"/>
          </w:tcPr>
          <w:p w14:paraId="6D46D79B" w14:textId="77777777" w:rsidR="0053517C" w:rsidRDefault="0053517C" w:rsidP="0053517C"/>
        </w:tc>
        <w:tc>
          <w:tcPr>
            <w:tcW w:w="384" w:type="pct"/>
            <w:vAlign w:val="bottom"/>
          </w:tcPr>
          <w:p w14:paraId="51CA397D" w14:textId="77777777" w:rsidR="0053517C" w:rsidRDefault="0053517C" w:rsidP="0053517C"/>
        </w:tc>
        <w:tc>
          <w:tcPr>
            <w:tcW w:w="439" w:type="pct"/>
            <w:vAlign w:val="bottom"/>
          </w:tcPr>
          <w:p w14:paraId="560C44B4" w14:textId="77777777" w:rsidR="0053517C" w:rsidRDefault="0053517C" w:rsidP="0053517C">
            <w:r>
              <w:t>41%</w:t>
            </w:r>
          </w:p>
        </w:tc>
        <w:tc>
          <w:tcPr>
            <w:tcW w:w="365" w:type="pct"/>
            <w:vAlign w:val="bottom"/>
          </w:tcPr>
          <w:p w14:paraId="2FB4947E" w14:textId="77777777" w:rsidR="0053517C" w:rsidRDefault="0053517C" w:rsidP="0053517C"/>
        </w:tc>
        <w:tc>
          <w:tcPr>
            <w:tcW w:w="379" w:type="pct"/>
            <w:vAlign w:val="bottom"/>
          </w:tcPr>
          <w:p w14:paraId="3DB17D37" w14:textId="77777777" w:rsidR="0053517C" w:rsidRDefault="0053517C" w:rsidP="0053517C">
            <w:r>
              <w:t>1%</w:t>
            </w:r>
          </w:p>
        </w:tc>
        <w:tc>
          <w:tcPr>
            <w:tcW w:w="1148" w:type="pct"/>
          </w:tcPr>
          <w:p w14:paraId="5D1D7FD8" w14:textId="77777777" w:rsidR="0053517C" w:rsidRDefault="0053517C" w:rsidP="0053517C">
            <w:r>
              <w:fldChar w:fldCharType="begin"/>
            </w:r>
            <w:r>
              <w:instrText xml:space="preserve"> ADDIN ZOTERO_ITEM CSL_CITATION {"citationID":"I5zPB9dd","properties":{"formattedCitation":"(Queiroz et al., 2019)","plainCitation":"(Queiroz et al., 2019)","noteIndex":0},"citationItems":[{"id":1607,"uris":["http://zotero.org/users/4871981/items/VI8AN6MM"],"itemData":{"id":1607,"type":"article-journal","container-title":"Latin american journal of aquatic research","issue":"5","note":"publisher: Pontificia Universidad Católica de Valparaíso. Facultad de Recursos …","page":"808–817","source":"Google Scholar","title":"Dietary composition and trophic level of Hypanus marianae (Myliobatiformes: Dasyatidae), captured off Pernambuco coast, Brazil","title-short":"Dietary composition and trophic level of Hypanus marianae (Myliobatiformes","volume":"47","author":[{"family":"Queiroz","given":"Aristóteles PN"},{"family":"Araújo","given":"Maria LG"},{"family":"Lessa","given":"Rosângela"}],"issued":{"date-parts":[["2019"]]}}}],"schema":"https://github.com/citation-style-language/schema/raw/master/csl-citation.json"} </w:instrText>
            </w:r>
            <w:r>
              <w:fldChar w:fldCharType="separate"/>
            </w:r>
            <w:r w:rsidRPr="00CB5EAD">
              <w:rPr>
                <w:rFonts w:ascii="Calibri" w:hAnsi="Calibri" w:cs="Calibri"/>
              </w:rPr>
              <w:t>(Queiroz et al., 2019)</w:t>
            </w:r>
            <w:r>
              <w:fldChar w:fldCharType="end"/>
            </w:r>
          </w:p>
        </w:tc>
      </w:tr>
      <w:tr w:rsidR="0053517C" w14:paraId="71D5F351" w14:textId="77777777" w:rsidTr="006E3499">
        <w:tc>
          <w:tcPr>
            <w:tcW w:w="349" w:type="pct"/>
            <w:vAlign w:val="bottom"/>
          </w:tcPr>
          <w:p w14:paraId="57345B2D" w14:textId="77777777" w:rsidR="0053517C" w:rsidRDefault="0053517C" w:rsidP="0053517C">
            <w:proofErr w:type="spellStart"/>
            <w:r>
              <w:t>lut.syn</w:t>
            </w:r>
            <w:proofErr w:type="spellEnd"/>
          </w:p>
        </w:tc>
        <w:tc>
          <w:tcPr>
            <w:tcW w:w="289" w:type="pct"/>
            <w:vAlign w:val="bottom"/>
          </w:tcPr>
          <w:p w14:paraId="0E9ABD12" w14:textId="77777777" w:rsidR="0053517C" w:rsidRDefault="0053517C" w:rsidP="0053517C">
            <w:r>
              <w:t>0,12%</w:t>
            </w:r>
          </w:p>
        </w:tc>
        <w:tc>
          <w:tcPr>
            <w:tcW w:w="324" w:type="pct"/>
            <w:vAlign w:val="bottom"/>
          </w:tcPr>
          <w:p w14:paraId="61540858" w14:textId="77777777" w:rsidR="0053517C" w:rsidRDefault="0053517C" w:rsidP="0053517C"/>
        </w:tc>
        <w:tc>
          <w:tcPr>
            <w:tcW w:w="402" w:type="pct"/>
            <w:vAlign w:val="bottom"/>
          </w:tcPr>
          <w:p w14:paraId="6FD109A2" w14:textId="77777777" w:rsidR="0053517C" w:rsidRDefault="0053517C" w:rsidP="0053517C">
            <w:r>
              <w:t>75%</w:t>
            </w:r>
          </w:p>
        </w:tc>
        <w:tc>
          <w:tcPr>
            <w:tcW w:w="342" w:type="pct"/>
            <w:vAlign w:val="bottom"/>
          </w:tcPr>
          <w:p w14:paraId="416B7ABF" w14:textId="77777777" w:rsidR="0053517C" w:rsidRDefault="0053517C" w:rsidP="0053517C"/>
        </w:tc>
        <w:tc>
          <w:tcPr>
            <w:tcW w:w="577" w:type="pct"/>
            <w:vAlign w:val="bottom"/>
          </w:tcPr>
          <w:p w14:paraId="5350C4A2" w14:textId="77777777" w:rsidR="0053517C" w:rsidRDefault="0053517C" w:rsidP="0053517C"/>
        </w:tc>
        <w:tc>
          <w:tcPr>
            <w:tcW w:w="384" w:type="pct"/>
            <w:vAlign w:val="bottom"/>
          </w:tcPr>
          <w:p w14:paraId="5C944D1F" w14:textId="77777777" w:rsidR="0053517C" w:rsidRDefault="0053517C" w:rsidP="0053517C">
            <w:r>
              <w:t>2%</w:t>
            </w:r>
          </w:p>
        </w:tc>
        <w:tc>
          <w:tcPr>
            <w:tcW w:w="439" w:type="pct"/>
            <w:vAlign w:val="bottom"/>
          </w:tcPr>
          <w:p w14:paraId="405F8909" w14:textId="77777777" w:rsidR="0053517C" w:rsidRDefault="0053517C" w:rsidP="0053517C">
            <w:r>
              <w:t>0,36%</w:t>
            </w:r>
          </w:p>
        </w:tc>
        <w:tc>
          <w:tcPr>
            <w:tcW w:w="365" w:type="pct"/>
            <w:vAlign w:val="bottom"/>
          </w:tcPr>
          <w:p w14:paraId="2C18F1E4" w14:textId="77777777" w:rsidR="0053517C" w:rsidRDefault="0053517C" w:rsidP="0053517C"/>
        </w:tc>
        <w:tc>
          <w:tcPr>
            <w:tcW w:w="379" w:type="pct"/>
            <w:vAlign w:val="bottom"/>
          </w:tcPr>
          <w:p w14:paraId="54048694" w14:textId="77777777" w:rsidR="0053517C" w:rsidRDefault="0053517C" w:rsidP="0053517C">
            <w:r>
              <w:t>22,5%</w:t>
            </w:r>
          </w:p>
        </w:tc>
        <w:tc>
          <w:tcPr>
            <w:tcW w:w="1148" w:type="pct"/>
          </w:tcPr>
          <w:p w14:paraId="4CABB1EF" w14:textId="77777777" w:rsidR="0053517C" w:rsidRDefault="0053517C" w:rsidP="0053517C">
            <w:r>
              <w:fldChar w:fldCharType="begin"/>
            </w:r>
            <w:r>
              <w:instrText xml:space="preserve"> ADDIN ZOTERO_ITEM CSL_CITATION {"citationID":"mx2yxkXZ","properties":{"formattedCitation":"(Duarte and Garcia, 1999)","plainCitation":"(Duarte and Garcia, 1999)","noteIndex":0},"citationItems":[{"id":1609,"uris":["http://zotero.org/users/4871981/items/N46WGFKB"],"itemData":{"id":1609,"type":"article-journal","container-title":"Caribbean Journal of Science","note":"publisher: UNIVERSITY OF PUERTO RICO","page":"54–63","source":"Google Scholar","title":"Diet of the lane snapper, Lutjanus synagris (Lutjanidae), in the Gulf of Salamanca, Colombia","volume":"35","author":[{"family":"Duarte","given":"LUIS ORLANDO"},{"family":"Garcia","given":"CAMILO B."}],"issued":{"date-parts":[["1999"]]}}}],"schema":"https://github.com/citation-style-language/schema/raw/master/csl-citation.json"} </w:instrText>
            </w:r>
            <w:r>
              <w:fldChar w:fldCharType="separate"/>
            </w:r>
            <w:r w:rsidRPr="00002DBD">
              <w:rPr>
                <w:rFonts w:ascii="Calibri" w:hAnsi="Calibri" w:cs="Calibri"/>
              </w:rPr>
              <w:t>(Duarte and Garcia, 1999)</w:t>
            </w:r>
            <w:r>
              <w:fldChar w:fldCharType="end"/>
            </w:r>
          </w:p>
        </w:tc>
      </w:tr>
      <w:tr w:rsidR="0053517C" w14:paraId="25192A2C" w14:textId="77777777" w:rsidTr="006E3499">
        <w:tc>
          <w:tcPr>
            <w:tcW w:w="349" w:type="pct"/>
            <w:vAlign w:val="bottom"/>
          </w:tcPr>
          <w:p w14:paraId="37E44DEE" w14:textId="77777777" w:rsidR="0053517C" w:rsidRDefault="0053517C" w:rsidP="0053517C">
            <w:r>
              <w:t>pse.mac</w:t>
            </w:r>
          </w:p>
        </w:tc>
        <w:tc>
          <w:tcPr>
            <w:tcW w:w="289" w:type="pct"/>
            <w:vAlign w:val="bottom"/>
          </w:tcPr>
          <w:p w14:paraId="4C8E85B1" w14:textId="77777777" w:rsidR="0053517C" w:rsidRDefault="0053517C" w:rsidP="0053517C"/>
        </w:tc>
        <w:tc>
          <w:tcPr>
            <w:tcW w:w="324" w:type="pct"/>
            <w:vAlign w:val="bottom"/>
          </w:tcPr>
          <w:p w14:paraId="12ABB62A" w14:textId="77777777" w:rsidR="0053517C" w:rsidRDefault="0053517C" w:rsidP="0053517C"/>
        </w:tc>
        <w:tc>
          <w:tcPr>
            <w:tcW w:w="402" w:type="pct"/>
            <w:vAlign w:val="bottom"/>
          </w:tcPr>
          <w:p w14:paraId="60781B15" w14:textId="77777777" w:rsidR="0053517C" w:rsidRDefault="0053517C" w:rsidP="0053517C">
            <w:r>
              <w:t>95%</w:t>
            </w:r>
          </w:p>
        </w:tc>
        <w:tc>
          <w:tcPr>
            <w:tcW w:w="342" w:type="pct"/>
            <w:vAlign w:val="bottom"/>
          </w:tcPr>
          <w:p w14:paraId="7AB3ECD0" w14:textId="77777777" w:rsidR="0053517C" w:rsidRDefault="0053517C" w:rsidP="0053517C"/>
        </w:tc>
        <w:tc>
          <w:tcPr>
            <w:tcW w:w="577" w:type="pct"/>
            <w:vAlign w:val="bottom"/>
          </w:tcPr>
          <w:p w14:paraId="6390CEE3" w14:textId="77777777" w:rsidR="0053517C" w:rsidRDefault="0053517C" w:rsidP="0053517C"/>
        </w:tc>
        <w:tc>
          <w:tcPr>
            <w:tcW w:w="384" w:type="pct"/>
            <w:vAlign w:val="bottom"/>
          </w:tcPr>
          <w:p w14:paraId="455DC6E3" w14:textId="77777777" w:rsidR="0053517C" w:rsidRDefault="0053517C" w:rsidP="0053517C">
            <w:r>
              <w:t>2%</w:t>
            </w:r>
          </w:p>
        </w:tc>
        <w:tc>
          <w:tcPr>
            <w:tcW w:w="439" w:type="pct"/>
            <w:vAlign w:val="bottom"/>
          </w:tcPr>
          <w:p w14:paraId="39A3C5F0" w14:textId="77777777" w:rsidR="0053517C" w:rsidRDefault="0053517C" w:rsidP="0053517C"/>
        </w:tc>
        <w:tc>
          <w:tcPr>
            <w:tcW w:w="365" w:type="pct"/>
            <w:vAlign w:val="bottom"/>
          </w:tcPr>
          <w:p w14:paraId="5AED4900" w14:textId="77777777" w:rsidR="0053517C" w:rsidRDefault="0053517C" w:rsidP="0053517C"/>
        </w:tc>
        <w:tc>
          <w:tcPr>
            <w:tcW w:w="379" w:type="pct"/>
            <w:vAlign w:val="bottom"/>
          </w:tcPr>
          <w:p w14:paraId="5C166369" w14:textId="77777777" w:rsidR="0053517C" w:rsidRDefault="0053517C" w:rsidP="0053517C">
            <w:r>
              <w:t>3%</w:t>
            </w:r>
          </w:p>
        </w:tc>
        <w:tc>
          <w:tcPr>
            <w:tcW w:w="1148" w:type="pct"/>
          </w:tcPr>
          <w:p w14:paraId="61F087E3" w14:textId="77777777" w:rsidR="0053517C" w:rsidRDefault="0053517C" w:rsidP="0053517C">
            <w:r>
              <w:t>Cruise data</w:t>
            </w:r>
          </w:p>
          <w:p w14:paraId="6399FA03" w14:textId="77777777" w:rsidR="0053517C" w:rsidRDefault="0053517C" w:rsidP="0053517C">
            <w:r>
              <w:t xml:space="preserve">Published in </w:t>
            </w:r>
            <w:r>
              <w:fldChar w:fldCharType="begin"/>
            </w:r>
            <w:r>
              <w:instrText xml:space="preserve"> ADDIN ZOTERO_ITEM CSL_CITATION {"citationID":"wDDrUxIm","properties":{"formattedCitation":"(Soares et al., 2020)","plainCitation":"(Soares et al., 2020)","noteIndex":0},"citationItems":[{"id":1499,"uris":["http://zotero.org/users/4871981/items/BEHFMUXV"],"itemData":{"id":1499,"type":"article-journal","container-title":"Scientia Marina","issue":"2","page":"119–131","source":"Google Scholar","title":"Feeding habits and population aspects of the spotted goatfish, Pseudupeneus maculatus (Perciformes: Mullidae), on the continental shelf of northeast Brazil","title-short":"Feeding habits and population aspects of the spotted goatfish, Pseudupeneus maculatus (Perciformes","volume":"84","author":[{"family":"Soares","given":"Andrey"},{"family":"Lira","given":"Alex Souza"},{"family":"Gonzalez","given":"Júlio Guazzelli"},{"family":"Eduardo","given":"Leandro Nolé"},{"family":"Lucena-Frédou","given":"Flávia"},{"family":"Le Loc’h","given":"François"},{"family":"Ferreira","given":"Beatrice Padovani"},{"family":"Frédou","given":"Thierry"}],"issued":{"date-parts":[["2020"]]}}}],"schema":"https://github.com/citation-style-language/schema/raw/master/csl-citation.json"} </w:instrText>
            </w:r>
            <w:r>
              <w:fldChar w:fldCharType="separate"/>
            </w:r>
            <w:r w:rsidRPr="00CB5EAD">
              <w:rPr>
                <w:rFonts w:ascii="Calibri" w:hAnsi="Calibri" w:cs="Calibri"/>
              </w:rPr>
              <w:t>(Soares et al., 2020)</w:t>
            </w:r>
            <w:r>
              <w:fldChar w:fldCharType="end"/>
            </w:r>
          </w:p>
        </w:tc>
      </w:tr>
      <w:tr w:rsidR="0053517C" w14:paraId="2A994DCD" w14:textId="77777777" w:rsidTr="006E3499">
        <w:tc>
          <w:tcPr>
            <w:tcW w:w="349" w:type="pct"/>
            <w:vAlign w:val="bottom"/>
          </w:tcPr>
          <w:p w14:paraId="51738EBC" w14:textId="77777777" w:rsidR="0053517C" w:rsidRDefault="0053517C" w:rsidP="0053517C">
            <w:proofErr w:type="spellStart"/>
            <w:r>
              <w:t>spa.axi</w:t>
            </w:r>
            <w:proofErr w:type="spellEnd"/>
          </w:p>
        </w:tc>
        <w:tc>
          <w:tcPr>
            <w:tcW w:w="289" w:type="pct"/>
            <w:vAlign w:val="bottom"/>
          </w:tcPr>
          <w:p w14:paraId="59379757" w14:textId="77777777" w:rsidR="0053517C" w:rsidRDefault="0053517C" w:rsidP="0053517C">
            <w:r>
              <w:t>39%</w:t>
            </w:r>
          </w:p>
        </w:tc>
        <w:tc>
          <w:tcPr>
            <w:tcW w:w="324" w:type="pct"/>
            <w:vAlign w:val="bottom"/>
          </w:tcPr>
          <w:p w14:paraId="44B5C4AA" w14:textId="77777777" w:rsidR="0053517C" w:rsidRDefault="0053517C" w:rsidP="0053517C">
            <w:r>
              <w:t>1%</w:t>
            </w:r>
          </w:p>
        </w:tc>
        <w:tc>
          <w:tcPr>
            <w:tcW w:w="402" w:type="pct"/>
            <w:vAlign w:val="bottom"/>
          </w:tcPr>
          <w:p w14:paraId="0C46825B" w14:textId="77777777" w:rsidR="0053517C" w:rsidRDefault="0053517C" w:rsidP="0053517C"/>
        </w:tc>
        <w:tc>
          <w:tcPr>
            <w:tcW w:w="342" w:type="pct"/>
            <w:vAlign w:val="bottom"/>
          </w:tcPr>
          <w:p w14:paraId="0803934F" w14:textId="77777777" w:rsidR="0053517C" w:rsidRDefault="0053517C" w:rsidP="0053517C">
            <w:r>
              <w:t>58%</w:t>
            </w:r>
          </w:p>
        </w:tc>
        <w:tc>
          <w:tcPr>
            <w:tcW w:w="577" w:type="pct"/>
            <w:vAlign w:val="bottom"/>
          </w:tcPr>
          <w:p w14:paraId="0C3704A9" w14:textId="77777777" w:rsidR="0053517C" w:rsidRDefault="0053517C" w:rsidP="0053517C"/>
        </w:tc>
        <w:tc>
          <w:tcPr>
            <w:tcW w:w="384" w:type="pct"/>
            <w:vAlign w:val="bottom"/>
          </w:tcPr>
          <w:p w14:paraId="35BA7B65" w14:textId="77777777" w:rsidR="0053517C" w:rsidRDefault="0053517C" w:rsidP="0053517C"/>
        </w:tc>
        <w:tc>
          <w:tcPr>
            <w:tcW w:w="439" w:type="pct"/>
            <w:vAlign w:val="bottom"/>
          </w:tcPr>
          <w:p w14:paraId="4E1CADC7" w14:textId="77777777" w:rsidR="0053517C" w:rsidRDefault="0053517C" w:rsidP="0053517C"/>
        </w:tc>
        <w:tc>
          <w:tcPr>
            <w:tcW w:w="365" w:type="pct"/>
            <w:vAlign w:val="bottom"/>
          </w:tcPr>
          <w:p w14:paraId="3D438E33" w14:textId="77777777" w:rsidR="0053517C" w:rsidRDefault="0053517C" w:rsidP="0053517C">
            <w:r>
              <w:t>2%</w:t>
            </w:r>
          </w:p>
        </w:tc>
        <w:tc>
          <w:tcPr>
            <w:tcW w:w="379" w:type="pct"/>
            <w:vAlign w:val="bottom"/>
          </w:tcPr>
          <w:p w14:paraId="63B30B60" w14:textId="77777777" w:rsidR="0053517C" w:rsidRDefault="0053517C" w:rsidP="0053517C"/>
        </w:tc>
        <w:tc>
          <w:tcPr>
            <w:tcW w:w="1148" w:type="pct"/>
          </w:tcPr>
          <w:p w14:paraId="66C83B56" w14:textId="77777777" w:rsidR="0053517C" w:rsidRDefault="0053517C" w:rsidP="0053517C">
            <w:r>
              <w:fldChar w:fldCharType="begin"/>
            </w:r>
            <w:r>
              <w:instrText xml:space="preserve"> ADDIN ZOTERO_ITEM CSL_CITATION {"citationID":"BFFBNQSr","properties":{"formattedCitation":"(Ferreira and Gon\\uc0\\u231{}alves, 2006)","plainCitation":"(Ferreira and Gonçalves, 2006)","noteIndex":0},"citationItems":[{"id":1605,"uris":["http://zotero.org/users/4871981/items/7KA9CHNA"],"itemData":{"id":1605,"type":"article-journal","container-title":"Journal of Fish Biology","issue":"5","note":"publisher: Wiley Online Library","page":"1533–1551","source":"Google Scholar","title":"Community structure and diet of roving herbivorous reef fishes in the Abrolhos Archipelago, south-western Atlantic","volume":"69","author":[{"family":"Ferreira","given":"C. E. L."},{"family":"Gonçalves","given":"J. E. A."}],"issued":{"date-parts":[["2006"]]}}}],"schema":"https://github.com/citation-style-language/schema/raw/master/csl-citation.json"} </w:instrText>
            </w:r>
            <w:r>
              <w:fldChar w:fldCharType="separate"/>
            </w:r>
            <w:r w:rsidRPr="00CB5EAD">
              <w:rPr>
                <w:rFonts w:ascii="Calibri" w:hAnsi="Calibri" w:cs="Calibri"/>
              </w:rPr>
              <w:t>(Ferreira and Gonçalves, 2006)</w:t>
            </w:r>
            <w:r>
              <w:fldChar w:fldCharType="end"/>
            </w:r>
          </w:p>
        </w:tc>
      </w:tr>
    </w:tbl>
    <w:p w14:paraId="25B126BF" w14:textId="77777777" w:rsidR="00690EFC" w:rsidRDefault="00690EFC" w:rsidP="00690EFC">
      <w:pPr>
        <w:pStyle w:val="Subttulo"/>
      </w:pPr>
    </w:p>
    <w:p w14:paraId="1C5B2CE9" w14:textId="77777777" w:rsidR="00690EFC" w:rsidRDefault="00690EFC" w:rsidP="00690EFC">
      <w:pPr>
        <w:pStyle w:val="Subttulo"/>
      </w:pPr>
    </w:p>
    <w:p w14:paraId="70D6B58B" w14:textId="77777777" w:rsidR="00690EFC" w:rsidRDefault="00690EFC" w:rsidP="00690EFC">
      <w:pPr>
        <w:pStyle w:val="Subttulo"/>
      </w:pPr>
      <w:r>
        <w:lastRenderedPageBreak/>
        <w:t xml:space="preserve">Supplementary Table 3: Number of individuals </w:t>
      </w:r>
      <w:proofErr w:type="spellStart"/>
      <w:r>
        <w:t>analysed</w:t>
      </w:r>
      <w:proofErr w:type="spellEnd"/>
      <w:r>
        <w:t xml:space="preserve"> (n),</w:t>
      </w:r>
      <w:r w:rsidRPr="00DB11FC">
        <w:t xml:space="preserve"> mean</w:t>
      </w:r>
      <w:r>
        <w:t xml:space="preserve"> values</w:t>
      </w:r>
      <w:r w:rsidRPr="00DB11FC">
        <w:t xml:space="preserve"> (±SD) of stable isotope ratios of carbon (</w:t>
      </w:r>
      <w:r w:rsidRPr="00DB11FC">
        <w:rPr>
          <w:rFonts w:ascii="Cambria Math" w:hAnsi="Cambria Math" w:cs="Cambria Math"/>
          <w:iCs/>
        </w:rPr>
        <w:t>𝛿</w:t>
      </w:r>
      <w:r w:rsidRPr="00DB11FC">
        <w:rPr>
          <w:vertAlign w:val="superscript"/>
        </w:rPr>
        <w:t>13</w:t>
      </w:r>
      <w:r w:rsidRPr="00DB11FC">
        <w:t>C) and nitrogen (</w:t>
      </w:r>
      <w:r w:rsidRPr="00DB11FC">
        <w:rPr>
          <w:rFonts w:ascii="Cambria Math" w:hAnsi="Cambria Math" w:cs="Cambria Math"/>
          <w:iCs/>
        </w:rPr>
        <w:t>𝛿</w:t>
      </w:r>
      <w:r w:rsidRPr="00DB11FC">
        <w:rPr>
          <w:vertAlign w:val="superscript"/>
        </w:rPr>
        <w:t>15</w:t>
      </w:r>
      <w:r w:rsidRPr="00DB11FC">
        <w:t>N)</w:t>
      </w:r>
      <w:r>
        <w:t xml:space="preserve">, size range (Total length cm), </w:t>
      </w:r>
      <w:proofErr w:type="spellStart"/>
      <w:r>
        <w:t>SEAc</w:t>
      </w:r>
      <w:proofErr w:type="spellEnd"/>
      <w:r>
        <w:t xml:space="preserve"> (corrected Standard ellipse area) and ITP (intraspecific trophic pressure) values for each selected species in zones A and B.</w:t>
      </w:r>
    </w:p>
    <w:tbl>
      <w:tblPr>
        <w:tblStyle w:val="Tabelacomgrade"/>
        <w:tblW w:w="0" w:type="auto"/>
        <w:tblLook w:val="04A0" w:firstRow="1" w:lastRow="0" w:firstColumn="1" w:lastColumn="0" w:noHBand="0" w:noVBand="1"/>
      </w:tblPr>
      <w:tblGrid>
        <w:gridCol w:w="1010"/>
        <w:gridCol w:w="456"/>
        <w:gridCol w:w="1208"/>
        <w:gridCol w:w="1123"/>
        <w:gridCol w:w="1143"/>
        <w:gridCol w:w="776"/>
        <w:gridCol w:w="636"/>
        <w:gridCol w:w="456"/>
        <w:gridCol w:w="1208"/>
        <w:gridCol w:w="1128"/>
        <w:gridCol w:w="1143"/>
        <w:gridCol w:w="776"/>
        <w:gridCol w:w="636"/>
      </w:tblGrid>
      <w:tr w:rsidR="00690EFC" w14:paraId="4CE163EE" w14:textId="77777777" w:rsidTr="00855B1C">
        <w:tc>
          <w:tcPr>
            <w:tcW w:w="0" w:type="auto"/>
            <w:vAlign w:val="center"/>
          </w:tcPr>
          <w:p w14:paraId="77FF7999" w14:textId="77777777" w:rsidR="00690EFC" w:rsidRDefault="00690EFC" w:rsidP="00855B1C"/>
        </w:tc>
        <w:tc>
          <w:tcPr>
            <w:tcW w:w="0" w:type="auto"/>
            <w:gridSpan w:val="6"/>
            <w:vAlign w:val="center"/>
          </w:tcPr>
          <w:p w14:paraId="1EE8D633" w14:textId="77777777" w:rsidR="00690EFC" w:rsidRDefault="00690EFC" w:rsidP="00855B1C">
            <w:r>
              <w:t>zone A</w:t>
            </w:r>
          </w:p>
        </w:tc>
        <w:tc>
          <w:tcPr>
            <w:tcW w:w="0" w:type="auto"/>
            <w:gridSpan w:val="6"/>
            <w:vAlign w:val="center"/>
          </w:tcPr>
          <w:p w14:paraId="656E207E" w14:textId="77777777" w:rsidR="00690EFC" w:rsidRDefault="00690EFC" w:rsidP="00855B1C">
            <w:r>
              <w:t>zone B</w:t>
            </w:r>
          </w:p>
        </w:tc>
      </w:tr>
      <w:tr w:rsidR="00C845D1" w14:paraId="6EDF5DD0" w14:textId="77777777" w:rsidTr="00855B1C">
        <w:tc>
          <w:tcPr>
            <w:tcW w:w="0" w:type="auto"/>
            <w:vAlign w:val="center"/>
          </w:tcPr>
          <w:p w14:paraId="7DC37959" w14:textId="77777777" w:rsidR="00690EFC" w:rsidRDefault="00690EFC" w:rsidP="00855B1C">
            <w:r>
              <w:t>Species</w:t>
            </w:r>
          </w:p>
        </w:tc>
        <w:tc>
          <w:tcPr>
            <w:tcW w:w="0" w:type="auto"/>
            <w:vAlign w:val="center"/>
          </w:tcPr>
          <w:p w14:paraId="4F134E02" w14:textId="77777777" w:rsidR="00690EFC" w:rsidRDefault="00690EFC" w:rsidP="00855B1C">
            <w:r>
              <w:t>n</w:t>
            </w:r>
          </w:p>
        </w:tc>
        <w:tc>
          <w:tcPr>
            <w:tcW w:w="0" w:type="auto"/>
            <w:vAlign w:val="center"/>
          </w:tcPr>
          <w:p w14:paraId="32A4742D" w14:textId="77777777" w:rsidR="00690EFC" w:rsidRDefault="00690EFC" w:rsidP="00855B1C">
            <w:r>
              <w:t>δ</w:t>
            </w:r>
            <w:r w:rsidRPr="00645511">
              <w:rPr>
                <w:vertAlign w:val="superscript"/>
              </w:rPr>
              <w:t>13</w:t>
            </w:r>
            <w:r>
              <w:t>C (‰)</w:t>
            </w:r>
          </w:p>
        </w:tc>
        <w:tc>
          <w:tcPr>
            <w:tcW w:w="0" w:type="auto"/>
            <w:vAlign w:val="center"/>
          </w:tcPr>
          <w:p w14:paraId="6A09A6D4" w14:textId="77777777" w:rsidR="00690EFC" w:rsidRDefault="00690EFC" w:rsidP="00855B1C">
            <w:r>
              <w:t>δ</w:t>
            </w:r>
            <w:r w:rsidRPr="00645511">
              <w:rPr>
                <w:vertAlign w:val="superscript"/>
              </w:rPr>
              <w:t>1</w:t>
            </w:r>
            <w:r>
              <w:rPr>
                <w:vertAlign w:val="superscript"/>
              </w:rPr>
              <w:t>5</w:t>
            </w:r>
            <w:r>
              <w:t>N (‰)</w:t>
            </w:r>
          </w:p>
        </w:tc>
        <w:tc>
          <w:tcPr>
            <w:tcW w:w="0" w:type="auto"/>
            <w:vAlign w:val="center"/>
          </w:tcPr>
          <w:p w14:paraId="0F5213F8" w14:textId="77777777" w:rsidR="00690EFC" w:rsidRDefault="00690EFC" w:rsidP="00855B1C">
            <w:r>
              <w:t>Size (cm)</w:t>
            </w:r>
          </w:p>
        </w:tc>
        <w:tc>
          <w:tcPr>
            <w:tcW w:w="0" w:type="auto"/>
            <w:vAlign w:val="center"/>
          </w:tcPr>
          <w:p w14:paraId="5AD4DBB9" w14:textId="77777777" w:rsidR="00690EFC" w:rsidRDefault="00690EFC" w:rsidP="00855B1C">
            <w:proofErr w:type="spellStart"/>
            <w:r>
              <w:t>SEAc</w:t>
            </w:r>
            <w:proofErr w:type="spellEnd"/>
          </w:p>
        </w:tc>
        <w:tc>
          <w:tcPr>
            <w:tcW w:w="0" w:type="auto"/>
            <w:vAlign w:val="center"/>
          </w:tcPr>
          <w:p w14:paraId="32FE1EC0" w14:textId="77777777" w:rsidR="00690EFC" w:rsidRDefault="00690EFC" w:rsidP="00855B1C">
            <w:r>
              <w:t>ITP</w:t>
            </w:r>
          </w:p>
        </w:tc>
        <w:tc>
          <w:tcPr>
            <w:tcW w:w="0" w:type="auto"/>
            <w:vAlign w:val="center"/>
          </w:tcPr>
          <w:p w14:paraId="59EE7DB8" w14:textId="77777777" w:rsidR="00690EFC" w:rsidRDefault="00690EFC" w:rsidP="00855B1C">
            <w:r>
              <w:t>n</w:t>
            </w:r>
          </w:p>
        </w:tc>
        <w:tc>
          <w:tcPr>
            <w:tcW w:w="0" w:type="auto"/>
            <w:vAlign w:val="center"/>
          </w:tcPr>
          <w:p w14:paraId="2D59F11C" w14:textId="77777777" w:rsidR="00690EFC" w:rsidRDefault="00690EFC" w:rsidP="00855B1C">
            <w:r>
              <w:t>δ</w:t>
            </w:r>
            <w:r w:rsidRPr="00645511">
              <w:rPr>
                <w:vertAlign w:val="superscript"/>
              </w:rPr>
              <w:t>13</w:t>
            </w:r>
            <w:r>
              <w:t>C (‰)</w:t>
            </w:r>
          </w:p>
        </w:tc>
        <w:tc>
          <w:tcPr>
            <w:tcW w:w="0" w:type="auto"/>
            <w:vAlign w:val="center"/>
          </w:tcPr>
          <w:p w14:paraId="6E837CE9" w14:textId="77777777" w:rsidR="00690EFC" w:rsidRDefault="00690EFC" w:rsidP="00855B1C">
            <w:r>
              <w:t>δ</w:t>
            </w:r>
            <w:r w:rsidRPr="00645511">
              <w:rPr>
                <w:vertAlign w:val="superscript"/>
              </w:rPr>
              <w:t>1</w:t>
            </w:r>
            <w:r>
              <w:rPr>
                <w:vertAlign w:val="superscript"/>
              </w:rPr>
              <w:t>5</w:t>
            </w:r>
            <w:r>
              <w:t>N (‰)</w:t>
            </w:r>
          </w:p>
        </w:tc>
        <w:tc>
          <w:tcPr>
            <w:tcW w:w="0" w:type="auto"/>
            <w:vAlign w:val="center"/>
          </w:tcPr>
          <w:p w14:paraId="455BEA42" w14:textId="77777777" w:rsidR="00690EFC" w:rsidRDefault="00690EFC" w:rsidP="00855B1C">
            <w:r>
              <w:t>Size (cm)</w:t>
            </w:r>
          </w:p>
        </w:tc>
        <w:tc>
          <w:tcPr>
            <w:tcW w:w="0" w:type="auto"/>
            <w:vAlign w:val="center"/>
          </w:tcPr>
          <w:p w14:paraId="7236CA4E" w14:textId="77777777" w:rsidR="00690EFC" w:rsidRDefault="00690EFC" w:rsidP="00855B1C">
            <w:proofErr w:type="spellStart"/>
            <w:r>
              <w:t>SEAc</w:t>
            </w:r>
            <w:proofErr w:type="spellEnd"/>
          </w:p>
        </w:tc>
        <w:tc>
          <w:tcPr>
            <w:tcW w:w="0" w:type="auto"/>
            <w:vAlign w:val="center"/>
          </w:tcPr>
          <w:p w14:paraId="3AFBF47E" w14:textId="77777777" w:rsidR="00690EFC" w:rsidRDefault="00690EFC" w:rsidP="00855B1C">
            <w:r>
              <w:t>ITP</w:t>
            </w:r>
          </w:p>
        </w:tc>
      </w:tr>
      <w:tr w:rsidR="00C845D1" w14:paraId="281FB71F" w14:textId="77777777" w:rsidTr="00855B1C">
        <w:tc>
          <w:tcPr>
            <w:tcW w:w="0" w:type="auto"/>
            <w:vAlign w:val="center"/>
          </w:tcPr>
          <w:p w14:paraId="0A1EDED0" w14:textId="77777777" w:rsidR="00690EFC" w:rsidRDefault="00690EFC" w:rsidP="00855B1C">
            <w:proofErr w:type="spellStart"/>
            <w:r>
              <w:t>aca.chi</w:t>
            </w:r>
            <w:proofErr w:type="spellEnd"/>
          </w:p>
        </w:tc>
        <w:tc>
          <w:tcPr>
            <w:tcW w:w="0" w:type="auto"/>
            <w:vAlign w:val="center"/>
          </w:tcPr>
          <w:p w14:paraId="5D569AEA" w14:textId="77777777" w:rsidR="00690EFC" w:rsidRDefault="00690EFC" w:rsidP="00855B1C">
            <w:r>
              <w:t>18</w:t>
            </w:r>
          </w:p>
        </w:tc>
        <w:tc>
          <w:tcPr>
            <w:tcW w:w="0" w:type="auto"/>
            <w:vAlign w:val="center"/>
          </w:tcPr>
          <w:p w14:paraId="5E81FC8A" w14:textId="77777777" w:rsidR="00690EFC" w:rsidRDefault="00690EFC" w:rsidP="00855B1C">
            <w:r>
              <w:t xml:space="preserve">-16.4 </w:t>
            </w:r>
            <w:r w:rsidRPr="005C3F8C">
              <w:t>±</w:t>
            </w:r>
            <w:r>
              <w:t>2.9</w:t>
            </w:r>
          </w:p>
        </w:tc>
        <w:tc>
          <w:tcPr>
            <w:tcW w:w="0" w:type="auto"/>
            <w:vAlign w:val="center"/>
          </w:tcPr>
          <w:p w14:paraId="3BC22BCD" w14:textId="77777777" w:rsidR="00690EFC" w:rsidRDefault="00690EFC" w:rsidP="00855B1C">
            <w:r>
              <w:t xml:space="preserve">7.3 </w:t>
            </w:r>
            <w:r w:rsidRPr="005C3F8C">
              <w:t>±</w:t>
            </w:r>
            <w:r>
              <w:t>1.9</w:t>
            </w:r>
          </w:p>
        </w:tc>
        <w:tc>
          <w:tcPr>
            <w:tcW w:w="0" w:type="auto"/>
            <w:vAlign w:val="center"/>
          </w:tcPr>
          <w:p w14:paraId="23172001" w14:textId="77777777" w:rsidR="00690EFC" w:rsidRDefault="00690EFC" w:rsidP="00855B1C">
            <w:r>
              <w:t>14.8-27.0</w:t>
            </w:r>
          </w:p>
        </w:tc>
        <w:tc>
          <w:tcPr>
            <w:tcW w:w="0" w:type="auto"/>
            <w:vAlign w:val="center"/>
          </w:tcPr>
          <w:p w14:paraId="4933999C" w14:textId="77777777" w:rsidR="00690EFC" w:rsidRDefault="00690EFC" w:rsidP="00855B1C">
            <w:r>
              <w:t>98.9</w:t>
            </w:r>
          </w:p>
        </w:tc>
        <w:tc>
          <w:tcPr>
            <w:tcW w:w="0" w:type="auto"/>
            <w:vAlign w:val="center"/>
          </w:tcPr>
          <w:p w14:paraId="5B98C7F1" w14:textId="77777777" w:rsidR="00690EFC" w:rsidRDefault="00690EFC" w:rsidP="00855B1C">
            <w:r>
              <w:t>0.03</w:t>
            </w:r>
          </w:p>
        </w:tc>
        <w:tc>
          <w:tcPr>
            <w:tcW w:w="0" w:type="auto"/>
            <w:vAlign w:val="center"/>
          </w:tcPr>
          <w:p w14:paraId="0F3B5354" w14:textId="77777777" w:rsidR="00690EFC" w:rsidRDefault="00690EFC" w:rsidP="00855B1C">
            <w:r>
              <w:t>8</w:t>
            </w:r>
          </w:p>
        </w:tc>
        <w:tc>
          <w:tcPr>
            <w:tcW w:w="0" w:type="auto"/>
            <w:vAlign w:val="center"/>
          </w:tcPr>
          <w:p w14:paraId="71F86AC5" w14:textId="77777777" w:rsidR="00690EFC" w:rsidRDefault="00690EFC" w:rsidP="00855B1C">
            <w:r>
              <w:t xml:space="preserve">-15.8 </w:t>
            </w:r>
            <w:r w:rsidRPr="005C3F8C">
              <w:t>±</w:t>
            </w:r>
            <w:r>
              <w:t>0.2</w:t>
            </w:r>
          </w:p>
        </w:tc>
        <w:tc>
          <w:tcPr>
            <w:tcW w:w="0" w:type="auto"/>
            <w:vAlign w:val="center"/>
          </w:tcPr>
          <w:p w14:paraId="6224FCAD" w14:textId="77777777" w:rsidR="00690EFC" w:rsidRDefault="00690EFC" w:rsidP="00855B1C">
            <w:r>
              <w:t xml:space="preserve">7.7 </w:t>
            </w:r>
            <w:r w:rsidRPr="005C3F8C">
              <w:t>±</w:t>
            </w:r>
            <w:r>
              <w:t>2.1</w:t>
            </w:r>
          </w:p>
        </w:tc>
        <w:tc>
          <w:tcPr>
            <w:tcW w:w="0" w:type="auto"/>
            <w:vAlign w:val="center"/>
          </w:tcPr>
          <w:p w14:paraId="3FFE7574" w14:textId="77777777" w:rsidR="00690EFC" w:rsidRDefault="00690EFC" w:rsidP="00855B1C">
            <w:r>
              <w:t>13.8-25.0</w:t>
            </w:r>
          </w:p>
        </w:tc>
        <w:tc>
          <w:tcPr>
            <w:tcW w:w="0" w:type="auto"/>
            <w:vAlign w:val="center"/>
          </w:tcPr>
          <w:p w14:paraId="1FECBF9B" w14:textId="77777777" w:rsidR="00690EFC" w:rsidRDefault="00690EFC" w:rsidP="00855B1C">
            <w:r>
              <w:t>12.9</w:t>
            </w:r>
          </w:p>
        </w:tc>
        <w:tc>
          <w:tcPr>
            <w:tcW w:w="0" w:type="auto"/>
            <w:vAlign w:val="center"/>
          </w:tcPr>
          <w:p w14:paraId="587F5654" w14:textId="77777777" w:rsidR="00690EFC" w:rsidRDefault="00690EFC" w:rsidP="00855B1C">
            <w:r>
              <w:t>0.22</w:t>
            </w:r>
          </w:p>
        </w:tc>
      </w:tr>
      <w:tr w:rsidR="00C845D1" w14:paraId="369EC62F" w14:textId="77777777" w:rsidTr="00855B1C">
        <w:tc>
          <w:tcPr>
            <w:tcW w:w="0" w:type="auto"/>
            <w:vAlign w:val="center"/>
          </w:tcPr>
          <w:p w14:paraId="63C0FB99" w14:textId="77777777" w:rsidR="00690EFC" w:rsidRDefault="00690EFC" w:rsidP="00855B1C">
            <w:proofErr w:type="spellStart"/>
            <w:r>
              <w:t>hae.aur</w:t>
            </w:r>
            <w:proofErr w:type="spellEnd"/>
          </w:p>
        </w:tc>
        <w:tc>
          <w:tcPr>
            <w:tcW w:w="0" w:type="auto"/>
            <w:vAlign w:val="center"/>
          </w:tcPr>
          <w:p w14:paraId="7D810687" w14:textId="77777777" w:rsidR="00690EFC" w:rsidRDefault="00690EFC" w:rsidP="00855B1C">
            <w:r>
              <w:t>32</w:t>
            </w:r>
          </w:p>
        </w:tc>
        <w:tc>
          <w:tcPr>
            <w:tcW w:w="0" w:type="auto"/>
            <w:vAlign w:val="center"/>
          </w:tcPr>
          <w:p w14:paraId="59E4631A" w14:textId="77777777" w:rsidR="00690EFC" w:rsidRDefault="00690EFC" w:rsidP="00855B1C">
            <w:r>
              <w:t>-15.1</w:t>
            </w:r>
            <w:r w:rsidRPr="005C3F8C">
              <w:t>±</w:t>
            </w:r>
            <w:r>
              <w:t>0.6</w:t>
            </w:r>
          </w:p>
        </w:tc>
        <w:tc>
          <w:tcPr>
            <w:tcW w:w="0" w:type="auto"/>
            <w:vAlign w:val="center"/>
          </w:tcPr>
          <w:p w14:paraId="29BAB23D" w14:textId="77777777" w:rsidR="00690EFC" w:rsidRDefault="00690EFC" w:rsidP="00855B1C">
            <w:r>
              <w:t xml:space="preserve">8.8 </w:t>
            </w:r>
            <w:r w:rsidRPr="005C3F8C">
              <w:t>±</w:t>
            </w:r>
            <w:r>
              <w:t>1.4</w:t>
            </w:r>
          </w:p>
        </w:tc>
        <w:tc>
          <w:tcPr>
            <w:tcW w:w="0" w:type="auto"/>
            <w:vAlign w:val="center"/>
          </w:tcPr>
          <w:p w14:paraId="7A54A72C" w14:textId="77777777" w:rsidR="00690EFC" w:rsidRDefault="00690EFC" w:rsidP="00855B1C">
            <w:r>
              <w:t>11.7-25.0</w:t>
            </w:r>
          </w:p>
        </w:tc>
        <w:tc>
          <w:tcPr>
            <w:tcW w:w="0" w:type="auto"/>
            <w:vAlign w:val="center"/>
          </w:tcPr>
          <w:p w14:paraId="1C9E3B19" w14:textId="77777777" w:rsidR="00690EFC" w:rsidRDefault="00690EFC" w:rsidP="00855B1C">
            <w:r>
              <w:t>13.5</w:t>
            </w:r>
          </w:p>
        </w:tc>
        <w:tc>
          <w:tcPr>
            <w:tcW w:w="0" w:type="auto"/>
            <w:vAlign w:val="center"/>
          </w:tcPr>
          <w:p w14:paraId="7D4DE826" w14:textId="77777777" w:rsidR="00690EFC" w:rsidRDefault="00690EFC" w:rsidP="00855B1C">
            <w:r>
              <w:t>0.31</w:t>
            </w:r>
          </w:p>
        </w:tc>
        <w:tc>
          <w:tcPr>
            <w:tcW w:w="0" w:type="auto"/>
            <w:vAlign w:val="center"/>
          </w:tcPr>
          <w:p w14:paraId="30CFF13E" w14:textId="77777777" w:rsidR="00690EFC" w:rsidRDefault="00690EFC" w:rsidP="00855B1C">
            <w:r>
              <w:t>35</w:t>
            </w:r>
          </w:p>
        </w:tc>
        <w:tc>
          <w:tcPr>
            <w:tcW w:w="0" w:type="auto"/>
            <w:vAlign w:val="center"/>
          </w:tcPr>
          <w:p w14:paraId="34669FAE" w14:textId="77777777" w:rsidR="00690EFC" w:rsidRDefault="00690EFC" w:rsidP="00855B1C">
            <w:r>
              <w:t xml:space="preserve">-15.3 </w:t>
            </w:r>
            <w:r w:rsidRPr="005C3F8C">
              <w:t>±</w:t>
            </w:r>
            <w:r>
              <w:t>0.7</w:t>
            </w:r>
          </w:p>
        </w:tc>
        <w:tc>
          <w:tcPr>
            <w:tcW w:w="0" w:type="auto"/>
            <w:vAlign w:val="center"/>
          </w:tcPr>
          <w:p w14:paraId="6008ACFA" w14:textId="77777777" w:rsidR="00690EFC" w:rsidRDefault="00690EFC" w:rsidP="00855B1C">
            <w:r>
              <w:t xml:space="preserve">9.7 </w:t>
            </w:r>
            <w:r w:rsidRPr="005C3F8C">
              <w:t>±</w:t>
            </w:r>
            <w:r>
              <w:t>1.3</w:t>
            </w:r>
          </w:p>
        </w:tc>
        <w:tc>
          <w:tcPr>
            <w:tcW w:w="0" w:type="auto"/>
            <w:vAlign w:val="center"/>
          </w:tcPr>
          <w:p w14:paraId="47E0D9B2" w14:textId="77777777" w:rsidR="00690EFC" w:rsidRDefault="00690EFC" w:rsidP="00855B1C">
            <w:r>
              <w:t>11.5-21.0</w:t>
            </w:r>
          </w:p>
        </w:tc>
        <w:tc>
          <w:tcPr>
            <w:tcW w:w="0" w:type="auto"/>
            <w:vAlign w:val="center"/>
          </w:tcPr>
          <w:p w14:paraId="180C6A91" w14:textId="77777777" w:rsidR="00690EFC" w:rsidRDefault="00690EFC" w:rsidP="00855B1C">
            <w:r>
              <w:t>15.7</w:t>
            </w:r>
          </w:p>
        </w:tc>
        <w:tc>
          <w:tcPr>
            <w:tcW w:w="0" w:type="auto"/>
            <w:vAlign w:val="center"/>
          </w:tcPr>
          <w:p w14:paraId="2F60FB8B" w14:textId="77777777" w:rsidR="00690EFC" w:rsidRDefault="00690EFC" w:rsidP="00855B1C">
            <w:r>
              <w:t>0.18</w:t>
            </w:r>
          </w:p>
        </w:tc>
      </w:tr>
      <w:tr w:rsidR="00C845D1" w14:paraId="05DFD504" w14:textId="77777777" w:rsidTr="00855B1C">
        <w:tc>
          <w:tcPr>
            <w:tcW w:w="0" w:type="auto"/>
            <w:vAlign w:val="center"/>
          </w:tcPr>
          <w:p w14:paraId="0425C5E1" w14:textId="77777777" w:rsidR="00690EFC" w:rsidRDefault="00690EFC" w:rsidP="00855B1C">
            <w:proofErr w:type="spellStart"/>
            <w:r>
              <w:t>hae.plu</w:t>
            </w:r>
            <w:proofErr w:type="spellEnd"/>
          </w:p>
        </w:tc>
        <w:tc>
          <w:tcPr>
            <w:tcW w:w="0" w:type="auto"/>
            <w:vAlign w:val="center"/>
          </w:tcPr>
          <w:p w14:paraId="3825032F" w14:textId="77777777" w:rsidR="00690EFC" w:rsidRDefault="00690EFC" w:rsidP="00855B1C">
            <w:r>
              <w:t>27</w:t>
            </w:r>
          </w:p>
        </w:tc>
        <w:tc>
          <w:tcPr>
            <w:tcW w:w="0" w:type="auto"/>
            <w:vAlign w:val="center"/>
          </w:tcPr>
          <w:p w14:paraId="7EF7EF9F" w14:textId="77777777" w:rsidR="00690EFC" w:rsidRDefault="00690EFC" w:rsidP="00855B1C">
            <w:r>
              <w:t xml:space="preserve">-14.7 </w:t>
            </w:r>
            <w:r w:rsidRPr="005C3F8C">
              <w:t>±</w:t>
            </w:r>
            <w:r>
              <w:t>0.4</w:t>
            </w:r>
          </w:p>
        </w:tc>
        <w:tc>
          <w:tcPr>
            <w:tcW w:w="0" w:type="auto"/>
            <w:vAlign w:val="center"/>
          </w:tcPr>
          <w:p w14:paraId="08B0A6E5" w14:textId="77777777" w:rsidR="00690EFC" w:rsidRDefault="00690EFC" w:rsidP="00855B1C">
            <w:r>
              <w:t xml:space="preserve">9.0 </w:t>
            </w:r>
            <w:r w:rsidRPr="005C3F8C">
              <w:t>±</w:t>
            </w:r>
            <w:r>
              <w:t>0.8</w:t>
            </w:r>
          </w:p>
        </w:tc>
        <w:tc>
          <w:tcPr>
            <w:tcW w:w="0" w:type="auto"/>
            <w:vAlign w:val="center"/>
          </w:tcPr>
          <w:p w14:paraId="7BFF43AE" w14:textId="77777777" w:rsidR="00690EFC" w:rsidRDefault="00690EFC" w:rsidP="00855B1C">
            <w:r>
              <w:t>18.6-28.8</w:t>
            </w:r>
          </w:p>
        </w:tc>
        <w:tc>
          <w:tcPr>
            <w:tcW w:w="0" w:type="auto"/>
            <w:vAlign w:val="center"/>
          </w:tcPr>
          <w:p w14:paraId="0AD455A9" w14:textId="77777777" w:rsidR="00690EFC" w:rsidRDefault="00690EFC" w:rsidP="00855B1C">
            <w:r>
              <w:t>6.6</w:t>
            </w:r>
          </w:p>
        </w:tc>
        <w:tc>
          <w:tcPr>
            <w:tcW w:w="0" w:type="auto"/>
            <w:vAlign w:val="center"/>
          </w:tcPr>
          <w:p w14:paraId="0EE6FA28" w14:textId="77777777" w:rsidR="00690EFC" w:rsidRDefault="00690EFC" w:rsidP="00855B1C">
            <w:r>
              <w:t>0.48</w:t>
            </w:r>
          </w:p>
        </w:tc>
        <w:tc>
          <w:tcPr>
            <w:tcW w:w="0" w:type="auto"/>
            <w:vAlign w:val="center"/>
          </w:tcPr>
          <w:p w14:paraId="4E178821" w14:textId="77777777" w:rsidR="00690EFC" w:rsidRDefault="00690EFC" w:rsidP="00855B1C">
            <w:r>
              <w:t>41</w:t>
            </w:r>
          </w:p>
        </w:tc>
        <w:tc>
          <w:tcPr>
            <w:tcW w:w="0" w:type="auto"/>
            <w:vAlign w:val="center"/>
          </w:tcPr>
          <w:p w14:paraId="77CE2B48" w14:textId="77777777" w:rsidR="00690EFC" w:rsidRDefault="00690EFC" w:rsidP="00855B1C">
            <w:r>
              <w:t xml:space="preserve">-15.1 </w:t>
            </w:r>
            <w:r w:rsidRPr="005C3F8C">
              <w:t>±</w:t>
            </w:r>
            <w:r>
              <w:t>0.5</w:t>
            </w:r>
          </w:p>
        </w:tc>
        <w:tc>
          <w:tcPr>
            <w:tcW w:w="0" w:type="auto"/>
            <w:vAlign w:val="center"/>
          </w:tcPr>
          <w:p w14:paraId="3B5F6C6E" w14:textId="77777777" w:rsidR="00690EFC" w:rsidRDefault="00690EFC" w:rsidP="00855B1C">
            <w:r>
              <w:t xml:space="preserve">10.1 </w:t>
            </w:r>
            <w:r w:rsidRPr="005C3F8C">
              <w:t>±</w:t>
            </w:r>
            <w:r>
              <w:t>1.2</w:t>
            </w:r>
          </w:p>
        </w:tc>
        <w:tc>
          <w:tcPr>
            <w:tcW w:w="0" w:type="auto"/>
            <w:vAlign w:val="center"/>
          </w:tcPr>
          <w:p w14:paraId="56CF9ACA" w14:textId="77777777" w:rsidR="00690EFC" w:rsidRDefault="00690EFC" w:rsidP="00855B1C">
            <w:r>
              <w:t>12.7-28.7</w:t>
            </w:r>
          </w:p>
        </w:tc>
        <w:tc>
          <w:tcPr>
            <w:tcW w:w="0" w:type="auto"/>
            <w:vAlign w:val="center"/>
          </w:tcPr>
          <w:p w14:paraId="7572279F" w14:textId="77777777" w:rsidR="00690EFC" w:rsidRDefault="00690EFC" w:rsidP="00855B1C">
            <w:r>
              <w:t>11.4</w:t>
            </w:r>
          </w:p>
        </w:tc>
        <w:tc>
          <w:tcPr>
            <w:tcW w:w="0" w:type="auto"/>
            <w:vAlign w:val="center"/>
          </w:tcPr>
          <w:p w14:paraId="376702B6" w14:textId="77777777" w:rsidR="00690EFC" w:rsidRDefault="00690EFC" w:rsidP="00855B1C">
            <w:r>
              <w:t>0.25</w:t>
            </w:r>
          </w:p>
        </w:tc>
      </w:tr>
      <w:tr w:rsidR="00C845D1" w14:paraId="41715C4F" w14:textId="77777777" w:rsidTr="00855B1C">
        <w:tc>
          <w:tcPr>
            <w:tcW w:w="0" w:type="auto"/>
            <w:vAlign w:val="center"/>
          </w:tcPr>
          <w:p w14:paraId="76FBA635" w14:textId="77777777" w:rsidR="00690EFC" w:rsidRDefault="00690EFC" w:rsidP="00855B1C">
            <w:proofErr w:type="spellStart"/>
            <w:r>
              <w:t>hol.ads</w:t>
            </w:r>
            <w:proofErr w:type="spellEnd"/>
          </w:p>
        </w:tc>
        <w:tc>
          <w:tcPr>
            <w:tcW w:w="0" w:type="auto"/>
            <w:vAlign w:val="center"/>
          </w:tcPr>
          <w:p w14:paraId="2F244274" w14:textId="77777777" w:rsidR="00690EFC" w:rsidRDefault="00690EFC" w:rsidP="00855B1C">
            <w:r>
              <w:t>17</w:t>
            </w:r>
          </w:p>
        </w:tc>
        <w:tc>
          <w:tcPr>
            <w:tcW w:w="0" w:type="auto"/>
            <w:vAlign w:val="center"/>
          </w:tcPr>
          <w:p w14:paraId="1D163815" w14:textId="77777777" w:rsidR="00690EFC" w:rsidRDefault="00690EFC" w:rsidP="00855B1C">
            <w:r>
              <w:t xml:space="preserve">-15.3 </w:t>
            </w:r>
            <w:r w:rsidRPr="005C3F8C">
              <w:t>±</w:t>
            </w:r>
            <w:r>
              <w:t>0.8</w:t>
            </w:r>
          </w:p>
        </w:tc>
        <w:tc>
          <w:tcPr>
            <w:tcW w:w="0" w:type="auto"/>
            <w:vAlign w:val="center"/>
          </w:tcPr>
          <w:p w14:paraId="78722C3B" w14:textId="77777777" w:rsidR="00690EFC" w:rsidRDefault="00690EFC" w:rsidP="00855B1C">
            <w:r>
              <w:t xml:space="preserve">9.0 </w:t>
            </w:r>
            <w:r w:rsidRPr="005C3F8C">
              <w:t>±</w:t>
            </w:r>
            <w:r>
              <w:t>0.7</w:t>
            </w:r>
          </w:p>
        </w:tc>
        <w:tc>
          <w:tcPr>
            <w:tcW w:w="0" w:type="auto"/>
            <w:vAlign w:val="center"/>
          </w:tcPr>
          <w:p w14:paraId="4F17D2E3" w14:textId="77777777" w:rsidR="00690EFC" w:rsidRDefault="00690EFC" w:rsidP="00855B1C">
            <w:r>
              <w:t>19.4-27.4</w:t>
            </w:r>
          </w:p>
        </w:tc>
        <w:tc>
          <w:tcPr>
            <w:tcW w:w="0" w:type="auto"/>
            <w:vAlign w:val="center"/>
          </w:tcPr>
          <w:p w14:paraId="60022741" w14:textId="77777777" w:rsidR="00690EFC" w:rsidRDefault="00690EFC" w:rsidP="00855B1C">
            <w:r>
              <w:t>10.3</w:t>
            </w:r>
          </w:p>
        </w:tc>
        <w:tc>
          <w:tcPr>
            <w:tcW w:w="0" w:type="auto"/>
            <w:vAlign w:val="center"/>
          </w:tcPr>
          <w:p w14:paraId="4DA8CBD1" w14:textId="77777777" w:rsidR="00690EFC" w:rsidRDefault="00690EFC" w:rsidP="00855B1C">
            <w:r>
              <w:t>0.34</w:t>
            </w:r>
          </w:p>
        </w:tc>
        <w:tc>
          <w:tcPr>
            <w:tcW w:w="0" w:type="auto"/>
            <w:vAlign w:val="center"/>
          </w:tcPr>
          <w:p w14:paraId="5F9FFDA5" w14:textId="77777777" w:rsidR="00690EFC" w:rsidRDefault="00690EFC" w:rsidP="00855B1C">
            <w:r>
              <w:t>31</w:t>
            </w:r>
          </w:p>
        </w:tc>
        <w:tc>
          <w:tcPr>
            <w:tcW w:w="0" w:type="auto"/>
            <w:vAlign w:val="center"/>
          </w:tcPr>
          <w:p w14:paraId="17D2924A" w14:textId="77777777" w:rsidR="00690EFC" w:rsidRDefault="00690EFC" w:rsidP="00855B1C">
            <w:r>
              <w:t xml:space="preserve">-15.1 </w:t>
            </w:r>
            <w:r w:rsidRPr="005C3F8C">
              <w:t>±</w:t>
            </w:r>
            <w:r>
              <w:t>0.6</w:t>
            </w:r>
          </w:p>
        </w:tc>
        <w:tc>
          <w:tcPr>
            <w:tcW w:w="0" w:type="auto"/>
            <w:vAlign w:val="center"/>
          </w:tcPr>
          <w:p w14:paraId="0442D137" w14:textId="77777777" w:rsidR="00690EFC" w:rsidRDefault="00690EFC" w:rsidP="00855B1C">
            <w:r>
              <w:t xml:space="preserve">8.6 </w:t>
            </w:r>
            <w:r w:rsidRPr="005C3F8C">
              <w:t>±</w:t>
            </w:r>
            <w:r>
              <w:t>0.7</w:t>
            </w:r>
          </w:p>
        </w:tc>
        <w:tc>
          <w:tcPr>
            <w:tcW w:w="0" w:type="auto"/>
            <w:vAlign w:val="center"/>
          </w:tcPr>
          <w:p w14:paraId="1260E487" w14:textId="77777777" w:rsidR="00690EFC" w:rsidRDefault="00690EFC" w:rsidP="00855B1C">
            <w:r>
              <w:t>13.3-25.4</w:t>
            </w:r>
          </w:p>
        </w:tc>
        <w:tc>
          <w:tcPr>
            <w:tcW w:w="0" w:type="auto"/>
            <w:vAlign w:val="center"/>
          </w:tcPr>
          <w:p w14:paraId="2A2BD5B4" w14:textId="77777777" w:rsidR="00690EFC" w:rsidRDefault="00690EFC" w:rsidP="00855B1C">
            <w:r>
              <w:t>5.8</w:t>
            </w:r>
          </w:p>
        </w:tc>
        <w:tc>
          <w:tcPr>
            <w:tcW w:w="0" w:type="auto"/>
            <w:vAlign w:val="center"/>
          </w:tcPr>
          <w:p w14:paraId="6EB218E1" w14:textId="77777777" w:rsidR="00690EFC" w:rsidRDefault="00690EFC" w:rsidP="00855B1C">
            <w:r>
              <w:t>0.54</w:t>
            </w:r>
          </w:p>
        </w:tc>
      </w:tr>
      <w:tr w:rsidR="00C845D1" w14:paraId="4ADE1986" w14:textId="77777777" w:rsidTr="00855B1C">
        <w:tc>
          <w:tcPr>
            <w:tcW w:w="0" w:type="auto"/>
            <w:vAlign w:val="center"/>
          </w:tcPr>
          <w:p w14:paraId="34EF242F" w14:textId="77777777" w:rsidR="00690EFC" w:rsidRDefault="00690EFC" w:rsidP="00855B1C">
            <w:proofErr w:type="spellStart"/>
            <w:r>
              <w:t>hyp.mar</w:t>
            </w:r>
            <w:proofErr w:type="spellEnd"/>
          </w:p>
        </w:tc>
        <w:tc>
          <w:tcPr>
            <w:tcW w:w="0" w:type="auto"/>
            <w:vAlign w:val="center"/>
          </w:tcPr>
          <w:p w14:paraId="554BDE9D" w14:textId="77777777" w:rsidR="00690EFC" w:rsidRDefault="00690EFC" w:rsidP="00855B1C">
            <w:r>
              <w:t>20</w:t>
            </w:r>
          </w:p>
        </w:tc>
        <w:tc>
          <w:tcPr>
            <w:tcW w:w="0" w:type="auto"/>
            <w:vAlign w:val="center"/>
          </w:tcPr>
          <w:p w14:paraId="5AA80812" w14:textId="77777777" w:rsidR="00690EFC" w:rsidRDefault="00690EFC" w:rsidP="00855B1C">
            <w:r>
              <w:t>-14.1</w:t>
            </w:r>
            <w:r w:rsidRPr="005C3F8C">
              <w:t>±</w:t>
            </w:r>
            <w:r>
              <w:t>0.9</w:t>
            </w:r>
          </w:p>
        </w:tc>
        <w:tc>
          <w:tcPr>
            <w:tcW w:w="0" w:type="auto"/>
            <w:vAlign w:val="center"/>
          </w:tcPr>
          <w:p w14:paraId="7B4A8EF9" w14:textId="77777777" w:rsidR="00690EFC" w:rsidRDefault="00690EFC" w:rsidP="00855B1C">
            <w:r>
              <w:t xml:space="preserve">7.7 </w:t>
            </w:r>
            <w:r w:rsidRPr="005C3F8C">
              <w:t>±</w:t>
            </w:r>
            <w:r>
              <w:t>1.0</w:t>
            </w:r>
          </w:p>
        </w:tc>
        <w:tc>
          <w:tcPr>
            <w:tcW w:w="0" w:type="auto"/>
            <w:vAlign w:val="center"/>
          </w:tcPr>
          <w:p w14:paraId="765BF0FF" w14:textId="77777777" w:rsidR="00690EFC" w:rsidRDefault="00690EFC" w:rsidP="00855B1C">
            <w:r>
              <w:t>44.0-55.0</w:t>
            </w:r>
          </w:p>
        </w:tc>
        <w:tc>
          <w:tcPr>
            <w:tcW w:w="0" w:type="auto"/>
            <w:vAlign w:val="center"/>
          </w:tcPr>
          <w:p w14:paraId="4039614B" w14:textId="77777777" w:rsidR="00690EFC" w:rsidRDefault="00690EFC" w:rsidP="00855B1C">
            <w:r>
              <w:t>17.4</w:t>
            </w:r>
          </w:p>
        </w:tc>
        <w:tc>
          <w:tcPr>
            <w:tcW w:w="0" w:type="auto"/>
            <w:vAlign w:val="center"/>
          </w:tcPr>
          <w:p w14:paraId="7456616B" w14:textId="77777777" w:rsidR="00690EFC" w:rsidRDefault="00690EFC" w:rsidP="00855B1C">
            <w:r>
              <w:t>0.16</w:t>
            </w:r>
          </w:p>
        </w:tc>
        <w:tc>
          <w:tcPr>
            <w:tcW w:w="0" w:type="auto"/>
            <w:vAlign w:val="center"/>
          </w:tcPr>
          <w:p w14:paraId="30E44AA5" w14:textId="77777777" w:rsidR="00690EFC" w:rsidRDefault="00690EFC" w:rsidP="00855B1C">
            <w:r>
              <w:t>14</w:t>
            </w:r>
          </w:p>
        </w:tc>
        <w:tc>
          <w:tcPr>
            <w:tcW w:w="0" w:type="auto"/>
            <w:vAlign w:val="center"/>
          </w:tcPr>
          <w:p w14:paraId="411070B0" w14:textId="77777777" w:rsidR="00690EFC" w:rsidRDefault="00690EFC" w:rsidP="00855B1C">
            <w:r>
              <w:t xml:space="preserve">-14.7 </w:t>
            </w:r>
            <w:r w:rsidRPr="005C3F8C">
              <w:t>±</w:t>
            </w:r>
            <w:r>
              <w:t>0.6</w:t>
            </w:r>
          </w:p>
        </w:tc>
        <w:tc>
          <w:tcPr>
            <w:tcW w:w="0" w:type="auto"/>
            <w:vAlign w:val="center"/>
          </w:tcPr>
          <w:p w14:paraId="2EBFD420" w14:textId="77777777" w:rsidR="00690EFC" w:rsidRDefault="00690EFC" w:rsidP="00855B1C">
            <w:r>
              <w:t xml:space="preserve">7.2 </w:t>
            </w:r>
            <w:r w:rsidRPr="005C3F8C">
              <w:t>±</w:t>
            </w:r>
            <w:r>
              <w:t>0.7</w:t>
            </w:r>
          </w:p>
        </w:tc>
        <w:tc>
          <w:tcPr>
            <w:tcW w:w="0" w:type="auto"/>
            <w:vAlign w:val="center"/>
          </w:tcPr>
          <w:p w14:paraId="10398E58" w14:textId="77777777" w:rsidR="00690EFC" w:rsidRDefault="00690EFC" w:rsidP="00855B1C">
            <w:r>
              <w:t>29.0-65.0</w:t>
            </w:r>
          </w:p>
        </w:tc>
        <w:tc>
          <w:tcPr>
            <w:tcW w:w="0" w:type="auto"/>
            <w:vAlign w:val="center"/>
          </w:tcPr>
          <w:p w14:paraId="0B167AB9" w14:textId="77777777" w:rsidR="00690EFC" w:rsidRDefault="00690EFC" w:rsidP="00855B1C">
            <w:r>
              <w:t>7.4</w:t>
            </w:r>
          </w:p>
        </w:tc>
        <w:tc>
          <w:tcPr>
            <w:tcW w:w="0" w:type="auto"/>
            <w:vAlign w:val="center"/>
          </w:tcPr>
          <w:p w14:paraId="786EB9E2" w14:textId="77777777" w:rsidR="00690EFC" w:rsidRDefault="00690EFC" w:rsidP="00855B1C">
            <w:r>
              <w:t>0.32</w:t>
            </w:r>
          </w:p>
        </w:tc>
      </w:tr>
      <w:tr w:rsidR="00C845D1" w14:paraId="5B29D14C" w14:textId="77777777" w:rsidTr="00855B1C">
        <w:tc>
          <w:tcPr>
            <w:tcW w:w="0" w:type="auto"/>
            <w:vAlign w:val="center"/>
          </w:tcPr>
          <w:p w14:paraId="4585FE6C" w14:textId="77777777" w:rsidR="00690EFC" w:rsidRPr="002334BB" w:rsidRDefault="00690EFC" w:rsidP="00855B1C">
            <w:proofErr w:type="spellStart"/>
            <w:r w:rsidRPr="002334BB">
              <w:t>lut.syn</w:t>
            </w:r>
            <w:proofErr w:type="spellEnd"/>
          </w:p>
        </w:tc>
        <w:tc>
          <w:tcPr>
            <w:tcW w:w="0" w:type="auto"/>
            <w:vAlign w:val="center"/>
          </w:tcPr>
          <w:p w14:paraId="407E5FC8" w14:textId="77777777" w:rsidR="00690EFC" w:rsidRPr="002334BB" w:rsidRDefault="00690EFC" w:rsidP="00855B1C">
            <w:r w:rsidRPr="002334BB">
              <w:t>37</w:t>
            </w:r>
          </w:p>
        </w:tc>
        <w:tc>
          <w:tcPr>
            <w:tcW w:w="0" w:type="auto"/>
            <w:vAlign w:val="center"/>
          </w:tcPr>
          <w:p w14:paraId="4B2D60BC" w14:textId="77777777" w:rsidR="00690EFC" w:rsidRPr="002334BB" w:rsidRDefault="00690EFC" w:rsidP="00855B1C">
            <w:r w:rsidRPr="002334BB">
              <w:t>-15.4±0.8</w:t>
            </w:r>
          </w:p>
        </w:tc>
        <w:tc>
          <w:tcPr>
            <w:tcW w:w="0" w:type="auto"/>
            <w:vAlign w:val="center"/>
          </w:tcPr>
          <w:p w14:paraId="26E4E769" w14:textId="77777777" w:rsidR="00690EFC" w:rsidRPr="002334BB" w:rsidRDefault="00690EFC" w:rsidP="00855B1C">
            <w:r w:rsidRPr="002334BB">
              <w:t>9.9 ±1.3</w:t>
            </w:r>
          </w:p>
        </w:tc>
        <w:tc>
          <w:tcPr>
            <w:tcW w:w="0" w:type="auto"/>
            <w:vAlign w:val="center"/>
          </w:tcPr>
          <w:p w14:paraId="368E7C30" w14:textId="77777777" w:rsidR="00690EFC" w:rsidRPr="002334BB" w:rsidRDefault="00690EFC" w:rsidP="00855B1C">
            <w:r w:rsidRPr="002334BB">
              <w:t>12.6-26.8</w:t>
            </w:r>
          </w:p>
        </w:tc>
        <w:tc>
          <w:tcPr>
            <w:tcW w:w="0" w:type="auto"/>
            <w:vAlign w:val="center"/>
          </w:tcPr>
          <w:p w14:paraId="133F1D80" w14:textId="77777777" w:rsidR="00690EFC" w:rsidRPr="002334BB" w:rsidRDefault="00690EFC" w:rsidP="00855B1C">
            <w:r>
              <w:t>18.2</w:t>
            </w:r>
          </w:p>
        </w:tc>
        <w:tc>
          <w:tcPr>
            <w:tcW w:w="0" w:type="auto"/>
            <w:vAlign w:val="center"/>
          </w:tcPr>
          <w:p w14:paraId="775B65BA" w14:textId="77777777" w:rsidR="00690EFC" w:rsidRPr="002334BB" w:rsidRDefault="00690EFC" w:rsidP="00855B1C">
            <w:r>
              <w:t>0.16</w:t>
            </w:r>
          </w:p>
        </w:tc>
        <w:tc>
          <w:tcPr>
            <w:tcW w:w="0" w:type="auto"/>
            <w:vAlign w:val="center"/>
          </w:tcPr>
          <w:p w14:paraId="085A938C" w14:textId="77777777" w:rsidR="00690EFC" w:rsidRPr="002334BB" w:rsidRDefault="00690EFC" w:rsidP="00855B1C">
            <w:r w:rsidRPr="002334BB">
              <w:t>23</w:t>
            </w:r>
          </w:p>
        </w:tc>
        <w:tc>
          <w:tcPr>
            <w:tcW w:w="0" w:type="auto"/>
            <w:vAlign w:val="center"/>
          </w:tcPr>
          <w:p w14:paraId="15DB28D2" w14:textId="77777777" w:rsidR="00690EFC" w:rsidRPr="002334BB" w:rsidRDefault="00690EFC" w:rsidP="00855B1C">
            <w:r w:rsidRPr="002334BB">
              <w:t>-15.0 ±0.6</w:t>
            </w:r>
          </w:p>
        </w:tc>
        <w:tc>
          <w:tcPr>
            <w:tcW w:w="0" w:type="auto"/>
            <w:vAlign w:val="center"/>
          </w:tcPr>
          <w:p w14:paraId="13B9B44B" w14:textId="77777777" w:rsidR="00690EFC" w:rsidRDefault="00690EFC" w:rsidP="00855B1C">
            <w:r>
              <w:t xml:space="preserve">10.1 </w:t>
            </w:r>
            <w:r w:rsidRPr="005C3F8C">
              <w:t>±</w:t>
            </w:r>
            <w:r>
              <w:t>1.1</w:t>
            </w:r>
          </w:p>
        </w:tc>
        <w:tc>
          <w:tcPr>
            <w:tcW w:w="0" w:type="auto"/>
            <w:vAlign w:val="center"/>
          </w:tcPr>
          <w:p w14:paraId="564656F8" w14:textId="77777777" w:rsidR="00690EFC" w:rsidRDefault="00690EFC" w:rsidP="00855B1C">
            <w:r>
              <w:t>16.6-26.8</w:t>
            </w:r>
          </w:p>
        </w:tc>
        <w:tc>
          <w:tcPr>
            <w:tcW w:w="0" w:type="auto"/>
            <w:vAlign w:val="center"/>
          </w:tcPr>
          <w:p w14:paraId="63834AFF" w14:textId="77777777" w:rsidR="00690EFC" w:rsidRDefault="00690EFC" w:rsidP="00855B1C">
            <w:r>
              <w:t>8.4</w:t>
            </w:r>
          </w:p>
        </w:tc>
        <w:tc>
          <w:tcPr>
            <w:tcW w:w="0" w:type="auto"/>
            <w:vAlign w:val="center"/>
          </w:tcPr>
          <w:p w14:paraId="3EE10FD9" w14:textId="77777777" w:rsidR="00690EFC" w:rsidRDefault="00690EFC" w:rsidP="00855B1C">
            <w:r>
              <w:t>0.32</w:t>
            </w:r>
          </w:p>
        </w:tc>
      </w:tr>
      <w:tr w:rsidR="00C845D1" w14:paraId="712317E2" w14:textId="77777777" w:rsidTr="00855B1C">
        <w:tc>
          <w:tcPr>
            <w:tcW w:w="0" w:type="auto"/>
            <w:vAlign w:val="center"/>
          </w:tcPr>
          <w:p w14:paraId="6E4F25CD" w14:textId="77777777" w:rsidR="00690EFC" w:rsidRDefault="00690EFC" w:rsidP="00855B1C">
            <w:r>
              <w:t>pse.mac</w:t>
            </w:r>
          </w:p>
        </w:tc>
        <w:tc>
          <w:tcPr>
            <w:tcW w:w="0" w:type="auto"/>
            <w:vAlign w:val="center"/>
          </w:tcPr>
          <w:p w14:paraId="6D6A1777" w14:textId="77777777" w:rsidR="00690EFC" w:rsidRDefault="00690EFC" w:rsidP="00855B1C">
            <w:r>
              <w:t>43</w:t>
            </w:r>
          </w:p>
        </w:tc>
        <w:tc>
          <w:tcPr>
            <w:tcW w:w="0" w:type="auto"/>
            <w:vAlign w:val="center"/>
          </w:tcPr>
          <w:p w14:paraId="1A1322F3" w14:textId="77777777" w:rsidR="00690EFC" w:rsidRDefault="00690EFC" w:rsidP="00855B1C">
            <w:r>
              <w:t>-16.1</w:t>
            </w:r>
            <w:r w:rsidRPr="005C3F8C">
              <w:t>±</w:t>
            </w:r>
            <w:r>
              <w:t>0.8</w:t>
            </w:r>
          </w:p>
        </w:tc>
        <w:tc>
          <w:tcPr>
            <w:tcW w:w="0" w:type="auto"/>
            <w:vAlign w:val="center"/>
          </w:tcPr>
          <w:p w14:paraId="6B307B59" w14:textId="77777777" w:rsidR="00690EFC" w:rsidRDefault="00690EFC" w:rsidP="00855B1C">
            <w:r>
              <w:t xml:space="preserve">8.2 </w:t>
            </w:r>
            <w:r w:rsidRPr="005C3F8C">
              <w:t>±</w:t>
            </w:r>
            <w:r>
              <w:t>0.6</w:t>
            </w:r>
          </w:p>
        </w:tc>
        <w:tc>
          <w:tcPr>
            <w:tcW w:w="0" w:type="auto"/>
            <w:vAlign w:val="center"/>
          </w:tcPr>
          <w:p w14:paraId="3DF8F294" w14:textId="77777777" w:rsidR="00690EFC" w:rsidRDefault="00690EFC" w:rsidP="00855B1C">
            <w:r>
              <w:t>13.4-28.3</w:t>
            </w:r>
          </w:p>
        </w:tc>
        <w:tc>
          <w:tcPr>
            <w:tcW w:w="0" w:type="auto"/>
            <w:vAlign w:val="center"/>
          </w:tcPr>
          <w:p w14:paraId="127EEB50" w14:textId="77777777" w:rsidR="00690EFC" w:rsidRDefault="00690EFC" w:rsidP="00855B1C">
            <w:r>
              <w:t>9.3</w:t>
            </w:r>
          </w:p>
        </w:tc>
        <w:tc>
          <w:tcPr>
            <w:tcW w:w="0" w:type="auto"/>
            <w:vAlign w:val="center"/>
          </w:tcPr>
          <w:p w14:paraId="2A1623D8" w14:textId="77777777" w:rsidR="00690EFC" w:rsidRDefault="00690EFC" w:rsidP="00855B1C">
            <w:r>
              <w:t>0.35</w:t>
            </w:r>
          </w:p>
        </w:tc>
        <w:tc>
          <w:tcPr>
            <w:tcW w:w="0" w:type="auto"/>
            <w:vAlign w:val="center"/>
          </w:tcPr>
          <w:p w14:paraId="2E69EFC2" w14:textId="77777777" w:rsidR="00690EFC" w:rsidRDefault="00690EFC" w:rsidP="00855B1C">
            <w:r>
              <w:t>57</w:t>
            </w:r>
          </w:p>
        </w:tc>
        <w:tc>
          <w:tcPr>
            <w:tcW w:w="0" w:type="auto"/>
            <w:vAlign w:val="center"/>
          </w:tcPr>
          <w:p w14:paraId="311FBA99" w14:textId="77777777" w:rsidR="00690EFC" w:rsidRDefault="00690EFC" w:rsidP="00855B1C">
            <w:r>
              <w:t xml:space="preserve">-15.7 </w:t>
            </w:r>
            <w:r w:rsidRPr="005C3F8C">
              <w:t>±</w:t>
            </w:r>
            <w:r>
              <w:t>0.6</w:t>
            </w:r>
          </w:p>
        </w:tc>
        <w:tc>
          <w:tcPr>
            <w:tcW w:w="0" w:type="auto"/>
            <w:vAlign w:val="center"/>
          </w:tcPr>
          <w:p w14:paraId="2946403F" w14:textId="77777777" w:rsidR="00690EFC" w:rsidRDefault="00690EFC" w:rsidP="00855B1C">
            <w:r>
              <w:t xml:space="preserve">8.2 </w:t>
            </w:r>
            <w:r w:rsidRPr="005C3F8C">
              <w:t>±</w:t>
            </w:r>
            <w:r>
              <w:t>0.9</w:t>
            </w:r>
          </w:p>
        </w:tc>
        <w:tc>
          <w:tcPr>
            <w:tcW w:w="0" w:type="auto"/>
            <w:vAlign w:val="center"/>
          </w:tcPr>
          <w:p w14:paraId="071B815D" w14:textId="77777777" w:rsidR="00690EFC" w:rsidRDefault="00690EFC" w:rsidP="00855B1C">
            <w:r>
              <w:t>9.2-26.0</w:t>
            </w:r>
          </w:p>
        </w:tc>
        <w:tc>
          <w:tcPr>
            <w:tcW w:w="0" w:type="auto"/>
            <w:vAlign w:val="center"/>
          </w:tcPr>
          <w:p w14:paraId="453E8368" w14:textId="77777777" w:rsidR="00690EFC" w:rsidRDefault="00690EFC" w:rsidP="00855B1C">
            <w:r>
              <w:t>10.2</w:t>
            </w:r>
          </w:p>
        </w:tc>
        <w:tc>
          <w:tcPr>
            <w:tcW w:w="0" w:type="auto"/>
            <w:vAlign w:val="center"/>
          </w:tcPr>
          <w:p w14:paraId="0A441695" w14:textId="77777777" w:rsidR="00690EFC" w:rsidRDefault="00690EFC" w:rsidP="00855B1C">
            <w:r>
              <w:t>0.33</w:t>
            </w:r>
          </w:p>
        </w:tc>
      </w:tr>
      <w:tr w:rsidR="00C845D1" w14:paraId="297FD722" w14:textId="77777777" w:rsidTr="00855B1C">
        <w:tc>
          <w:tcPr>
            <w:tcW w:w="0" w:type="auto"/>
            <w:vAlign w:val="center"/>
          </w:tcPr>
          <w:p w14:paraId="6A583D6C" w14:textId="77777777" w:rsidR="00690EFC" w:rsidRDefault="00690EFC" w:rsidP="00855B1C">
            <w:proofErr w:type="spellStart"/>
            <w:r>
              <w:t>spa.axi</w:t>
            </w:r>
            <w:proofErr w:type="spellEnd"/>
          </w:p>
        </w:tc>
        <w:tc>
          <w:tcPr>
            <w:tcW w:w="0" w:type="auto"/>
            <w:vAlign w:val="center"/>
          </w:tcPr>
          <w:p w14:paraId="5639500B" w14:textId="77777777" w:rsidR="00690EFC" w:rsidRDefault="00690EFC" w:rsidP="00855B1C">
            <w:r>
              <w:t>8</w:t>
            </w:r>
          </w:p>
        </w:tc>
        <w:tc>
          <w:tcPr>
            <w:tcW w:w="0" w:type="auto"/>
            <w:vAlign w:val="center"/>
          </w:tcPr>
          <w:p w14:paraId="6FC0A0D7" w14:textId="77777777" w:rsidR="00690EFC" w:rsidRDefault="00690EFC" w:rsidP="00855B1C">
            <w:r>
              <w:t>-17.2</w:t>
            </w:r>
            <w:r w:rsidRPr="005C3F8C">
              <w:t>±</w:t>
            </w:r>
            <w:r>
              <w:t>0.5</w:t>
            </w:r>
          </w:p>
        </w:tc>
        <w:tc>
          <w:tcPr>
            <w:tcW w:w="0" w:type="auto"/>
            <w:vAlign w:val="center"/>
          </w:tcPr>
          <w:p w14:paraId="4BE7590F" w14:textId="77777777" w:rsidR="00690EFC" w:rsidRDefault="00690EFC" w:rsidP="00855B1C">
            <w:r>
              <w:t xml:space="preserve">5.8 </w:t>
            </w:r>
            <w:r w:rsidRPr="005C3F8C">
              <w:t>±</w:t>
            </w:r>
            <w:r>
              <w:t>0.2</w:t>
            </w:r>
          </w:p>
        </w:tc>
        <w:tc>
          <w:tcPr>
            <w:tcW w:w="0" w:type="auto"/>
            <w:vAlign w:val="center"/>
          </w:tcPr>
          <w:p w14:paraId="05505F28" w14:textId="77777777" w:rsidR="00690EFC" w:rsidRDefault="00690EFC" w:rsidP="00855B1C">
            <w:r>
              <w:t>16.7-21.4</w:t>
            </w:r>
          </w:p>
        </w:tc>
        <w:tc>
          <w:tcPr>
            <w:tcW w:w="0" w:type="auto"/>
            <w:vAlign w:val="center"/>
          </w:tcPr>
          <w:p w14:paraId="775F38AD" w14:textId="77777777" w:rsidR="00690EFC" w:rsidRDefault="00690EFC" w:rsidP="00855B1C">
            <w:r>
              <w:t>2.6</w:t>
            </w:r>
          </w:p>
        </w:tc>
        <w:tc>
          <w:tcPr>
            <w:tcW w:w="0" w:type="auto"/>
            <w:vAlign w:val="center"/>
          </w:tcPr>
          <w:p w14:paraId="1B0E3910" w14:textId="77777777" w:rsidR="00690EFC" w:rsidRDefault="00690EFC" w:rsidP="00855B1C">
            <w:r>
              <w:t>0.87</w:t>
            </w:r>
          </w:p>
        </w:tc>
        <w:tc>
          <w:tcPr>
            <w:tcW w:w="0" w:type="auto"/>
            <w:vAlign w:val="center"/>
          </w:tcPr>
          <w:p w14:paraId="0BAFEA2A" w14:textId="77777777" w:rsidR="00690EFC" w:rsidRDefault="00690EFC" w:rsidP="00855B1C">
            <w:r>
              <w:t>10</w:t>
            </w:r>
          </w:p>
        </w:tc>
        <w:tc>
          <w:tcPr>
            <w:tcW w:w="0" w:type="auto"/>
            <w:vAlign w:val="center"/>
          </w:tcPr>
          <w:p w14:paraId="76B70E71" w14:textId="77777777" w:rsidR="00690EFC" w:rsidRDefault="00690EFC" w:rsidP="00855B1C">
            <w:r>
              <w:t xml:space="preserve">-16.8 </w:t>
            </w:r>
            <w:r w:rsidRPr="005C3F8C">
              <w:t>±</w:t>
            </w:r>
            <w:r>
              <w:t>0.5</w:t>
            </w:r>
          </w:p>
        </w:tc>
        <w:tc>
          <w:tcPr>
            <w:tcW w:w="0" w:type="auto"/>
            <w:vAlign w:val="center"/>
          </w:tcPr>
          <w:p w14:paraId="67B2064D" w14:textId="77777777" w:rsidR="00690EFC" w:rsidRDefault="00690EFC" w:rsidP="00855B1C">
            <w:r>
              <w:t>5.8</w:t>
            </w:r>
            <w:r w:rsidRPr="005C3F8C">
              <w:t>±</w:t>
            </w:r>
            <w:r>
              <w:t>1.1</w:t>
            </w:r>
          </w:p>
        </w:tc>
        <w:tc>
          <w:tcPr>
            <w:tcW w:w="0" w:type="auto"/>
            <w:vAlign w:val="center"/>
          </w:tcPr>
          <w:p w14:paraId="33A89E8D" w14:textId="77777777" w:rsidR="00690EFC" w:rsidRDefault="00690EFC" w:rsidP="00855B1C">
            <w:r>
              <w:t>24.0-30.0</w:t>
            </w:r>
          </w:p>
        </w:tc>
        <w:tc>
          <w:tcPr>
            <w:tcW w:w="0" w:type="auto"/>
            <w:vAlign w:val="center"/>
          </w:tcPr>
          <w:p w14:paraId="66D7543F" w14:textId="77777777" w:rsidR="00690EFC" w:rsidRDefault="00690EFC" w:rsidP="00855B1C">
            <w:r>
              <w:t>9.8</w:t>
            </w:r>
          </w:p>
        </w:tc>
        <w:tc>
          <w:tcPr>
            <w:tcW w:w="0" w:type="auto"/>
            <w:vAlign w:val="center"/>
          </w:tcPr>
          <w:p w14:paraId="6DC7EA99" w14:textId="77777777" w:rsidR="00690EFC" w:rsidRDefault="00690EFC" w:rsidP="00855B1C">
            <w:r>
              <w:t>0.21</w:t>
            </w:r>
          </w:p>
        </w:tc>
      </w:tr>
    </w:tbl>
    <w:p w14:paraId="286D0E64" w14:textId="77777777" w:rsidR="00690EFC" w:rsidRDefault="00690EFC" w:rsidP="00690EFC"/>
    <w:p w14:paraId="7ACDE066" w14:textId="77777777" w:rsidR="00690EFC" w:rsidRPr="00D06BCD" w:rsidRDefault="00690EFC" w:rsidP="00690EFC">
      <w:pPr>
        <w:rPr>
          <w:lang w:val="pt-BR"/>
        </w:rPr>
      </w:pPr>
      <w:proofErr w:type="spellStart"/>
      <w:r w:rsidRPr="00D06BCD">
        <w:rPr>
          <w:lang w:val="pt-BR"/>
        </w:rPr>
        <w:t>Supplementary</w:t>
      </w:r>
      <w:proofErr w:type="spellEnd"/>
      <w:r w:rsidRPr="00D06BCD">
        <w:rPr>
          <w:lang w:val="pt-BR"/>
        </w:rPr>
        <w:t xml:space="preserve"> Material </w:t>
      </w:r>
      <w:proofErr w:type="spellStart"/>
      <w:r w:rsidRPr="00D06BCD">
        <w:rPr>
          <w:lang w:val="pt-BR"/>
        </w:rPr>
        <w:t>References</w:t>
      </w:r>
      <w:proofErr w:type="spellEnd"/>
      <w:r w:rsidRPr="00D06BCD">
        <w:rPr>
          <w:lang w:val="pt-BR"/>
        </w:rPr>
        <w:t>:</w:t>
      </w:r>
    </w:p>
    <w:p w14:paraId="4726B399" w14:textId="77777777" w:rsidR="00690EFC" w:rsidRDefault="00690EFC" w:rsidP="00690EFC">
      <w:pPr>
        <w:pStyle w:val="Bibliografia"/>
      </w:pPr>
      <w:r w:rsidRPr="00D06BCD">
        <w:rPr>
          <w:lang w:val="pt-BR"/>
        </w:rPr>
        <w:t xml:space="preserve">Amaral, R.F. do, Santos, J.R. dos, 2015. Carta </w:t>
      </w:r>
      <w:proofErr w:type="spellStart"/>
      <w:r w:rsidRPr="00D06BCD">
        <w:rPr>
          <w:lang w:val="pt-BR"/>
        </w:rPr>
        <w:t>textural</w:t>
      </w:r>
      <w:proofErr w:type="spellEnd"/>
      <w:r w:rsidRPr="00D06BCD">
        <w:rPr>
          <w:lang w:val="pt-BR"/>
        </w:rPr>
        <w:t xml:space="preserve"> da plataforma continental rasa do estado de Rio Grande do Norte-setor Touro. </w:t>
      </w:r>
      <w:proofErr w:type="spellStart"/>
      <w:r>
        <w:rPr>
          <w:lang w:val="pt-BR"/>
        </w:rPr>
        <w:t>Recife:CPRM</w:t>
      </w:r>
      <w:proofErr w:type="spellEnd"/>
      <w:r>
        <w:rPr>
          <w:lang w:val="pt-BR"/>
        </w:rPr>
        <w:t>. Mapa color.,73,25 x71,99</w:t>
      </w:r>
      <w:proofErr w:type="gramStart"/>
      <w:r>
        <w:rPr>
          <w:lang w:val="pt-BR"/>
        </w:rPr>
        <w:t>cm,Escala</w:t>
      </w:r>
      <w:proofErr w:type="gramEnd"/>
      <w:r>
        <w:rPr>
          <w:lang w:val="pt-BR"/>
        </w:rPr>
        <w:t>:1:100.000 (Programa Mar, Zona Costeira e Antártica. Folha de referência:SC-25-V -C-II).</w:t>
      </w:r>
    </w:p>
    <w:p w14:paraId="32C4C8E1" w14:textId="77777777" w:rsidR="00690EFC" w:rsidRPr="00D06BCD" w:rsidRDefault="00690EFC" w:rsidP="00690EFC">
      <w:pPr>
        <w:pStyle w:val="Bibliografia"/>
        <w:rPr>
          <w:lang w:val="pt-BR"/>
        </w:rPr>
      </w:pPr>
      <w:r w:rsidRPr="00D06BCD">
        <w:rPr>
          <w:lang w:val="pt-BR"/>
        </w:rPr>
        <w:t xml:space="preserve">Assis, H.M.B. De, Lopes, H., Gomes, R.B., </w:t>
      </w:r>
      <w:proofErr w:type="spellStart"/>
      <w:r w:rsidRPr="00D06BCD">
        <w:rPr>
          <w:lang w:val="pt-BR"/>
        </w:rPr>
        <w:t>Salviano</w:t>
      </w:r>
      <w:proofErr w:type="spellEnd"/>
      <w:r w:rsidRPr="00D06BCD">
        <w:rPr>
          <w:lang w:val="pt-BR"/>
        </w:rPr>
        <w:t xml:space="preserve">, K. Dos S., Valle, M.M., Oliveira, P.R.A., Moura, L.P., 2016. Carta </w:t>
      </w:r>
      <w:proofErr w:type="spellStart"/>
      <w:r w:rsidRPr="00D06BCD">
        <w:rPr>
          <w:lang w:val="pt-BR"/>
        </w:rPr>
        <w:t>textural</w:t>
      </w:r>
      <w:proofErr w:type="spellEnd"/>
      <w:r w:rsidRPr="00D06BCD">
        <w:rPr>
          <w:lang w:val="pt-BR"/>
        </w:rPr>
        <w:t xml:space="preserve"> e geomorfológica da Plataforma Rasa de Alagoas, setor Maceió Oeste.</w:t>
      </w:r>
      <w:r w:rsidRPr="00365562">
        <w:rPr>
          <w:lang w:val="pt-BR"/>
        </w:rPr>
        <w:t xml:space="preserve"> </w:t>
      </w:r>
      <w:proofErr w:type="spellStart"/>
      <w:r>
        <w:rPr>
          <w:lang w:val="pt-BR"/>
        </w:rPr>
        <w:t>Recife:CPRM</w:t>
      </w:r>
      <w:proofErr w:type="spellEnd"/>
      <w:r>
        <w:rPr>
          <w:lang w:val="pt-BR"/>
        </w:rPr>
        <w:t>.</w:t>
      </w:r>
      <w:r w:rsidRPr="00FE3AC4">
        <w:rPr>
          <w:lang w:val="pt-BR"/>
        </w:rPr>
        <w:t xml:space="preserve"> </w:t>
      </w:r>
      <w:r>
        <w:rPr>
          <w:lang w:val="pt-BR"/>
        </w:rPr>
        <w:t>Mapa color.96,55x 82,86</w:t>
      </w:r>
      <w:proofErr w:type="gramStart"/>
      <w:r>
        <w:rPr>
          <w:lang w:val="pt-BR"/>
        </w:rPr>
        <w:t>cm ,Escala</w:t>
      </w:r>
      <w:proofErr w:type="gramEnd"/>
      <w:r>
        <w:rPr>
          <w:lang w:val="pt-BR"/>
        </w:rPr>
        <w:t>:1:100.000(</w:t>
      </w:r>
      <w:proofErr w:type="spellStart"/>
      <w:r>
        <w:rPr>
          <w:lang w:val="pt-BR"/>
        </w:rPr>
        <w:t>Prog</w:t>
      </w:r>
      <w:proofErr w:type="spellEnd"/>
      <w:r>
        <w:rPr>
          <w:lang w:val="pt-BR"/>
        </w:rPr>
        <w:t xml:space="preserve"> </w:t>
      </w:r>
      <w:proofErr w:type="spellStart"/>
      <w:r>
        <w:rPr>
          <w:lang w:val="pt-BR"/>
        </w:rPr>
        <w:t>ram</w:t>
      </w:r>
      <w:proofErr w:type="spellEnd"/>
      <w:r>
        <w:rPr>
          <w:lang w:val="pt-BR"/>
        </w:rPr>
        <w:t xml:space="preserve"> a M </w:t>
      </w:r>
      <w:proofErr w:type="spellStart"/>
      <w:r>
        <w:rPr>
          <w:lang w:val="pt-BR"/>
        </w:rPr>
        <w:t>ar,Zona</w:t>
      </w:r>
      <w:proofErr w:type="spellEnd"/>
      <w:r>
        <w:rPr>
          <w:lang w:val="pt-BR"/>
        </w:rPr>
        <w:t xml:space="preserve"> Costeira e </w:t>
      </w:r>
      <w:proofErr w:type="spellStart"/>
      <w:r>
        <w:rPr>
          <w:lang w:val="pt-BR"/>
        </w:rPr>
        <w:t>Antártica.F</w:t>
      </w:r>
      <w:proofErr w:type="spellEnd"/>
      <w:r>
        <w:rPr>
          <w:lang w:val="pt-BR"/>
        </w:rPr>
        <w:t xml:space="preserve"> </w:t>
      </w:r>
      <w:proofErr w:type="spellStart"/>
      <w:r>
        <w:rPr>
          <w:lang w:val="pt-BR"/>
        </w:rPr>
        <w:t>olhasde</w:t>
      </w:r>
      <w:proofErr w:type="spellEnd"/>
      <w:r>
        <w:rPr>
          <w:lang w:val="pt-BR"/>
        </w:rPr>
        <w:t xml:space="preserve"> </w:t>
      </w:r>
      <w:proofErr w:type="spellStart"/>
      <w:r>
        <w:rPr>
          <w:lang w:val="pt-BR"/>
        </w:rPr>
        <w:t>referência:S</w:t>
      </w:r>
      <w:proofErr w:type="spellEnd"/>
      <w:r>
        <w:rPr>
          <w:lang w:val="pt-BR"/>
        </w:rPr>
        <w:t xml:space="preserve"> C-25-V-A-V,S C-25-V-C-IIe S C-25-V-C-I)</w:t>
      </w:r>
    </w:p>
    <w:p w14:paraId="425B207A" w14:textId="77777777" w:rsidR="00690EFC" w:rsidRPr="00D06BCD" w:rsidRDefault="00690EFC" w:rsidP="00690EFC">
      <w:pPr>
        <w:pStyle w:val="Bibliografia"/>
        <w:rPr>
          <w:lang w:val="pt-BR"/>
        </w:rPr>
      </w:pPr>
      <w:r w:rsidRPr="00D06BCD">
        <w:rPr>
          <w:lang w:val="pt-BR"/>
        </w:rPr>
        <w:t xml:space="preserve">Assis, H.M.B. de, Valle, M.M., Gomes, R.B., </w:t>
      </w:r>
      <w:proofErr w:type="spellStart"/>
      <w:r w:rsidRPr="00D06BCD">
        <w:rPr>
          <w:lang w:val="pt-BR"/>
        </w:rPr>
        <w:t>Salviano</w:t>
      </w:r>
      <w:proofErr w:type="spellEnd"/>
      <w:r w:rsidRPr="00D06BCD">
        <w:rPr>
          <w:lang w:val="pt-BR"/>
        </w:rPr>
        <w:t>, K. dos S., Pereira, L.B.F., 2015. Carta de caracterização dos agregados marinhos da plataforma continental rasa do estado de Pernambuco.</w:t>
      </w:r>
      <w:r w:rsidRPr="00456276">
        <w:rPr>
          <w:lang w:val="pt-BR"/>
        </w:rPr>
        <w:t xml:space="preserve"> </w:t>
      </w:r>
      <w:proofErr w:type="spellStart"/>
      <w:r>
        <w:rPr>
          <w:lang w:val="pt-BR"/>
        </w:rPr>
        <w:t>Recife:CPRM</w:t>
      </w:r>
      <w:proofErr w:type="spellEnd"/>
      <w:r>
        <w:rPr>
          <w:lang w:val="pt-BR"/>
        </w:rPr>
        <w:t xml:space="preserve">. F </w:t>
      </w:r>
      <w:proofErr w:type="spellStart"/>
      <w:r>
        <w:rPr>
          <w:lang w:val="pt-BR"/>
        </w:rPr>
        <w:t>olh</w:t>
      </w:r>
      <w:proofErr w:type="spellEnd"/>
      <w:r>
        <w:rPr>
          <w:lang w:val="pt-BR"/>
        </w:rPr>
        <w:t xml:space="preserve"> as de </w:t>
      </w:r>
      <w:proofErr w:type="spellStart"/>
      <w:r>
        <w:rPr>
          <w:lang w:val="pt-BR"/>
        </w:rPr>
        <w:t>referência:S</w:t>
      </w:r>
      <w:proofErr w:type="spellEnd"/>
      <w:r>
        <w:rPr>
          <w:lang w:val="pt-BR"/>
        </w:rPr>
        <w:t xml:space="preserve"> B.25-Y-C e S C.25-V-</w:t>
      </w:r>
      <w:proofErr w:type="gramStart"/>
      <w:r>
        <w:rPr>
          <w:lang w:val="pt-BR"/>
        </w:rPr>
        <w:t>A.R</w:t>
      </w:r>
      <w:proofErr w:type="gramEnd"/>
      <w:r>
        <w:rPr>
          <w:lang w:val="pt-BR"/>
        </w:rPr>
        <w:t xml:space="preserve"> </w:t>
      </w:r>
      <w:proofErr w:type="spellStart"/>
      <w:r>
        <w:rPr>
          <w:lang w:val="pt-BR"/>
        </w:rPr>
        <w:t>ecife:CPR</w:t>
      </w:r>
      <w:proofErr w:type="spellEnd"/>
      <w:r>
        <w:rPr>
          <w:lang w:val="pt-BR"/>
        </w:rPr>
        <w:t xml:space="preserve"> M ,2015.1mapa color.,83,71cm x 79,70cm,Escala:1:250.000(Programa M </w:t>
      </w:r>
      <w:proofErr w:type="spellStart"/>
      <w:r>
        <w:rPr>
          <w:lang w:val="pt-BR"/>
        </w:rPr>
        <w:t>ar,Zona</w:t>
      </w:r>
      <w:proofErr w:type="spellEnd"/>
      <w:r>
        <w:rPr>
          <w:lang w:val="pt-BR"/>
        </w:rPr>
        <w:t xml:space="preserve"> Costeira e Antártica.</w:t>
      </w:r>
    </w:p>
    <w:p w14:paraId="3CF9BFC3" w14:textId="77777777" w:rsidR="00690EFC" w:rsidRDefault="00690EFC" w:rsidP="00690EFC">
      <w:pPr>
        <w:pStyle w:val="Bibliografia"/>
      </w:pPr>
      <w:r w:rsidRPr="00D06BCD">
        <w:rPr>
          <w:lang w:val="pt-BR"/>
        </w:rPr>
        <w:t xml:space="preserve">Duarte, L.O., Garcia, C.B., 1999. </w:t>
      </w:r>
      <w:r>
        <w:t xml:space="preserve">Diet of the lane snapper, Lutjanus </w:t>
      </w:r>
      <w:proofErr w:type="spellStart"/>
      <w:r>
        <w:t>synagris</w:t>
      </w:r>
      <w:proofErr w:type="spellEnd"/>
      <w:r>
        <w:t xml:space="preserve"> (</w:t>
      </w:r>
      <w:proofErr w:type="spellStart"/>
      <w:r>
        <w:t>Lutjanidae</w:t>
      </w:r>
      <w:proofErr w:type="spellEnd"/>
      <w:r>
        <w:t>), in the Gulf of Salamanca, Colombia. Caribbean Journal of Science 35, 54–63.</w:t>
      </w:r>
    </w:p>
    <w:p w14:paraId="543E74B4" w14:textId="77777777" w:rsidR="00690EFC" w:rsidRDefault="00690EFC" w:rsidP="00690EFC">
      <w:pPr>
        <w:pStyle w:val="Bibliografia"/>
      </w:pPr>
      <w:r>
        <w:t>Ferreira, C.E.L., Gonçalves, J.E.A., 2006. Community structure and diet of roving herbivorous reef fishes in the Abrolhos Archipelago, south-western Atlantic. Journal of Fish Biology 69, 1533–1551.</w:t>
      </w:r>
    </w:p>
    <w:p w14:paraId="7B100790" w14:textId="77777777" w:rsidR="00690EFC" w:rsidRPr="00D357C9" w:rsidRDefault="00690EFC" w:rsidP="00690EFC">
      <w:r w:rsidRPr="00C17DC3">
        <w:t>Limeira,</w:t>
      </w:r>
      <w:r>
        <w:t xml:space="preserve"> A.G.C.,</w:t>
      </w:r>
      <w:r w:rsidRPr="00C17DC3">
        <w:t xml:space="preserve"> </w:t>
      </w:r>
      <w:proofErr w:type="spellStart"/>
      <w:r w:rsidRPr="00C17DC3">
        <w:t>Frédou</w:t>
      </w:r>
      <w:proofErr w:type="spellEnd"/>
      <w:r w:rsidRPr="00C17DC3">
        <w:t>,</w:t>
      </w:r>
      <w:r>
        <w:t xml:space="preserve"> T., </w:t>
      </w:r>
      <w:r w:rsidRPr="00C17DC3">
        <w:t>Soares,</w:t>
      </w:r>
      <w:r>
        <w:t xml:space="preserve"> </w:t>
      </w:r>
      <w:proofErr w:type="gramStart"/>
      <w:r>
        <w:t>A.P.C</w:t>
      </w:r>
      <w:r w:rsidRPr="00C17DC3">
        <w:t xml:space="preserve"> </w:t>
      </w:r>
      <w:r>
        <w:t>.,</w:t>
      </w:r>
      <w:r w:rsidRPr="00C17DC3">
        <w:t>Lira</w:t>
      </w:r>
      <w:proofErr w:type="gramEnd"/>
      <w:r w:rsidRPr="00C17DC3">
        <w:t>,</w:t>
      </w:r>
      <w:r>
        <w:t xml:space="preserve"> A.S., </w:t>
      </w:r>
      <w:r w:rsidRPr="00C17DC3">
        <w:t xml:space="preserve">Le </w:t>
      </w:r>
      <w:proofErr w:type="spellStart"/>
      <w:r w:rsidRPr="00C17DC3">
        <w:t>Loc´h</w:t>
      </w:r>
      <w:proofErr w:type="spellEnd"/>
      <w:r w:rsidRPr="00C17DC3">
        <w:t>,</w:t>
      </w:r>
      <w:r>
        <w:t xml:space="preserve"> F., </w:t>
      </w:r>
      <w:r w:rsidRPr="00C17DC3">
        <w:t>Viana,</w:t>
      </w:r>
      <w:r>
        <w:t xml:space="preserve"> G.F.S., </w:t>
      </w:r>
      <w:r w:rsidRPr="00C17DC3">
        <w:t xml:space="preserve"> Filho,</w:t>
      </w:r>
      <w:r>
        <w:t xml:space="preserve"> J.S.R.,</w:t>
      </w:r>
      <w:r w:rsidRPr="00C17DC3">
        <w:t xml:space="preserve">  </w:t>
      </w:r>
      <w:proofErr w:type="spellStart"/>
      <w:r w:rsidRPr="00C17DC3">
        <w:t>Munaron</w:t>
      </w:r>
      <w:proofErr w:type="spellEnd"/>
      <w:r>
        <w:t>, J.,</w:t>
      </w:r>
      <w:r w:rsidRPr="00C17DC3">
        <w:t xml:space="preserve"> </w:t>
      </w:r>
      <w:proofErr w:type="spellStart"/>
      <w:r w:rsidRPr="00C17DC3">
        <w:t>Lucena-Frédou</w:t>
      </w:r>
      <w:proofErr w:type="spellEnd"/>
      <w:r>
        <w:t>, F., (Submitted)</w:t>
      </w:r>
      <w:r w:rsidRPr="00C17DC3">
        <w:t xml:space="preserve">  </w:t>
      </w:r>
      <w:r w:rsidRPr="00D357C9">
        <w:t xml:space="preserve">Trophic ecology and resource partitioning of </w:t>
      </w:r>
      <w:proofErr w:type="spellStart"/>
      <w:r w:rsidRPr="00D357C9">
        <w:t>Haemulidae</w:t>
      </w:r>
      <w:proofErr w:type="spellEnd"/>
      <w:r w:rsidRPr="00D357C9">
        <w:t xml:space="preserve"> species along the Northeastern Brazilian continental shelf</w:t>
      </w:r>
      <w:r>
        <w:t>.</w:t>
      </w:r>
    </w:p>
    <w:p w14:paraId="30FF07EA" w14:textId="77777777" w:rsidR="00690EFC" w:rsidRDefault="00690EFC" w:rsidP="00690EFC">
      <w:pPr>
        <w:pStyle w:val="Bibliografia"/>
      </w:pPr>
      <w:r w:rsidRPr="00D06BCD">
        <w:rPr>
          <w:lang w:val="pt-BR"/>
        </w:rPr>
        <w:lastRenderedPageBreak/>
        <w:t xml:space="preserve">Queiroz, A.P., Araújo, M.L., Lessa, R., 2019. </w:t>
      </w:r>
      <w:r>
        <w:t xml:space="preserve">Dietary composition and trophic level of </w:t>
      </w:r>
      <w:proofErr w:type="spellStart"/>
      <w:r>
        <w:t>Hypanus</w:t>
      </w:r>
      <w:proofErr w:type="spellEnd"/>
      <w:r>
        <w:t xml:space="preserve"> </w:t>
      </w:r>
      <w:proofErr w:type="spellStart"/>
      <w:r>
        <w:t>marianae</w:t>
      </w:r>
      <w:proofErr w:type="spellEnd"/>
      <w:r>
        <w:t xml:space="preserve"> (</w:t>
      </w:r>
      <w:proofErr w:type="spellStart"/>
      <w:r>
        <w:t>Myliobatiformes</w:t>
      </w:r>
      <w:proofErr w:type="spellEnd"/>
      <w:r>
        <w:t xml:space="preserve">: Dasyatidae), captured off Pernambuco coast, Brazil. Latin </w:t>
      </w:r>
      <w:proofErr w:type="spellStart"/>
      <w:r>
        <w:t>american</w:t>
      </w:r>
      <w:proofErr w:type="spellEnd"/>
      <w:r>
        <w:t xml:space="preserve"> journal of aquatic research 47, 808–817.</w:t>
      </w:r>
    </w:p>
    <w:p w14:paraId="42DF655D" w14:textId="77777777" w:rsidR="00690EFC" w:rsidRDefault="00690EFC" w:rsidP="00690EFC">
      <w:pPr>
        <w:pStyle w:val="Bibliografia"/>
      </w:pPr>
      <w:r>
        <w:t>Randall, J.E., 1967. Food habits of reef fishes of the West Indies. Institute of Marine Sciences, University of Miami Coral Gables.</w:t>
      </w:r>
    </w:p>
    <w:p w14:paraId="0F4073F5" w14:textId="77777777" w:rsidR="00690EFC" w:rsidRPr="00D06BCD" w:rsidRDefault="00690EFC" w:rsidP="00690EFC">
      <w:pPr>
        <w:pStyle w:val="Bibliografia"/>
        <w:rPr>
          <w:lang w:val="pt-BR"/>
        </w:rPr>
      </w:pPr>
      <w:r>
        <w:t xml:space="preserve">Soares, A., Lira, A.S., Gonzalez, J.G., Eduardo, L.N., </w:t>
      </w:r>
      <w:proofErr w:type="spellStart"/>
      <w:r>
        <w:t>Lucena-Frédou</w:t>
      </w:r>
      <w:proofErr w:type="spellEnd"/>
      <w:r>
        <w:t xml:space="preserve">, F., Le </w:t>
      </w:r>
      <w:proofErr w:type="spellStart"/>
      <w:r>
        <w:t>Loc’h</w:t>
      </w:r>
      <w:proofErr w:type="spellEnd"/>
      <w:r>
        <w:t xml:space="preserve">, F., Ferreira, B.P., </w:t>
      </w:r>
      <w:proofErr w:type="spellStart"/>
      <w:r>
        <w:t>Frédou</w:t>
      </w:r>
      <w:proofErr w:type="spellEnd"/>
      <w:r>
        <w:t xml:space="preserve">, T., 2020. Feeding habits and population aspects of the spotted goatfish, </w:t>
      </w:r>
      <w:proofErr w:type="spellStart"/>
      <w:r>
        <w:t>Pseudupeneus</w:t>
      </w:r>
      <w:proofErr w:type="spellEnd"/>
      <w:r>
        <w:t xml:space="preserve"> maculatus (Perciformes: </w:t>
      </w:r>
      <w:proofErr w:type="spellStart"/>
      <w:r>
        <w:t>Mullidae</w:t>
      </w:r>
      <w:proofErr w:type="spellEnd"/>
      <w:r>
        <w:t xml:space="preserve">), on the continental shelf of northeast Brazil. </w:t>
      </w:r>
      <w:proofErr w:type="spellStart"/>
      <w:r w:rsidRPr="00D06BCD">
        <w:rPr>
          <w:lang w:val="pt-BR"/>
        </w:rPr>
        <w:t>Scientia</w:t>
      </w:r>
      <w:proofErr w:type="spellEnd"/>
      <w:r w:rsidRPr="00D06BCD">
        <w:rPr>
          <w:lang w:val="pt-BR"/>
        </w:rPr>
        <w:t xml:space="preserve"> Marina 84, 119–131.</w:t>
      </w:r>
    </w:p>
    <w:p w14:paraId="36AD494F" w14:textId="77777777" w:rsidR="00690EFC" w:rsidRDefault="00690EFC" w:rsidP="00690EFC">
      <w:pPr>
        <w:pStyle w:val="Bibliografia"/>
      </w:pPr>
      <w:r w:rsidRPr="00D06BCD">
        <w:rPr>
          <w:lang w:val="pt-BR"/>
        </w:rPr>
        <w:t xml:space="preserve">Vital, H., Silveira, I.M. da, Amaro, V.E., 2005. Carta </w:t>
      </w:r>
      <w:proofErr w:type="spellStart"/>
      <w:r w:rsidRPr="00D06BCD">
        <w:rPr>
          <w:lang w:val="pt-BR"/>
        </w:rPr>
        <w:t>sedimentólogica</w:t>
      </w:r>
      <w:proofErr w:type="spellEnd"/>
      <w:r w:rsidRPr="00D06BCD">
        <w:rPr>
          <w:lang w:val="pt-BR"/>
        </w:rPr>
        <w:t xml:space="preserve"> da plataforma continental brasileira: área Guamaré a Macau (NE Brasil), utilizando integração de dados geológicos e sensoriamento remoto. </w:t>
      </w:r>
      <w:proofErr w:type="spellStart"/>
      <w:r>
        <w:t>Revista</w:t>
      </w:r>
      <w:proofErr w:type="spellEnd"/>
      <w:r>
        <w:t xml:space="preserve"> </w:t>
      </w:r>
      <w:proofErr w:type="spellStart"/>
      <w:r>
        <w:t>Brasileira</w:t>
      </w:r>
      <w:proofErr w:type="spellEnd"/>
      <w:r>
        <w:t xml:space="preserve"> de </w:t>
      </w:r>
      <w:proofErr w:type="spellStart"/>
      <w:r>
        <w:t>Geofísica</w:t>
      </w:r>
      <w:proofErr w:type="spellEnd"/>
      <w:r>
        <w:t xml:space="preserve"> 23, 233–241.</w:t>
      </w:r>
    </w:p>
    <w:p w14:paraId="7C5F3875" w14:textId="77777777" w:rsidR="00622852" w:rsidRDefault="00622852"/>
    <w:sectPr w:rsidR="00622852" w:rsidSect="00C845D1">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AB7C1" w14:textId="77777777" w:rsidR="00D06BCD" w:rsidRDefault="00DF016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92841"/>
      <w:docPartObj>
        <w:docPartGallery w:val="Page Numbers (Bottom of Page)"/>
        <w:docPartUnique/>
      </w:docPartObj>
    </w:sdtPr>
    <w:sdtEndPr/>
    <w:sdtContent>
      <w:p w14:paraId="19F31C83" w14:textId="77777777" w:rsidR="00D06BCD" w:rsidRDefault="00DF016A">
        <w:pPr>
          <w:pStyle w:val="Rodap"/>
          <w:jc w:val="right"/>
        </w:pPr>
        <w:r>
          <w:fldChar w:fldCharType="begin"/>
        </w:r>
        <w:r>
          <w:instrText>PAGE   \* MERGEFORMAT</w:instrText>
        </w:r>
        <w:r>
          <w:fldChar w:fldCharType="separate"/>
        </w:r>
        <w:r>
          <w:rPr>
            <w:lang w:val="pt-BR"/>
          </w:rPr>
          <w:t>2</w:t>
        </w:r>
        <w:r>
          <w:fldChar w:fldCharType="end"/>
        </w:r>
      </w:p>
    </w:sdtContent>
  </w:sdt>
  <w:p w14:paraId="1E998DA8" w14:textId="77777777" w:rsidR="00172809" w:rsidRDefault="00DF016A" w:rsidP="00D06BC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1DA91" w14:textId="77777777" w:rsidR="00D06BCD" w:rsidRDefault="00DF016A">
    <w:pPr>
      <w:pStyle w:val="Rodap"/>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B5228" w14:textId="77777777" w:rsidR="00D06BCD" w:rsidRDefault="00DF016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AD19" w14:textId="77777777" w:rsidR="00D06BCD" w:rsidRDefault="00DF016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EDDB" w14:textId="77777777" w:rsidR="00D06BCD" w:rsidRDefault="00DF016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EFC"/>
    <w:rsid w:val="00230D24"/>
    <w:rsid w:val="00231B1B"/>
    <w:rsid w:val="00351EE2"/>
    <w:rsid w:val="0053517C"/>
    <w:rsid w:val="00622852"/>
    <w:rsid w:val="00690EFC"/>
    <w:rsid w:val="006A42B8"/>
    <w:rsid w:val="006E3499"/>
    <w:rsid w:val="00AE7576"/>
    <w:rsid w:val="00C845D1"/>
    <w:rsid w:val="00DF016A"/>
    <w:rsid w:val="00E625ED"/>
    <w:rsid w:val="00F573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22E32"/>
  <w15:chartTrackingRefBased/>
  <w15:docId w15:val="{399EC5E3-FE39-453C-AA44-73DCF863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EFC"/>
    <w:pPr>
      <w:spacing w:line="240" w:lineRule="auto"/>
      <w:jc w:val="both"/>
    </w:pPr>
    <w:rPr>
      <w:rFonts w:ascii="Times New Roman" w:hAnsi="Times New Roman" w:cs="Times New Roman"/>
      <w:sz w:val="24"/>
      <w:szCs w:val="24"/>
      <w:lang w:val="en-US" w:eastAsia="fr-FR"/>
    </w:rPr>
  </w:style>
  <w:style w:type="paragraph" w:styleId="Ttulo1">
    <w:name w:val="heading 1"/>
    <w:basedOn w:val="Normal"/>
    <w:next w:val="Normal"/>
    <w:link w:val="Ttulo1Char"/>
    <w:uiPriority w:val="9"/>
    <w:qFormat/>
    <w:rsid w:val="00351EE2"/>
    <w:pPr>
      <w:spacing w:after="0"/>
      <w:ind w:firstLine="708"/>
      <w:outlineLvl w:val="0"/>
    </w:pPr>
    <w:rPr>
      <w:rFonts w:cstheme="minorBidi"/>
      <w:b/>
      <w:szCs w:val="22"/>
      <w:lang w:val="en-GB"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51EE2"/>
    <w:rPr>
      <w:rFonts w:ascii="Times New Roman" w:hAnsi="Times New Roman"/>
      <w:b/>
      <w:sz w:val="24"/>
    </w:rPr>
  </w:style>
  <w:style w:type="table" w:styleId="Tabelacomgrade">
    <w:name w:val="Table Grid"/>
    <w:basedOn w:val="Tabelanormal"/>
    <w:uiPriority w:val="39"/>
    <w:rsid w:val="00690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690EFC"/>
    <w:pPr>
      <w:tabs>
        <w:tab w:val="center" w:pos="4252"/>
        <w:tab w:val="right" w:pos="8504"/>
      </w:tabs>
      <w:spacing w:after="0"/>
    </w:pPr>
  </w:style>
  <w:style w:type="character" w:customStyle="1" w:styleId="CabealhoChar">
    <w:name w:val="Cabeçalho Char"/>
    <w:basedOn w:val="Fontepargpadro"/>
    <w:link w:val="Cabealho"/>
    <w:uiPriority w:val="99"/>
    <w:rsid w:val="00690EFC"/>
    <w:rPr>
      <w:rFonts w:ascii="Times New Roman" w:hAnsi="Times New Roman" w:cs="Times New Roman"/>
      <w:sz w:val="24"/>
      <w:szCs w:val="24"/>
      <w:lang w:val="en-US" w:eastAsia="fr-FR"/>
    </w:rPr>
  </w:style>
  <w:style w:type="paragraph" w:styleId="Rodap">
    <w:name w:val="footer"/>
    <w:basedOn w:val="Normal"/>
    <w:link w:val="RodapChar"/>
    <w:uiPriority w:val="99"/>
    <w:unhideWhenUsed/>
    <w:rsid w:val="00690EFC"/>
    <w:pPr>
      <w:tabs>
        <w:tab w:val="center" w:pos="4252"/>
        <w:tab w:val="right" w:pos="8504"/>
      </w:tabs>
      <w:spacing w:after="0"/>
    </w:pPr>
  </w:style>
  <w:style w:type="character" w:customStyle="1" w:styleId="RodapChar">
    <w:name w:val="Rodapé Char"/>
    <w:basedOn w:val="Fontepargpadro"/>
    <w:link w:val="Rodap"/>
    <w:uiPriority w:val="99"/>
    <w:rsid w:val="00690EFC"/>
    <w:rPr>
      <w:rFonts w:ascii="Times New Roman" w:hAnsi="Times New Roman" w:cs="Times New Roman"/>
      <w:sz w:val="24"/>
      <w:szCs w:val="24"/>
      <w:lang w:val="en-US" w:eastAsia="fr-FR"/>
    </w:rPr>
  </w:style>
  <w:style w:type="paragraph" w:styleId="Subttulo">
    <w:name w:val="Subtitle"/>
    <w:basedOn w:val="Normal"/>
    <w:next w:val="Normal"/>
    <w:link w:val="SubttuloChar"/>
    <w:uiPriority w:val="11"/>
    <w:qFormat/>
    <w:rsid w:val="00690EFC"/>
    <w:pPr>
      <w:numPr>
        <w:ilvl w:val="1"/>
      </w:numPr>
    </w:pPr>
    <w:rPr>
      <w:rFonts w:eastAsiaTheme="minorEastAsia"/>
      <w:color w:val="5A5A5A" w:themeColor="text1" w:themeTint="A5"/>
      <w:spacing w:val="15"/>
      <w:sz w:val="20"/>
      <w:szCs w:val="20"/>
    </w:rPr>
  </w:style>
  <w:style w:type="character" w:customStyle="1" w:styleId="SubttuloChar">
    <w:name w:val="Subtítulo Char"/>
    <w:basedOn w:val="Fontepargpadro"/>
    <w:link w:val="Subttulo"/>
    <w:uiPriority w:val="11"/>
    <w:rsid w:val="00690EFC"/>
    <w:rPr>
      <w:rFonts w:ascii="Times New Roman" w:eastAsiaTheme="minorEastAsia" w:hAnsi="Times New Roman" w:cs="Times New Roman"/>
      <w:color w:val="5A5A5A" w:themeColor="text1" w:themeTint="A5"/>
      <w:spacing w:val="15"/>
      <w:sz w:val="20"/>
      <w:szCs w:val="20"/>
      <w:lang w:val="en-US" w:eastAsia="fr-FR"/>
    </w:rPr>
  </w:style>
  <w:style w:type="paragraph" w:styleId="Bibliografia">
    <w:name w:val="Bibliography"/>
    <w:basedOn w:val="Normal"/>
    <w:next w:val="Normal"/>
    <w:uiPriority w:val="37"/>
    <w:unhideWhenUsed/>
    <w:rsid w:val="00690EFC"/>
    <w:pPr>
      <w:spacing w:after="0"/>
      <w:ind w:left="720" w:hanging="720"/>
    </w:pPr>
  </w:style>
  <w:style w:type="character" w:styleId="Refdecomentrio">
    <w:name w:val="annotation reference"/>
    <w:basedOn w:val="Fontepargpadro"/>
    <w:uiPriority w:val="99"/>
    <w:semiHidden/>
    <w:unhideWhenUsed/>
    <w:rsid w:val="00690EFC"/>
    <w:rPr>
      <w:sz w:val="16"/>
      <w:szCs w:val="16"/>
    </w:rPr>
  </w:style>
  <w:style w:type="paragraph" w:styleId="Textodecomentrio">
    <w:name w:val="annotation text"/>
    <w:basedOn w:val="Normal"/>
    <w:link w:val="TextodecomentrioChar"/>
    <w:uiPriority w:val="99"/>
    <w:unhideWhenUsed/>
    <w:rsid w:val="00690EFC"/>
    <w:rPr>
      <w:sz w:val="20"/>
      <w:szCs w:val="20"/>
    </w:rPr>
  </w:style>
  <w:style w:type="character" w:customStyle="1" w:styleId="TextodecomentrioChar">
    <w:name w:val="Texto de comentário Char"/>
    <w:basedOn w:val="Fontepargpadro"/>
    <w:link w:val="Textodecomentrio"/>
    <w:uiPriority w:val="99"/>
    <w:rsid w:val="00690EFC"/>
    <w:rPr>
      <w:rFonts w:ascii="Times New Roman" w:hAnsi="Times New Roman" w:cs="Times New Roman"/>
      <w:sz w:val="20"/>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image" Target="media/image2.png"/><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image" Target="media/image1.png"/><Relationship Id="rId9"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2260</Words>
  <Characters>12206</Characters>
  <Application>Microsoft Office Word</Application>
  <DocSecurity>0</DocSecurity>
  <Lines>101</Lines>
  <Paragraphs>28</Paragraphs>
  <ScaleCrop>false</ScaleCrop>
  <Company/>
  <LinksUpToDate>false</LinksUpToDate>
  <CharactersWithSpaces>14438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Latifa Pelage</dc:creator>
  <cp:keywords/>
  <dc:description/>
  <cp:lastModifiedBy>Latifa Pelage</cp:lastModifiedBy>
  <cp:revision>8</cp:revision>
  <dcterms:created xsi:type="dcterms:W3CDTF">2022-06-20T18:18:00Z</dcterms:created>
  <dcterms:modified xsi:type="dcterms:W3CDTF">2022-06-21T14:20:00Z</dcterms:modified>
</cp:coreProperties>
</file>