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6A99" w14:textId="06A01BFB" w:rsidR="00061F7B" w:rsidRDefault="00061F7B" w:rsidP="00E331AC">
      <w:pPr>
        <w:jc w:val="center"/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</w:rPr>
      </w:pPr>
    </w:p>
    <w:p w14:paraId="475E32D7" w14:textId="03D146F7" w:rsidR="00F42974" w:rsidRDefault="00F42974" w:rsidP="00E331AC">
      <w:pPr>
        <w:jc w:val="center"/>
        <w:rPr>
          <w:rFonts w:asciiTheme="majorBidi" w:eastAsia="Times New Roman" w:hAnsiTheme="majorBidi" w:cstheme="majorBidi"/>
          <w:b/>
          <w:bCs/>
          <w:color w:val="1D2228"/>
          <w:sz w:val="28"/>
          <w:szCs w:val="28"/>
        </w:rPr>
      </w:pPr>
    </w:p>
    <w:p w14:paraId="0E9C1194" w14:textId="77777777" w:rsidR="00F42974" w:rsidRDefault="00F42974" w:rsidP="00E331AC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51B49805" w14:textId="209C8BA8" w:rsidR="00E331AC" w:rsidRPr="00E7298E" w:rsidRDefault="00E331AC" w:rsidP="00E331AC">
      <w:pPr>
        <w:jc w:val="center"/>
        <w:rPr>
          <w:rFonts w:asciiTheme="majorBidi" w:hAnsiTheme="majorBidi" w:cstheme="majorBidi"/>
          <w:sz w:val="24"/>
          <w:szCs w:val="24"/>
        </w:rPr>
      </w:pPr>
      <w:r w:rsidRPr="00E7298E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02DF3AE" wp14:editId="478FCFF8">
            <wp:extent cx="4649470" cy="3433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906C8" w14:textId="62E04882" w:rsidR="00E331AC" w:rsidRPr="00E7298E" w:rsidRDefault="00E331AC" w:rsidP="00E331AC">
      <w:pPr>
        <w:jc w:val="center"/>
        <w:rPr>
          <w:rFonts w:asciiTheme="majorBidi" w:hAnsiTheme="majorBidi" w:cstheme="majorBidi"/>
          <w:sz w:val="24"/>
          <w:szCs w:val="24"/>
        </w:rPr>
      </w:pPr>
      <w:r w:rsidRPr="00E7298E">
        <w:rPr>
          <w:rFonts w:asciiTheme="majorBidi" w:hAnsiTheme="majorBidi" w:cstheme="majorBidi"/>
          <w:sz w:val="24"/>
          <w:szCs w:val="24"/>
        </w:rPr>
        <w:t>Supplementary Fig</w:t>
      </w:r>
      <w:r w:rsidR="00F42974">
        <w:rPr>
          <w:rFonts w:asciiTheme="majorBidi" w:hAnsiTheme="majorBidi" w:cstheme="majorBidi"/>
          <w:sz w:val="24"/>
          <w:szCs w:val="24"/>
        </w:rPr>
        <w:t>ure</w:t>
      </w:r>
      <w:r w:rsidRPr="00E7298E">
        <w:rPr>
          <w:rFonts w:asciiTheme="majorBidi" w:hAnsiTheme="majorBidi" w:cstheme="majorBidi"/>
          <w:sz w:val="24"/>
          <w:szCs w:val="24"/>
        </w:rPr>
        <w:t xml:space="preserve"> 1:</w:t>
      </w:r>
      <w:r w:rsidR="00E7298E">
        <w:rPr>
          <w:rFonts w:asciiTheme="majorBidi" w:hAnsiTheme="majorBidi" w:cstheme="majorBidi"/>
          <w:sz w:val="24"/>
          <w:szCs w:val="24"/>
        </w:rPr>
        <w:t xml:space="preserve"> Variance of Ct </w:t>
      </w:r>
      <w:r w:rsidR="00AE3A77">
        <w:rPr>
          <w:rFonts w:asciiTheme="majorBidi" w:hAnsiTheme="majorBidi" w:cstheme="majorBidi"/>
          <w:sz w:val="24"/>
          <w:szCs w:val="24"/>
        </w:rPr>
        <w:t xml:space="preserve">value between candidate reference genes used in this study </w:t>
      </w:r>
      <w:r w:rsidR="00987A15">
        <w:rPr>
          <w:rFonts w:asciiTheme="majorBidi" w:hAnsiTheme="majorBidi" w:cstheme="majorBidi"/>
          <w:sz w:val="24"/>
          <w:szCs w:val="24"/>
        </w:rPr>
        <w:t>for normalization gene expression.</w:t>
      </w:r>
    </w:p>
    <w:sectPr w:rsidR="00E331AC" w:rsidRPr="00E72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0B"/>
    <w:rsid w:val="00061F7B"/>
    <w:rsid w:val="006A1634"/>
    <w:rsid w:val="00922B0B"/>
    <w:rsid w:val="00987A15"/>
    <w:rsid w:val="00AE3A77"/>
    <w:rsid w:val="00BA4DEE"/>
    <w:rsid w:val="00E331AC"/>
    <w:rsid w:val="00E7298E"/>
    <w:rsid w:val="00F4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F3C6"/>
  <w15:chartTrackingRefBased/>
  <w15:docId w15:val="{946BEF97-EA10-4719-8954-9EA7A418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</dc:creator>
  <cp:keywords/>
  <dc:description/>
  <cp:lastModifiedBy>Madar</cp:lastModifiedBy>
  <cp:revision>8</cp:revision>
  <dcterms:created xsi:type="dcterms:W3CDTF">2021-09-17T15:09:00Z</dcterms:created>
  <dcterms:modified xsi:type="dcterms:W3CDTF">2022-09-02T07:28:00Z</dcterms:modified>
</cp:coreProperties>
</file>