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E0F14" w14:textId="77777777" w:rsidR="007F0433" w:rsidRPr="00B34486" w:rsidRDefault="007F0433" w:rsidP="00756C1A">
      <w:pPr>
        <w:ind w:left="-1350" w:right="-1260"/>
        <w:jc w:val="center"/>
        <w:outlineLvl w:val="0"/>
        <w:rPr>
          <w:rFonts w:ascii="Times New Roman" w:hAnsi="Times New Roman" w:cs="Times New Roman"/>
          <w:b/>
          <w:sz w:val="28"/>
          <w:szCs w:val="28"/>
        </w:rPr>
      </w:pPr>
      <w:r w:rsidRPr="00B34486">
        <w:rPr>
          <w:rFonts w:ascii="Times New Roman" w:hAnsi="Times New Roman" w:cs="Times New Roman"/>
          <w:b/>
          <w:sz w:val="28"/>
          <w:szCs w:val="28"/>
        </w:rPr>
        <w:t>Supplemental Information for:</w:t>
      </w:r>
    </w:p>
    <w:p w14:paraId="7E853459" w14:textId="77777777" w:rsidR="007F0433" w:rsidRPr="00B34486" w:rsidRDefault="007F0433" w:rsidP="0063401C">
      <w:pPr>
        <w:ind w:left="-1350" w:right="-1260"/>
        <w:jc w:val="center"/>
        <w:rPr>
          <w:rFonts w:ascii="Times New Roman" w:hAnsi="Times New Roman" w:cs="Times New Roman"/>
          <w:b/>
          <w:sz w:val="28"/>
          <w:szCs w:val="28"/>
        </w:rPr>
      </w:pPr>
    </w:p>
    <w:p w14:paraId="572EED49" w14:textId="747D9FC8" w:rsidR="007A6D2A" w:rsidRPr="007A6D2A" w:rsidRDefault="007A6D2A" w:rsidP="007A6D2A">
      <w:pPr>
        <w:spacing w:line="480" w:lineRule="auto"/>
        <w:contextualSpacing/>
        <w:jc w:val="both"/>
        <w:rPr>
          <w:rFonts w:ascii="Times New Roman" w:hAnsi="Times New Roman" w:cs="Times New Roman"/>
          <w:b/>
        </w:rPr>
      </w:pPr>
      <w:r w:rsidRPr="007A6D2A">
        <w:rPr>
          <w:rFonts w:ascii="Times New Roman" w:hAnsi="Times New Roman" w:cs="Times New Roman"/>
          <w:b/>
        </w:rPr>
        <w:t xml:space="preserve">Not out of the Mediterranean: Atlantic populations of the gorgonian </w:t>
      </w:r>
      <w:proofErr w:type="spellStart"/>
      <w:r w:rsidRPr="007A6D2A">
        <w:rPr>
          <w:rFonts w:ascii="Times New Roman" w:hAnsi="Times New Roman" w:cs="Times New Roman"/>
          <w:b/>
          <w:i/>
        </w:rPr>
        <w:t>Paramuricea</w:t>
      </w:r>
      <w:proofErr w:type="spellEnd"/>
      <w:r w:rsidRPr="007A6D2A">
        <w:rPr>
          <w:rFonts w:ascii="Times New Roman" w:hAnsi="Times New Roman" w:cs="Times New Roman"/>
          <w:b/>
        </w:rPr>
        <w:t xml:space="preserve"> </w:t>
      </w:r>
      <w:proofErr w:type="spellStart"/>
      <w:r w:rsidRPr="007A6D2A">
        <w:rPr>
          <w:rFonts w:ascii="Times New Roman" w:hAnsi="Times New Roman" w:cs="Times New Roman"/>
          <w:b/>
          <w:i/>
        </w:rPr>
        <w:t>clavata</w:t>
      </w:r>
      <w:proofErr w:type="spellEnd"/>
      <w:r w:rsidRPr="007A6D2A">
        <w:rPr>
          <w:rFonts w:ascii="Times New Roman" w:hAnsi="Times New Roman" w:cs="Times New Roman"/>
          <w:b/>
        </w:rPr>
        <w:t xml:space="preserve"> are a separate sister species</w:t>
      </w:r>
      <w:r w:rsidR="00F55A8A">
        <w:rPr>
          <w:rFonts w:ascii="Times New Roman" w:hAnsi="Times New Roman" w:cs="Times New Roman"/>
          <w:b/>
        </w:rPr>
        <w:t xml:space="preserve"> under further diversification</w:t>
      </w:r>
    </w:p>
    <w:p w14:paraId="3E51E049" w14:textId="77777777" w:rsidR="007A6D2A" w:rsidRPr="007A6D2A" w:rsidRDefault="007A6D2A" w:rsidP="007A6D2A">
      <w:pPr>
        <w:spacing w:line="480" w:lineRule="auto"/>
        <w:contextualSpacing/>
        <w:jc w:val="both"/>
        <w:rPr>
          <w:rFonts w:ascii="Times New Roman" w:hAnsi="Times New Roman" w:cs="Times New Roman"/>
        </w:rPr>
      </w:pPr>
    </w:p>
    <w:p w14:paraId="08846E33" w14:textId="75690778" w:rsidR="00286A5E" w:rsidRPr="000D4E01" w:rsidRDefault="007A6D2A" w:rsidP="00286A5E">
      <w:pPr>
        <w:spacing w:line="480" w:lineRule="auto"/>
        <w:contextualSpacing/>
        <w:jc w:val="both"/>
        <w:rPr>
          <w:rFonts w:ascii="Times New Roman" w:hAnsi="Times New Roman" w:cs="Times New Roman"/>
        </w:rPr>
      </w:pPr>
      <w:bookmarkStart w:id="0" w:name="_GoBack"/>
      <w:proofErr w:type="spellStart"/>
      <w:r w:rsidRPr="000D4E01">
        <w:rPr>
          <w:rFonts w:ascii="Times New Roman" w:hAnsi="Times New Roman" w:cs="Times New Roman"/>
        </w:rPr>
        <w:t>Márcio</w:t>
      </w:r>
      <w:proofErr w:type="spellEnd"/>
      <w:r w:rsidRPr="000D4E01">
        <w:rPr>
          <w:rFonts w:ascii="Times New Roman" w:hAnsi="Times New Roman" w:cs="Times New Roman"/>
        </w:rPr>
        <w:t xml:space="preserve"> A. G. Coelho</w:t>
      </w:r>
      <w:r w:rsidRPr="000D4E01">
        <w:rPr>
          <w:rFonts w:ascii="Times New Roman" w:hAnsi="Times New Roman" w:cs="Times New Roman"/>
          <w:vertAlign w:val="superscript"/>
        </w:rPr>
        <w:t>1,2*§</w:t>
      </w:r>
      <w:r w:rsidRPr="000D4E01">
        <w:rPr>
          <w:rFonts w:ascii="Times New Roman" w:hAnsi="Times New Roman" w:cs="Times New Roman"/>
        </w:rPr>
        <w:t>, Gareth A. Pearson</w:t>
      </w:r>
      <w:r w:rsidRPr="000D4E01">
        <w:rPr>
          <w:rFonts w:ascii="Times New Roman" w:hAnsi="Times New Roman" w:cs="Times New Roman"/>
          <w:vertAlign w:val="superscript"/>
        </w:rPr>
        <w:t>1*§</w:t>
      </w:r>
      <w:r w:rsidRPr="000D4E01">
        <w:rPr>
          <w:rFonts w:ascii="Times New Roman" w:hAnsi="Times New Roman" w:cs="Times New Roman"/>
        </w:rPr>
        <w:t>, Joana Boavida</w:t>
      </w:r>
      <w:r w:rsidRPr="000D4E01">
        <w:rPr>
          <w:rFonts w:ascii="Times New Roman" w:hAnsi="Times New Roman" w:cs="Times New Roman"/>
          <w:vertAlign w:val="superscript"/>
        </w:rPr>
        <w:t>3</w:t>
      </w:r>
      <w:r w:rsidRPr="000D4E01">
        <w:rPr>
          <w:rFonts w:ascii="Times New Roman" w:hAnsi="Times New Roman" w:cs="Times New Roman"/>
        </w:rPr>
        <w:t xml:space="preserve">, </w:t>
      </w:r>
      <w:proofErr w:type="spellStart"/>
      <w:r w:rsidRPr="000D4E01">
        <w:rPr>
          <w:rFonts w:ascii="Times New Roman" w:hAnsi="Times New Roman" w:cs="Times New Roman"/>
        </w:rPr>
        <w:t>Diogo</w:t>
      </w:r>
      <w:proofErr w:type="spellEnd"/>
      <w:r w:rsidRPr="000D4E01">
        <w:rPr>
          <w:rFonts w:ascii="Times New Roman" w:hAnsi="Times New Roman" w:cs="Times New Roman"/>
        </w:rPr>
        <w:t xml:space="preserve"> Paulo</w:t>
      </w:r>
      <w:r w:rsidRPr="000D4E01">
        <w:rPr>
          <w:rFonts w:ascii="Times New Roman" w:hAnsi="Times New Roman" w:cs="Times New Roman"/>
          <w:vertAlign w:val="superscript"/>
        </w:rPr>
        <w:t>1</w:t>
      </w:r>
      <w:r w:rsidRPr="000D4E01">
        <w:rPr>
          <w:rFonts w:ascii="Times New Roman" w:hAnsi="Times New Roman" w:cs="Times New Roman"/>
        </w:rPr>
        <w:t>, Didier Aurelle</w:t>
      </w:r>
      <w:r w:rsidRPr="000D4E01">
        <w:rPr>
          <w:rFonts w:ascii="Times New Roman" w:hAnsi="Times New Roman" w:cs="Times New Roman"/>
          <w:vertAlign w:val="superscript"/>
        </w:rPr>
        <w:t>3,4</w:t>
      </w:r>
      <w:r w:rsidRPr="000D4E01">
        <w:rPr>
          <w:rFonts w:ascii="Times New Roman" w:hAnsi="Times New Roman" w:cs="Times New Roman"/>
        </w:rPr>
        <w:t>, Sophie Arnaud-Haond</w:t>
      </w:r>
      <w:r w:rsidRPr="000D4E01">
        <w:rPr>
          <w:rFonts w:ascii="Times New Roman" w:hAnsi="Times New Roman" w:cs="Times New Roman"/>
          <w:vertAlign w:val="superscript"/>
        </w:rPr>
        <w:t>5</w:t>
      </w:r>
      <w:r w:rsidRPr="000D4E01">
        <w:rPr>
          <w:rFonts w:ascii="Times New Roman" w:hAnsi="Times New Roman" w:cs="Times New Roman"/>
        </w:rPr>
        <w:t>, Daniel Gómez-Gras</w:t>
      </w:r>
      <w:r w:rsidRPr="000D4E01">
        <w:rPr>
          <w:rFonts w:ascii="Times New Roman" w:hAnsi="Times New Roman" w:cs="Times New Roman"/>
          <w:vertAlign w:val="superscript"/>
        </w:rPr>
        <w:t>6,7,8</w:t>
      </w:r>
      <w:r w:rsidRPr="000D4E01">
        <w:rPr>
          <w:rFonts w:ascii="Times New Roman" w:hAnsi="Times New Roman" w:cs="Times New Roman"/>
        </w:rPr>
        <w:t xml:space="preserve">, </w:t>
      </w:r>
      <w:r w:rsidR="000D4E01" w:rsidRPr="000D4E01">
        <w:rPr>
          <w:rFonts w:ascii="Times New Roman" w:hAnsi="Times New Roman" w:cs="Times New Roman"/>
        </w:rPr>
        <w:t>Nathaniel</w:t>
      </w:r>
      <w:r w:rsidR="000D4E01">
        <w:rPr>
          <w:rFonts w:ascii="Times New Roman" w:hAnsi="Times New Roman" w:cs="Times New Roman"/>
        </w:rPr>
        <w:t xml:space="preserve"> </w:t>
      </w:r>
      <w:r w:rsidRPr="000D4E01">
        <w:rPr>
          <w:rFonts w:ascii="Times New Roman" w:hAnsi="Times New Roman" w:cs="Times New Roman"/>
        </w:rPr>
        <w:t>Bensoussan</w:t>
      </w:r>
      <w:r w:rsidRPr="000D4E01">
        <w:rPr>
          <w:rFonts w:ascii="Times New Roman" w:hAnsi="Times New Roman" w:cs="Times New Roman"/>
          <w:vertAlign w:val="superscript"/>
        </w:rPr>
        <w:t>3,6</w:t>
      </w:r>
      <w:r w:rsidRPr="000D4E01">
        <w:rPr>
          <w:rFonts w:ascii="Times New Roman" w:hAnsi="Times New Roman" w:cs="Times New Roman"/>
        </w:rPr>
        <w:t>, P</w:t>
      </w:r>
      <w:r w:rsidR="0037575E" w:rsidRPr="000D4E01">
        <w:rPr>
          <w:rFonts w:ascii="Times New Roman" w:hAnsi="Times New Roman" w:cs="Times New Roman"/>
        </w:rPr>
        <w:t>aula</w:t>
      </w:r>
      <w:r w:rsidRPr="000D4E01">
        <w:rPr>
          <w:rFonts w:ascii="Times New Roman" w:hAnsi="Times New Roman" w:cs="Times New Roman"/>
        </w:rPr>
        <w:t xml:space="preserve"> López-Sendino</w:t>
      </w:r>
      <w:r w:rsidRPr="000D4E01">
        <w:rPr>
          <w:rFonts w:ascii="Times New Roman" w:hAnsi="Times New Roman" w:cs="Times New Roman"/>
          <w:vertAlign w:val="superscript"/>
        </w:rPr>
        <w:t>6</w:t>
      </w:r>
      <w:r w:rsidRPr="000D4E01">
        <w:rPr>
          <w:rFonts w:ascii="Times New Roman" w:hAnsi="Times New Roman" w:cs="Times New Roman"/>
        </w:rPr>
        <w:t>, Carlo Cerrano</w:t>
      </w:r>
      <w:r w:rsidRPr="000D4E01">
        <w:rPr>
          <w:rFonts w:ascii="Times New Roman" w:hAnsi="Times New Roman" w:cs="Times New Roman"/>
          <w:vertAlign w:val="superscript"/>
        </w:rPr>
        <w:t>9,10,11,12</w:t>
      </w:r>
      <w:r w:rsidRPr="000D4E01">
        <w:rPr>
          <w:rFonts w:ascii="Times New Roman" w:hAnsi="Times New Roman" w:cs="Times New Roman"/>
        </w:rPr>
        <w:t xml:space="preserve">, </w:t>
      </w:r>
      <w:proofErr w:type="spellStart"/>
      <w:r w:rsidR="00EE3460" w:rsidRPr="000D4E01">
        <w:rPr>
          <w:rFonts w:ascii="Times New Roman" w:hAnsi="Times New Roman" w:cs="Times New Roman"/>
        </w:rPr>
        <w:t>Silvija</w:t>
      </w:r>
      <w:proofErr w:type="spellEnd"/>
      <w:r w:rsidR="00EE3460" w:rsidRPr="000D4E01">
        <w:rPr>
          <w:rFonts w:ascii="Times New Roman" w:hAnsi="Times New Roman" w:cs="Times New Roman"/>
        </w:rPr>
        <w:t xml:space="preserve"> </w:t>
      </w:r>
      <w:r w:rsidRPr="000D4E01">
        <w:rPr>
          <w:rFonts w:ascii="Times New Roman" w:hAnsi="Times New Roman" w:cs="Times New Roman"/>
        </w:rPr>
        <w:t>Kipson</w:t>
      </w:r>
      <w:r w:rsidRPr="000D4E01">
        <w:rPr>
          <w:rFonts w:ascii="Times New Roman" w:hAnsi="Times New Roman" w:cs="Times New Roman"/>
          <w:vertAlign w:val="superscript"/>
        </w:rPr>
        <w:t>13,14</w:t>
      </w:r>
      <w:r w:rsidRPr="000D4E01">
        <w:rPr>
          <w:rFonts w:ascii="Times New Roman" w:hAnsi="Times New Roman" w:cs="Times New Roman"/>
        </w:rPr>
        <w:t xml:space="preserve">, </w:t>
      </w:r>
      <w:r w:rsidR="000D4E01" w:rsidRPr="000D4E01">
        <w:rPr>
          <w:rFonts w:ascii="Times New Roman" w:hAnsi="Times New Roman" w:cs="Times New Roman"/>
        </w:rPr>
        <w:t xml:space="preserve">Tatjana </w:t>
      </w:r>
      <w:r w:rsidRPr="000D4E01">
        <w:rPr>
          <w:rFonts w:ascii="Times New Roman" w:hAnsi="Times New Roman" w:cs="Times New Roman"/>
        </w:rPr>
        <w:t>Bakran-Petricioli</w:t>
      </w:r>
      <w:r w:rsidRPr="000D4E01">
        <w:rPr>
          <w:rFonts w:ascii="Times New Roman" w:hAnsi="Times New Roman" w:cs="Times New Roman"/>
          <w:vertAlign w:val="superscript"/>
        </w:rPr>
        <w:t>13</w:t>
      </w:r>
      <w:r w:rsidRPr="000D4E01">
        <w:rPr>
          <w:rFonts w:ascii="Times New Roman" w:hAnsi="Times New Roman" w:cs="Times New Roman"/>
        </w:rPr>
        <w:t>, Eliana Ferretti</w:t>
      </w:r>
      <w:r w:rsidRPr="000D4E01">
        <w:rPr>
          <w:rFonts w:ascii="Times New Roman" w:hAnsi="Times New Roman" w:cs="Times New Roman"/>
          <w:vertAlign w:val="superscript"/>
        </w:rPr>
        <w:t>15</w:t>
      </w:r>
      <w:r w:rsidRPr="000D4E01">
        <w:rPr>
          <w:rFonts w:ascii="Times New Roman" w:hAnsi="Times New Roman" w:cs="Times New Roman"/>
        </w:rPr>
        <w:t>, Cristina Linares</w:t>
      </w:r>
      <w:r w:rsidRPr="000D4E01">
        <w:rPr>
          <w:rFonts w:ascii="Times New Roman" w:hAnsi="Times New Roman" w:cs="Times New Roman"/>
          <w:vertAlign w:val="superscript"/>
        </w:rPr>
        <w:t>6,7</w:t>
      </w:r>
      <w:r w:rsidRPr="000D4E01">
        <w:rPr>
          <w:rFonts w:ascii="Times New Roman" w:hAnsi="Times New Roman" w:cs="Times New Roman"/>
        </w:rPr>
        <w:t>, Joaquim Garrabou</w:t>
      </w:r>
      <w:r w:rsidRPr="000D4E01">
        <w:rPr>
          <w:rFonts w:ascii="Times New Roman" w:hAnsi="Times New Roman" w:cs="Times New Roman"/>
          <w:vertAlign w:val="superscript"/>
        </w:rPr>
        <w:t>3,6</w:t>
      </w:r>
      <w:r w:rsidRPr="000D4E01">
        <w:rPr>
          <w:rFonts w:ascii="Times New Roman" w:hAnsi="Times New Roman" w:cs="Times New Roman"/>
        </w:rPr>
        <w:t>, Ester A. Serrão</w:t>
      </w:r>
      <w:r w:rsidRPr="000D4E01">
        <w:rPr>
          <w:rFonts w:ascii="Times New Roman" w:hAnsi="Times New Roman" w:cs="Times New Roman"/>
          <w:vertAlign w:val="superscript"/>
        </w:rPr>
        <w:t>1,16</w:t>
      </w:r>
      <w:r w:rsidRPr="000D4E01">
        <w:rPr>
          <w:rFonts w:ascii="Times New Roman" w:hAnsi="Times New Roman" w:cs="Times New Roman"/>
        </w:rPr>
        <w:t>, Jean-Baptiste Ledoux</w:t>
      </w:r>
      <w:r w:rsidRPr="000D4E01">
        <w:rPr>
          <w:rFonts w:ascii="Times New Roman" w:hAnsi="Times New Roman" w:cs="Times New Roman"/>
          <w:vertAlign w:val="superscript"/>
        </w:rPr>
        <w:t>17*</w:t>
      </w:r>
      <w:bookmarkEnd w:id="0"/>
    </w:p>
    <w:p w14:paraId="16628AD2" w14:textId="77777777" w:rsidR="0010502D" w:rsidRPr="000D4E01" w:rsidRDefault="0010502D" w:rsidP="0010502D">
      <w:pPr>
        <w:rPr>
          <w:rFonts w:ascii="Times New Roman" w:hAnsi="Times New Roman" w:cs="Times New Roman"/>
        </w:rPr>
      </w:pPr>
    </w:p>
    <w:p w14:paraId="43095F47" w14:textId="599BD4AE" w:rsidR="00D153CE" w:rsidRPr="008A7E2A" w:rsidRDefault="00B323ED" w:rsidP="0010502D">
      <w:pPr>
        <w:rPr>
          <w:rFonts w:ascii="Times New Roman" w:hAnsi="Times New Roman" w:cs="Times New Roman"/>
          <w:b/>
        </w:rPr>
      </w:pPr>
      <w:r w:rsidRPr="008A7E2A">
        <w:rPr>
          <w:rFonts w:ascii="Times New Roman" w:hAnsi="Times New Roman" w:cs="Times New Roman"/>
          <w:b/>
        </w:rPr>
        <w:t>Table of contents</w:t>
      </w:r>
    </w:p>
    <w:p w14:paraId="1607CB2C" w14:textId="1A4606C6" w:rsidR="00B34486" w:rsidRPr="00B34486" w:rsidRDefault="00716964">
      <w:pPr>
        <w:pStyle w:val="TOC1"/>
        <w:rPr>
          <w:rFonts w:ascii="Times New Roman" w:eastAsiaTheme="minorEastAsia" w:hAnsi="Times New Roman" w:cs="Times New Roman"/>
          <w:b w:val="0"/>
          <w:noProof/>
          <w:sz w:val="24"/>
          <w:szCs w:val="24"/>
        </w:rPr>
      </w:pPr>
      <w:r w:rsidRPr="00B34486">
        <w:rPr>
          <w:rFonts w:ascii="Times New Roman" w:hAnsi="Times New Roman" w:cs="Times New Roman"/>
        </w:rPr>
        <w:fldChar w:fldCharType="begin"/>
      </w:r>
      <w:r w:rsidRPr="00B34486">
        <w:rPr>
          <w:rFonts w:ascii="Times New Roman" w:hAnsi="Times New Roman" w:cs="Times New Roman"/>
        </w:rPr>
        <w:instrText xml:space="preserve"> TOC \o "1-3" </w:instrText>
      </w:r>
      <w:r w:rsidRPr="00B34486">
        <w:rPr>
          <w:rFonts w:ascii="Times New Roman" w:hAnsi="Times New Roman" w:cs="Times New Roman"/>
        </w:rPr>
        <w:fldChar w:fldCharType="separate"/>
      </w:r>
      <w:r w:rsidR="00B34486" w:rsidRPr="00B34486">
        <w:rPr>
          <w:rFonts w:ascii="Times New Roman" w:hAnsi="Times New Roman" w:cs="Times New Roman"/>
          <w:noProof/>
        </w:rPr>
        <w:t xml:space="preserve">Figure S1 – Phylogenetic reconstruction based on </w:t>
      </w:r>
      <w:r w:rsidR="00B34486" w:rsidRPr="00B34486">
        <w:rPr>
          <w:rFonts w:ascii="Times New Roman" w:hAnsi="Times New Roman" w:cs="Times New Roman"/>
          <w:i/>
          <w:noProof/>
        </w:rPr>
        <w:t>mtMutS</w:t>
      </w:r>
      <w:r w:rsidR="00B34486" w:rsidRPr="00B34486">
        <w:rPr>
          <w:rFonts w:ascii="Times New Roman" w:hAnsi="Times New Roman" w:cs="Times New Roman"/>
          <w:noProof/>
        </w:rPr>
        <w:tab/>
      </w:r>
      <w:r w:rsidR="00B34486" w:rsidRPr="00B34486">
        <w:rPr>
          <w:rFonts w:ascii="Times New Roman" w:hAnsi="Times New Roman" w:cs="Times New Roman"/>
          <w:noProof/>
        </w:rPr>
        <w:fldChar w:fldCharType="begin"/>
      </w:r>
      <w:r w:rsidR="00B34486" w:rsidRPr="00B34486">
        <w:rPr>
          <w:rFonts w:ascii="Times New Roman" w:hAnsi="Times New Roman" w:cs="Times New Roman"/>
          <w:noProof/>
        </w:rPr>
        <w:instrText xml:space="preserve"> PAGEREF _Toc94877595 \h </w:instrText>
      </w:r>
      <w:r w:rsidR="00B34486" w:rsidRPr="00B34486">
        <w:rPr>
          <w:rFonts w:ascii="Times New Roman" w:hAnsi="Times New Roman" w:cs="Times New Roman"/>
          <w:noProof/>
        </w:rPr>
      </w:r>
      <w:r w:rsidR="00B34486" w:rsidRPr="00B34486">
        <w:rPr>
          <w:rFonts w:ascii="Times New Roman" w:hAnsi="Times New Roman" w:cs="Times New Roman"/>
          <w:noProof/>
        </w:rPr>
        <w:fldChar w:fldCharType="separate"/>
      </w:r>
      <w:r w:rsidR="00B34486" w:rsidRPr="00B34486">
        <w:rPr>
          <w:rFonts w:ascii="Times New Roman" w:hAnsi="Times New Roman" w:cs="Times New Roman"/>
          <w:noProof/>
        </w:rPr>
        <w:t>2</w:t>
      </w:r>
      <w:r w:rsidR="00B34486" w:rsidRPr="00B34486">
        <w:rPr>
          <w:rFonts w:ascii="Times New Roman" w:hAnsi="Times New Roman" w:cs="Times New Roman"/>
          <w:noProof/>
        </w:rPr>
        <w:fldChar w:fldCharType="end"/>
      </w:r>
    </w:p>
    <w:p w14:paraId="4EED5D20" w14:textId="65FAF6EC" w:rsidR="00B34486" w:rsidRDefault="00716964" w:rsidP="00B34486">
      <w:pPr>
        <w:rPr>
          <w:rFonts w:ascii="Times New Roman" w:hAnsi="Times New Roman" w:cs="Times New Roman"/>
        </w:rPr>
      </w:pPr>
      <w:r w:rsidRPr="00B34486">
        <w:rPr>
          <w:rFonts w:ascii="Times New Roman" w:hAnsi="Times New Roman" w:cs="Times New Roman"/>
        </w:rPr>
        <w:fldChar w:fldCharType="end"/>
      </w:r>
    </w:p>
    <w:p w14:paraId="1B2931A6" w14:textId="77777777" w:rsidR="00B34486" w:rsidRDefault="00B34486" w:rsidP="00B34486">
      <w:pPr>
        <w:pStyle w:val="Heading1"/>
      </w:pPr>
    </w:p>
    <w:p w14:paraId="55565213" w14:textId="3A9E44A1" w:rsidR="00B34486" w:rsidRDefault="00B34486">
      <w:pPr>
        <w:rPr>
          <w:rFonts w:ascii="Times New Roman" w:eastAsiaTheme="majorEastAsia" w:hAnsi="Times New Roman" w:cstheme="majorBidi"/>
          <w:b/>
          <w:bCs/>
          <w:sz w:val="28"/>
          <w:szCs w:val="32"/>
          <w:lang w:val="en-GB"/>
        </w:rPr>
      </w:pPr>
      <w:r>
        <w:rPr>
          <w:rFonts w:ascii="Times New Roman" w:eastAsiaTheme="majorEastAsia" w:hAnsi="Times New Roman" w:cstheme="majorBidi"/>
          <w:b/>
          <w:bCs/>
          <w:sz w:val="28"/>
          <w:szCs w:val="32"/>
          <w:lang w:val="en-GB"/>
        </w:rPr>
        <w:br w:type="page"/>
      </w:r>
    </w:p>
    <w:p w14:paraId="44F89C0E" w14:textId="26D63B06" w:rsidR="00EE1589" w:rsidRPr="00E51464" w:rsidRDefault="001975E5" w:rsidP="00E51464">
      <w:pPr>
        <w:pStyle w:val="Heading1"/>
      </w:pPr>
      <w:bookmarkStart w:id="1" w:name="_Toc94877595"/>
      <w:r>
        <w:rPr>
          <w:noProof/>
        </w:rPr>
        <w:lastRenderedPageBreak/>
        <mc:AlternateContent>
          <mc:Choice Requires="wps">
            <w:drawing>
              <wp:anchor distT="0" distB="0" distL="114300" distR="114300" simplePos="0" relativeHeight="251664384" behindDoc="0" locked="0" layoutInCell="1" allowOverlap="1" wp14:anchorId="0928A44D" wp14:editId="3129AB31">
                <wp:simplePos x="0" y="0"/>
                <wp:positionH relativeFrom="margin">
                  <wp:posOffset>230554</wp:posOffset>
                </wp:positionH>
                <wp:positionV relativeFrom="paragraph">
                  <wp:posOffset>5869353</wp:posOffset>
                </wp:positionV>
                <wp:extent cx="6173470" cy="3157415"/>
                <wp:effectExtent l="0" t="0" r="11430" b="5080"/>
                <wp:wrapTopAndBottom/>
                <wp:docPr id="1" name="Text Box 1"/>
                <wp:cNvGraphicFramePr/>
                <a:graphic xmlns:a="http://schemas.openxmlformats.org/drawingml/2006/main">
                  <a:graphicData uri="http://schemas.microsoft.com/office/word/2010/wordprocessingShape">
                    <wps:wsp>
                      <wps:cNvSpPr txBox="1"/>
                      <wps:spPr>
                        <a:xfrm>
                          <a:off x="0" y="0"/>
                          <a:ext cx="6173470" cy="3157415"/>
                        </a:xfrm>
                        <a:prstGeom prst="rect">
                          <a:avLst/>
                        </a:prstGeom>
                        <a:noFill/>
                        <a:ln>
                          <a:noFill/>
                        </a:ln>
                      </wps:spPr>
                      <wps:txbx>
                        <w:txbxContent>
                          <w:p w14:paraId="6B4FA083" w14:textId="2860153E" w:rsidR="00B34486" w:rsidRPr="00B34486" w:rsidRDefault="00B34486" w:rsidP="00B34486">
                            <w:pPr>
                              <w:pStyle w:val="Caption"/>
                              <w:jc w:val="both"/>
                              <w:rPr>
                                <w:rFonts w:ascii="Times New Roman" w:eastAsiaTheme="minorHAnsi" w:hAnsi="Times New Roman" w:cs="Times New Roman"/>
                                <w:noProof/>
                                <w:color w:val="000000" w:themeColor="text1"/>
                                <w:sz w:val="20"/>
                                <w:szCs w:val="20"/>
                              </w:rPr>
                            </w:pPr>
                            <w:r w:rsidRPr="00B34486">
                              <w:rPr>
                                <w:rFonts w:ascii="Times New Roman" w:hAnsi="Times New Roman" w:cs="Times New Roman"/>
                                <w:color w:val="000000" w:themeColor="text1"/>
                                <w:sz w:val="20"/>
                                <w:szCs w:val="20"/>
                              </w:rPr>
                              <w:t>Figure S</w:t>
                            </w:r>
                            <w:r w:rsidRPr="00B34486">
                              <w:rPr>
                                <w:rFonts w:ascii="Times New Roman" w:hAnsi="Times New Roman" w:cs="Times New Roman"/>
                                <w:color w:val="000000" w:themeColor="text1"/>
                                <w:sz w:val="20"/>
                                <w:szCs w:val="20"/>
                              </w:rPr>
                              <w:fldChar w:fldCharType="begin"/>
                            </w:r>
                            <w:r w:rsidRPr="00B34486">
                              <w:rPr>
                                <w:rFonts w:ascii="Times New Roman" w:hAnsi="Times New Roman" w:cs="Times New Roman"/>
                                <w:color w:val="000000" w:themeColor="text1"/>
                                <w:sz w:val="20"/>
                                <w:szCs w:val="20"/>
                              </w:rPr>
                              <w:instrText xml:space="preserve"> SEQ Figure \* ARABIC </w:instrText>
                            </w:r>
                            <w:r w:rsidRPr="00B34486">
                              <w:rPr>
                                <w:rFonts w:ascii="Times New Roman" w:hAnsi="Times New Roman" w:cs="Times New Roman"/>
                                <w:color w:val="000000" w:themeColor="text1"/>
                                <w:sz w:val="20"/>
                                <w:szCs w:val="20"/>
                              </w:rPr>
                              <w:fldChar w:fldCharType="separate"/>
                            </w:r>
                            <w:r w:rsidRPr="00B34486">
                              <w:rPr>
                                <w:rFonts w:ascii="Times New Roman" w:hAnsi="Times New Roman" w:cs="Times New Roman"/>
                                <w:noProof/>
                                <w:color w:val="000000" w:themeColor="text1"/>
                                <w:sz w:val="20"/>
                                <w:szCs w:val="20"/>
                              </w:rPr>
                              <w:t>1</w:t>
                            </w:r>
                            <w:r w:rsidRPr="00B34486">
                              <w:rPr>
                                <w:rFonts w:ascii="Times New Roman" w:hAnsi="Times New Roman" w:cs="Times New Roman"/>
                                <w:color w:val="000000" w:themeColor="text1"/>
                                <w:sz w:val="20"/>
                                <w:szCs w:val="20"/>
                              </w:rPr>
                              <w:fldChar w:fldCharType="end"/>
                            </w:r>
                            <w:r w:rsidRPr="00B34486">
                              <w:rPr>
                                <w:rFonts w:ascii="Times New Roman" w:hAnsi="Times New Roman" w:cs="Times New Roman"/>
                                <w:color w:val="000000" w:themeColor="text1"/>
                                <w:sz w:val="20"/>
                                <w:szCs w:val="20"/>
                              </w:rPr>
                              <w:t xml:space="preserve"> - Phylogenetic relationships in Paramuricea determined by ML analysis with IQ-TREE 2. The tree was built using a 684 bp alignment for the mitochondrial gene </w:t>
                            </w:r>
                            <w:r w:rsidR="001E2CA4" w:rsidRPr="001E2CA4">
                              <w:rPr>
                                <w:rFonts w:ascii="Times New Roman" w:hAnsi="Times New Roman" w:cs="Times New Roman"/>
                                <w:color w:val="000000" w:themeColor="text1"/>
                                <w:sz w:val="20"/>
                                <w:szCs w:val="20"/>
                                <w:lang w:val="en-US"/>
                              </w:rPr>
                              <w:t>mt-mutS</w:t>
                            </w:r>
                            <w:r w:rsidRPr="00B34486">
                              <w:rPr>
                                <w:rFonts w:ascii="Times New Roman" w:hAnsi="Times New Roman" w:cs="Times New Roman"/>
                                <w:color w:val="000000" w:themeColor="text1"/>
                                <w:sz w:val="20"/>
                                <w:szCs w:val="20"/>
                              </w:rPr>
                              <w:t xml:space="preserve"> with the HKY+F substitution model</w:t>
                            </w:r>
                            <w:r w:rsidRPr="00B34486">
                              <w:rPr>
                                <w:rFonts w:ascii="Times New Roman" w:eastAsia="Times New Roman" w:hAnsi="Times New Roman" w:cs="Times New Roman"/>
                                <w:color w:val="000000" w:themeColor="text1"/>
                                <w:sz w:val="20"/>
                                <w:szCs w:val="20"/>
                                <w:shd w:val="clear" w:color="auto" w:fill="FFFFFF"/>
                              </w:rPr>
                              <w:t xml:space="preserve">. For the subset of the samples sequenced by RNA-seq, the </w:t>
                            </w:r>
                            <w:r w:rsidR="001E2CA4" w:rsidRPr="001E2CA4">
                              <w:rPr>
                                <w:rFonts w:ascii="Times New Roman" w:eastAsia="Times New Roman" w:hAnsi="Times New Roman" w:cs="Times New Roman"/>
                                <w:color w:val="000000" w:themeColor="text1"/>
                                <w:sz w:val="20"/>
                                <w:szCs w:val="20"/>
                                <w:shd w:val="clear" w:color="auto" w:fill="FFFFFF"/>
                                <w:lang w:val="en-US"/>
                              </w:rPr>
                              <w:t>mt-mutS</w:t>
                            </w:r>
                            <w:r w:rsidRPr="00B34486">
                              <w:rPr>
                                <w:rFonts w:ascii="Times New Roman" w:eastAsia="Times New Roman" w:hAnsi="Times New Roman" w:cs="Times New Roman"/>
                                <w:color w:val="000000" w:themeColor="text1"/>
                                <w:sz w:val="20"/>
                                <w:szCs w:val="20"/>
                                <w:shd w:val="clear" w:color="auto" w:fill="FFFFFF"/>
                              </w:rPr>
                              <w:t xml:space="preserve"> sequence was obtained by mapping the reads onto the reference mitogenome of P. clavata (Genbank Accession: NC_034749) using RSEM. </w:t>
                            </w:r>
                            <w:r w:rsidRPr="00B34486">
                              <w:rPr>
                                <w:rFonts w:ascii="Times New Roman" w:hAnsi="Times New Roman" w:cs="Times New Roman"/>
                                <w:color w:val="000000" w:themeColor="text1"/>
                                <w:sz w:val="20"/>
                                <w:szCs w:val="20"/>
                              </w:rPr>
                              <w:t xml:space="preserve">All downstream analyses, from the generation of a consensus </w:t>
                            </w:r>
                            <w:r w:rsidR="001E2CA4" w:rsidRPr="001E2CA4">
                              <w:rPr>
                                <w:rFonts w:ascii="Times New Roman" w:hAnsi="Times New Roman" w:cs="Times New Roman"/>
                                <w:color w:val="000000" w:themeColor="text1"/>
                                <w:sz w:val="20"/>
                                <w:szCs w:val="20"/>
                                <w:lang w:val="en-US"/>
                              </w:rPr>
                              <w:t xml:space="preserve">mt-mutS </w:t>
                            </w:r>
                            <w:r w:rsidRPr="00B34486">
                              <w:rPr>
                                <w:rFonts w:ascii="Times New Roman" w:hAnsi="Times New Roman" w:cs="Times New Roman"/>
                                <w:color w:val="000000" w:themeColor="text1"/>
                                <w:sz w:val="20"/>
                                <w:szCs w:val="20"/>
                              </w:rPr>
                              <w:t xml:space="preserve">sequence to ML tree reconstruction, were performed as described in the Material and Methods for the transcriptomes (except phasing and variant calling, which were not performed). The assembled </w:t>
                            </w:r>
                            <w:r w:rsidR="001E2CA4">
                              <w:rPr>
                                <w:rFonts w:ascii="Times New Roman" w:hAnsi="Times New Roman" w:cs="Times New Roman"/>
                                <w:color w:val="000000" w:themeColor="text1"/>
                                <w:sz w:val="20"/>
                                <w:szCs w:val="20"/>
                              </w:rPr>
                              <w:t>sequences</w:t>
                            </w:r>
                            <w:r w:rsidRPr="00B34486">
                              <w:rPr>
                                <w:rFonts w:ascii="Times New Roman" w:hAnsi="Times New Roman" w:cs="Times New Roman"/>
                                <w:color w:val="000000" w:themeColor="text1"/>
                                <w:sz w:val="20"/>
                                <w:szCs w:val="20"/>
                              </w:rPr>
                              <w:t xml:space="preserve"> were annotated in Geneious Prime v2020.2.4 by importing the annotations of the reference used for read mapping. In total, we assembled the </w:t>
                            </w:r>
                            <w:r w:rsidR="00101CB2">
                              <w:rPr>
                                <w:rFonts w:ascii="Times New Roman" w:hAnsi="Times New Roman" w:cs="Times New Roman"/>
                                <w:color w:val="000000" w:themeColor="text1"/>
                                <w:sz w:val="20"/>
                                <w:szCs w:val="20"/>
                              </w:rPr>
                              <w:t xml:space="preserve">sequence of the </w:t>
                            </w:r>
                            <w:r w:rsidR="001E2CA4" w:rsidRPr="001E2CA4">
                              <w:rPr>
                                <w:rFonts w:ascii="Times New Roman" w:hAnsi="Times New Roman" w:cs="Times New Roman"/>
                                <w:color w:val="000000" w:themeColor="text1"/>
                                <w:sz w:val="20"/>
                                <w:szCs w:val="20"/>
                                <w:lang w:val="en-US"/>
                              </w:rPr>
                              <w:t>mt-mutS</w:t>
                            </w:r>
                            <w:r w:rsidR="00101CB2">
                              <w:rPr>
                                <w:rFonts w:ascii="Times New Roman" w:hAnsi="Times New Roman" w:cs="Times New Roman"/>
                                <w:color w:val="000000" w:themeColor="text1"/>
                                <w:sz w:val="20"/>
                                <w:szCs w:val="20"/>
                              </w:rPr>
                              <w:t xml:space="preserve"> </w:t>
                            </w:r>
                            <w:r w:rsidR="00101CB2" w:rsidRPr="00101CB2">
                              <w:rPr>
                                <w:rFonts w:ascii="Times New Roman" w:hAnsi="Times New Roman" w:cs="Times New Roman"/>
                                <w:i w:val="0"/>
                                <w:color w:val="000000" w:themeColor="text1"/>
                                <w:sz w:val="20"/>
                                <w:szCs w:val="20"/>
                              </w:rPr>
                              <w:t>gene</w:t>
                            </w:r>
                            <w:r w:rsidR="00101CB2">
                              <w:rPr>
                                <w:rFonts w:ascii="Times New Roman" w:hAnsi="Times New Roman" w:cs="Times New Roman"/>
                                <w:color w:val="000000" w:themeColor="text1"/>
                                <w:sz w:val="20"/>
                                <w:szCs w:val="20"/>
                              </w:rPr>
                              <w:t xml:space="preserve"> </w:t>
                            </w:r>
                            <w:r w:rsidRPr="00B34486">
                              <w:rPr>
                                <w:rFonts w:ascii="Times New Roman" w:hAnsi="Times New Roman" w:cs="Times New Roman"/>
                                <w:color w:val="000000" w:themeColor="text1"/>
                                <w:sz w:val="20"/>
                                <w:szCs w:val="20"/>
                              </w:rPr>
                              <w:t>for 4 samples from each population of Paramuricea studied by Gómez-Gras et al. (</w:t>
                            </w:r>
                            <w:r w:rsidR="00FF06EF">
                              <w:rPr>
                                <w:rFonts w:ascii="Times New Roman" w:hAnsi="Times New Roman" w:cs="Times New Roman"/>
                                <w:color w:val="000000" w:themeColor="text1"/>
                                <w:sz w:val="20"/>
                                <w:szCs w:val="20"/>
                              </w:rPr>
                              <w:t>in review</w:t>
                            </w:r>
                            <w:r w:rsidRPr="00B34486">
                              <w:rPr>
                                <w:rFonts w:ascii="Times New Roman" w:hAnsi="Times New Roman" w:cs="Times New Roman"/>
                                <w:color w:val="000000" w:themeColor="text1"/>
                                <w:sz w:val="20"/>
                                <w:szCs w:val="20"/>
                              </w:rPr>
                              <w:t xml:space="preserve">), the four additional samples collected in Portugal and all the P. biscaya samples used as outgroup in the RNA-seq analyses. Because the </w:t>
                            </w:r>
                            <w:r w:rsidR="001E2CA4" w:rsidRPr="001E2CA4">
                              <w:rPr>
                                <w:rFonts w:ascii="Times New Roman" w:hAnsi="Times New Roman" w:cs="Times New Roman"/>
                                <w:color w:val="000000" w:themeColor="text1"/>
                                <w:sz w:val="20"/>
                                <w:szCs w:val="20"/>
                                <w:lang w:val="en-US"/>
                              </w:rPr>
                              <w:t>mt-mutS</w:t>
                            </w:r>
                            <w:r w:rsidRPr="00B34486">
                              <w:rPr>
                                <w:rFonts w:ascii="Times New Roman" w:hAnsi="Times New Roman" w:cs="Times New Roman"/>
                                <w:color w:val="000000" w:themeColor="text1"/>
                                <w:sz w:val="20"/>
                                <w:szCs w:val="20"/>
                              </w:rPr>
                              <w:t xml:space="preserve"> sequences were invariant within populations, we did not include all samples in the final </w:t>
                            </w:r>
                            <w:r w:rsidR="001E2CA4" w:rsidRPr="001E2CA4">
                              <w:rPr>
                                <w:rFonts w:ascii="Times New Roman" w:hAnsi="Times New Roman" w:cs="Times New Roman"/>
                                <w:color w:val="000000" w:themeColor="text1"/>
                                <w:sz w:val="20"/>
                                <w:szCs w:val="20"/>
                                <w:lang w:val="en-US"/>
                              </w:rPr>
                              <w:t>mt-mutS</w:t>
                            </w:r>
                            <w:r w:rsidRPr="00B34486">
                              <w:rPr>
                                <w:rFonts w:ascii="Times New Roman" w:hAnsi="Times New Roman" w:cs="Times New Roman"/>
                                <w:color w:val="000000" w:themeColor="text1"/>
                                <w:sz w:val="20"/>
                                <w:szCs w:val="20"/>
                              </w:rPr>
                              <w:t xml:space="preserve"> ML tree analysis. The colo</w:t>
                            </w:r>
                            <w:r w:rsidR="00101CB2">
                              <w:rPr>
                                <w:rFonts w:ascii="Times New Roman" w:hAnsi="Times New Roman" w:cs="Times New Roman"/>
                                <w:color w:val="000000" w:themeColor="text1"/>
                                <w:sz w:val="20"/>
                                <w:szCs w:val="20"/>
                              </w:rPr>
                              <w:t>u</w:t>
                            </w:r>
                            <w:r w:rsidRPr="00B34486">
                              <w:rPr>
                                <w:rFonts w:ascii="Times New Roman" w:hAnsi="Times New Roman" w:cs="Times New Roman"/>
                                <w:color w:val="000000" w:themeColor="text1"/>
                                <w:sz w:val="20"/>
                                <w:szCs w:val="20"/>
                              </w:rPr>
                              <w:t xml:space="preserve">rs correspond to species identified by SODA analysis (plus other Paramuricea spp. and the outgroup Echinomuricea sp.). The text boxes to the right indicate geographic region from which samples originate. Please note that the NE Atlantic and Mediterranean clades include two specimens each sequenced elsewhere. Additionally, for the NE Atlantic clade the analysis based on the </w:t>
                            </w:r>
                            <w:r w:rsidR="001E2CA4" w:rsidRPr="001E2CA4">
                              <w:rPr>
                                <w:rFonts w:ascii="Times New Roman" w:hAnsi="Times New Roman" w:cs="Times New Roman"/>
                                <w:color w:val="000000" w:themeColor="text1"/>
                                <w:sz w:val="20"/>
                                <w:szCs w:val="20"/>
                                <w:lang w:val="en-US"/>
                              </w:rPr>
                              <w:t xml:space="preserve">mt-mutS </w:t>
                            </w:r>
                            <w:r w:rsidRPr="00B34486">
                              <w:rPr>
                                <w:rFonts w:ascii="Times New Roman" w:hAnsi="Times New Roman" w:cs="Times New Roman"/>
                                <w:color w:val="000000" w:themeColor="text1"/>
                                <w:sz w:val="20"/>
                                <w:szCs w:val="20"/>
                              </w:rPr>
                              <w:t>gene did not resolve the</w:t>
                            </w:r>
                            <w:r w:rsidR="00FF06EF">
                              <w:rPr>
                                <w:rFonts w:ascii="Times New Roman" w:hAnsi="Times New Roman" w:cs="Times New Roman"/>
                                <w:color w:val="000000" w:themeColor="text1"/>
                                <w:sz w:val="20"/>
                                <w:szCs w:val="20"/>
                              </w:rPr>
                              <w:t xml:space="preserve"> two</w:t>
                            </w:r>
                            <w:r w:rsidRPr="00B34486">
                              <w:rPr>
                                <w:rFonts w:ascii="Times New Roman" w:hAnsi="Times New Roman" w:cs="Times New Roman"/>
                                <w:color w:val="000000" w:themeColor="text1"/>
                                <w:sz w:val="20"/>
                                <w:szCs w:val="20"/>
                              </w:rPr>
                              <w:t xml:space="preserve"> P. </w:t>
                            </w:r>
                            <w:r w:rsidRPr="00B34486">
                              <w:rPr>
                                <w:rFonts w:ascii="Times New Roman" w:hAnsi="Times New Roman" w:cs="Times New Roman"/>
                                <w:i w:val="0"/>
                                <w:iCs w:val="0"/>
                                <w:color w:val="000000" w:themeColor="text1"/>
                                <w:sz w:val="20"/>
                                <w:szCs w:val="20"/>
                              </w:rPr>
                              <w:t>cf.</w:t>
                            </w:r>
                            <w:r w:rsidRPr="00B34486">
                              <w:rPr>
                                <w:rFonts w:ascii="Times New Roman" w:hAnsi="Times New Roman" w:cs="Times New Roman"/>
                                <w:color w:val="000000" w:themeColor="text1"/>
                                <w:sz w:val="20"/>
                                <w:szCs w:val="20"/>
                              </w:rPr>
                              <w:t xml:space="preserve"> grayi</w:t>
                            </w:r>
                            <w:r w:rsidR="001E2CA4">
                              <w:rPr>
                                <w:rFonts w:ascii="Times New Roman" w:hAnsi="Times New Roman" w:cs="Times New Roman"/>
                                <w:color w:val="000000" w:themeColor="text1"/>
                                <w:sz w:val="20"/>
                                <w:szCs w:val="20"/>
                              </w:rPr>
                              <w:t xml:space="preserve"> segregating lineages</w:t>
                            </w:r>
                            <w:r w:rsidRPr="00B34486">
                              <w:rPr>
                                <w:rFonts w:ascii="Times New Roman" w:hAnsi="Times New Roman" w:cs="Times New Roman"/>
                                <w:color w:val="000000" w:themeColor="text1"/>
                                <w:sz w:val="20"/>
                                <w:szCs w:val="20"/>
                              </w:rPr>
                              <w:t xml:space="preserve"> (yellow or purple</w:t>
                            </w:r>
                            <w:r w:rsidR="001E2CA4" w:rsidRPr="001E2CA4">
                              <w:rPr>
                                <w:rFonts w:ascii="Times New Roman" w:hAnsi="Times New Roman" w:cs="Times New Roman"/>
                                <w:color w:val="000000" w:themeColor="text1"/>
                                <w:sz w:val="20"/>
                                <w:szCs w:val="20"/>
                              </w:rPr>
                              <w:t xml:space="preserve"> </w:t>
                            </w:r>
                            <w:r w:rsidR="001E2CA4" w:rsidRPr="00B34486">
                              <w:rPr>
                                <w:rFonts w:ascii="Times New Roman" w:hAnsi="Times New Roman" w:cs="Times New Roman"/>
                                <w:color w:val="000000" w:themeColor="text1"/>
                                <w:sz w:val="20"/>
                                <w:szCs w:val="20"/>
                              </w:rPr>
                              <w:t>morphotypes</w:t>
                            </w:r>
                            <w:r w:rsidRPr="00B34486">
                              <w:rPr>
                                <w:rFonts w:ascii="Times New Roman" w:hAnsi="Times New Roman" w:cs="Times New Roman"/>
                                <w:color w:val="000000" w:themeColor="text1"/>
                                <w:sz w:val="20"/>
                                <w:szCs w:val="20"/>
                              </w:rPr>
                              <w:t>); thus the colo</w:t>
                            </w:r>
                            <w:r w:rsidR="001E2CA4">
                              <w:rPr>
                                <w:rFonts w:ascii="Times New Roman" w:hAnsi="Times New Roman" w:cs="Times New Roman"/>
                                <w:color w:val="000000" w:themeColor="text1"/>
                                <w:sz w:val="20"/>
                                <w:szCs w:val="20"/>
                              </w:rPr>
                              <w:t>u</w:t>
                            </w:r>
                            <w:r w:rsidRPr="00B34486">
                              <w:rPr>
                                <w:rFonts w:ascii="Times New Roman" w:hAnsi="Times New Roman" w:cs="Times New Roman"/>
                                <w:color w:val="000000" w:themeColor="text1"/>
                                <w:sz w:val="20"/>
                                <w:szCs w:val="20"/>
                              </w:rPr>
                              <w:t xml:space="preserve">r divide does not reflect genetic segregation. Red arrows indicate selected key branches with ultrafast bootstrap support (100 replicates). Accession numbers of sequences retrieved from NCBI GenBank or </w:t>
                            </w:r>
                            <w:r w:rsidRPr="00B34486">
                              <w:rPr>
                                <w:rFonts w:ascii="Times New Roman" w:hAnsi="Times New Roman" w:cs="Times New Roman"/>
                                <w:bCs/>
                                <w:color w:val="000000" w:themeColor="text1"/>
                                <w:sz w:val="20"/>
                                <w:szCs w:val="20"/>
                              </w:rPr>
                              <w:t>Sequence Read Archive</w:t>
                            </w:r>
                            <w:r w:rsidR="001975E5">
                              <w:rPr>
                                <w:rFonts w:ascii="Times New Roman" w:hAnsi="Times New Roman" w:cs="Times New Roman"/>
                                <w:bCs/>
                                <w:color w:val="000000" w:themeColor="text1"/>
                                <w:sz w:val="20"/>
                                <w:szCs w:val="20"/>
                              </w:rPr>
                              <w:t>, as well as origin of the samples sequenced here (sites P39, BAL, TAV, VAC, ALT and BALU; see Figure 1 and Table S1)</w:t>
                            </w:r>
                            <w:r w:rsidRPr="00B34486">
                              <w:rPr>
                                <w:rFonts w:ascii="Times New Roman" w:hAnsi="Times New Roman" w:cs="Times New Roman"/>
                                <w:bCs/>
                                <w:color w:val="000000" w:themeColor="text1"/>
                                <w:sz w:val="20"/>
                                <w:szCs w:val="20"/>
                              </w:rPr>
                              <w:t xml:space="preserve"> are embedded in the taxon names.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8A44D" id="_x0000_t202" coordsize="21600,21600" o:spt="202" path="m,l,21600r21600,l21600,xe">
                <v:stroke joinstyle="miter"/>
                <v:path gradientshapeok="t" o:connecttype="rect"/>
              </v:shapetype>
              <v:shape id="Text Box 1" o:spid="_x0000_s1026" type="#_x0000_t202" style="position:absolute;margin-left:18.15pt;margin-top:462.15pt;width:486.1pt;height:24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" filled="f" stroked="f">
                <v:textbox inset="0,0,0,0">
                  <w:txbxContent>
                    <w:p w14:paraId="6B4FA083" w14:textId="2860153E" w:rsidR="00B34486" w:rsidRPr="00B34486" w:rsidRDefault="00B34486" w:rsidP="00B34486">
                      <w:pPr>
                        <w:pStyle w:val="Caption"/>
                        <w:jc w:val="both"/>
                        <w:rPr>
                          <w:rFonts w:ascii="Times New Roman" w:eastAsiaTheme="minorHAnsi" w:hAnsi="Times New Roman" w:cs="Times New Roman"/>
                          <w:noProof/>
                          <w:color w:val="000000" w:themeColor="text1"/>
                          <w:sz w:val="20"/>
                          <w:szCs w:val="20"/>
                        </w:rPr>
                      </w:pPr>
                      <w:r w:rsidRPr="00B34486">
                        <w:rPr>
                          <w:rFonts w:ascii="Times New Roman" w:hAnsi="Times New Roman" w:cs="Times New Roman"/>
                          <w:color w:val="000000" w:themeColor="text1"/>
                          <w:sz w:val="20"/>
                          <w:szCs w:val="20"/>
                        </w:rPr>
                        <w:t>Figure S</w:t>
                      </w:r>
                      <w:r w:rsidRPr="00B34486">
                        <w:rPr>
                          <w:rFonts w:ascii="Times New Roman" w:hAnsi="Times New Roman" w:cs="Times New Roman"/>
                          <w:color w:val="000000" w:themeColor="text1"/>
                          <w:sz w:val="20"/>
                          <w:szCs w:val="20"/>
                        </w:rPr>
                        <w:fldChar w:fldCharType="begin"/>
                      </w:r>
                      <w:r w:rsidRPr="00B34486">
                        <w:rPr>
                          <w:rFonts w:ascii="Times New Roman" w:hAnsi="Times New Roman" w:cs="Times New Roman"/>
                          <w:color w:val="000000" w:themeColor="text1"/>
                          <w:sz w:val="20"/>
                          <w:szCs w:val="20"/>
                        </w:rPr>
                        <w:instrText xml:space="preserve"> SEQ Figure \* ARABIC </w:instrText>
                      </w:r>
                      <w:r w:rsidRPr="00B34486">
                        <w:rPr>
                          <w:rFonts w:ascii="Times New Roman" w:hAnsi="Times New Roman" w:cs="Times New Roman"/>
                          <w:color w:val="000000" w:themeColor="text1"/>
                          <w:sz w:val="20"/>
                          <w:szCs w:val="20"/>
                        </w:rPr>
                        <w:fldChar w:fldCharType="separate"/>
                      </w:r>
                      <w:r w:rsidRPr="00B34486">
                        <w:rPr>
                          <w:rFonts w:ascii="Times New Roman" w:hAnsi="Times New Roman" w:cs="Times New Roman"/>
                          <w:noProof/>
                          <w:color w:val="000000" w:themeColor="text1"/>
                          <w:sz w:val="20"/>
                          <w:szCs w:val="20"/>
                        </w:rPr>
                        <w:t>1</w:t>
                      </w:r>
                      <w:r w:rsidRPr="00B34486">
                        <w:rPr>
                          <w:rFonts w:ascii="Times New Roman" w:hAnsi="Times New Roman" w:cs="Times New Roman"/>
                          <w:color w:val="000000" w:themeColor="text1"/>
                          <w:sz w:val="20"/>
                          <w:szCs w:val="20"/>
                        </w:rPr>
                        <w:fldChar w:fldCharType="end"/>
                      </w:r>
                      <w:r w:rsidRPr="00B34486">
                        <w:rPr>
                          <w:rFonts w:ascii="Times New Roman" w:hAnsi="Times New Roman" w:cs="Times New Roman"/>
                          <w:color w:val="000000" w:themeColor="text1"/>
                          <w:sz w:val="20"/>
                          <w:szCs w:val="20"/>
                        </w:rPr>
                        <w:t xml:space="preserve"> - Phylogenetic relationships in Paramuricea determined by ML analysis with IQ-TREE 2. The tree was built using a 684 bp alignment for the mitochondrial gene </w:t>
                      </w:r>
                      <w:r w:rsidR="001E2CA4" w:rsidRPr="001E2CA4">
                        <w:rPr>
                          <w:rFonts w:ascii="Times New Roman" w:hAnsi="Times New Roman" w:cs="Times New Roman"/>
                          <w:color w:val="000000" w:themeColor="text1"/>
                          <w:sz w:val="20"/>
                          <w:szCs w:val="20"/>
                          <w:lang w:val="en-US"/>
                        </w:rPr>
                        <w:t>mt-mutS</w:t>
                      </w:r>
                      <w:r w:rsidRPr="00B34486">
                        <w:rPr>
                          <w:rFonts w:ascii="Times New Roman" w:hAnsi="Times New Roman" w:cs="Times New Roman"/>
                          <w:color w:val="000000" w:themeColor="text1"/>
                          <w:sz w:val="20"/>
                          <w:szCs w:val="20"/>
                        </w:rPr>
                        <w:t xml:space="preserve"> with the HKY+F substitution model</w:t>
                      </w:r>
                      <w:r w:rsidRPr="00B34486">
                        <w:rPr>
                          <w:rFonts w:ascii="Times New Roman" w:eastAsia="Times New Roman" w:hAnsi="Times New Roman" w:cs="Times New Roman"/>
                          <w:color w:val="000000" w:themeColor="text1"/>
                          <w:sz w:val="20"/>
                          <w:szCs w:val="20"/>
                          <w:shd w:val="clear" w:color="auto" w:fill="FFFFFF"/>
                        </w:rPr>
                        <w:t xml:space="preserve">. For the subset of the samples sequenced by RNA-seq, the </w:t>
                      </w:r>
                      <w:r w:rsidR="001E2CA4" w:rsidRPr="001E2CA4">
                        <w:rPr>
                          <w:rFonts w:ascii="Times New Roman" w:eastAsia="Times New Roman" w:hAnsi="Times New Roman" w:cs="Times New Roman"/>
                          <w:color w:val="000000" w:themeColor="text1"/>
                          <w:sz w:val="20"/>
                          <w:szCs w:val="20"/>
                          <w:shd w:val="clear" w:color="auto" w:fill="FFFFFF"/>
                          <w:lang w:val="en-US"/>
                        </w:rPr>
                        <w:t>mt-mutS</w:t>
                      </w:r>
                      <w:r w:rsidRPr="00B34486">
                        <w:rPr>
                          <w:rFonts w:ascii="Times New Roman" w:eastAsia="Times New Roman" w:hAnsi="Times New Roman" w:cs="Times New Roman"/>
                          <w:color w:val="000000" w:themeColor="text1"/>
                          <w:sz w:val="20"/>
                          <w:szCs w:val="20"/>
                          <w:shd w:val="clear" w:color="auto" w:fill="FFFFFF"/>
                        </w:rPr>
                        <w:t xml:space="preserve"> sequence was obtained by mapping the reads onto the reference mitogenome of P. clavata (Genbank Accession: NC_034749) using RSEM. </w:t>
                      </w:r>
                      <w:r w:rsidRPr="00B34486">
                        <w:rPr>
                          <w:rFonts w:ascii="Times New Roman" w:hAnsi="Times New Roman" w:cs="Times New Roman"/>
                          <w:color w:val="000000" w:themeColor="text1"/>
                          <w:sz w:val="20"/>
                          <w:szCs w:val="20"/>
                        </w:rPr>
                        <w:t xml:space="preserve">All downstream analyses, from the generation of a consensus </w:t>
                      </w:r>
                      <w:r w:rsidR="001E2CA4" w:rsidRPr="001E2CA4">
                        <w:rPr>
                          <w:rFonts w:ascii="Times New Roman" w:hAnsi="Times New Roman" w:cs="Times New Roman"/>
                          <w:color w:val="000000" w:themeColor="text1"/>
                          <w:sz w:val="20"/>
                          <w:szCs w:val="20"/>
                          <w:lang w:val="en-US"/>
                        </w:rPr>
                        <w:t xml:space="preserve">mt-mutS </w:t>
                      </w:r>
                      <w:r w:rsidRPr="00B34486">
                        <w:rPr>
                          <w:rFonts w:ascii="Times New Roman" w:hAnsi="Times New Roman" w:cs="Times New Roman"/>
                          <w:color w:val="000000" w:themeColor="text1"/>
                          <w:sz w:val="20"/>
                          <w:szCs w:val="20"/>
                        </w:rPr>
                        <w:t xml:space="preserve">sequence to ML tree reconstruction, were performed as described in the Material and Methods for the transcriptomes (except phasing and variant calling, which were not performed). The assembled </w:t>
                      </w:r>
                      <w:r w:rsidR="001E2CA4">
                        <w:rPr>
                          <w:rFonts w:ascii="Times New Roman" w:hAnsi="Times New Roman" w:cs="Times New Roman"/>
                          <w:color w:val="000000" w:themeColor="text1"/>
                          <w:sz w:val="20"/>
                          <w:szCs w:val="20"/>
                        </w:rPr>
                        <w:t>sequences</w:t>
                      </w:r>
                      <w:r w:rsidRPr="00B34486">
                        <w:rPr>
                          <w:rFonts w:ascii="Times New Roman" w:hAnsi="Times New Roman" w:cs="Times New Roman"/>
                          <w:color w:val="000000" w:themeColor="text1"/>
                          <w:sz w:val="20"/>
                          <w:szCs w:val="20"/>
                        </w:rPr>
                        <w:t xml:space="preserve"> were annotated in Geneious Prime v2020.2.4 by importing the annotations of the reference used for read mapping. In total, we assembled the </w:t>
                      </w:r>
                      <w:r w:rsidR="00101CB2">
                        <w:rPr>
                          <w:rFonts w:ascii="Times New Roman" w:hAnsi="Times New Roman" w:cs="Times New Roman"/>
                          <w:color w:val="000000" w:themeColor="text1"/>
                          <w:sz w:val="20"/>
                          <w:szCs w:val="20"/>
                        </w:rPr>
                        <w:t xml:space="preserve">sequence of the </w:t>
                      </w:r>
                      <w:r w:rsidR="001E2CA4" w:rsidRPr="001E2CA4">
                        <w:rPr>
                          <w:rFonts w:ascii="Times New Roman" w:hAnsi="Times New Roman" w:cs="Times New Roman"/>
                          <w:color w:val="000000" w:themeColor="text1"/>
                          <w:sz w:val="20"/>
                          <w:szCs w:val="20"/>
                          <w:lang w:val="en-US"/>
                        </w:rPr>
                        <w:t>mt-mutS</w:t>
                      </w:r>
                      <w:r w:rsidR="00101CB2">
                        <w:rPr>
                          <w:rFonts w:ascii="Times New Roman" w:hAnsi="Times New Roman" w:cs="Times New Roman"/>
                          <w:color w:val="000000" w:themeColor="text1"/>
                          <w:sz w:val="20"/>
                          <w:szCs w:val="20"/>
                        </w:rPr>
                        <w:t xml:space="preserve"> </w:t>
                      </w:r>
                      <w:r w:rsidR="00101CB2" w:rsidRPr="00101CB2">
                        <w:rPr>
                          <w:rFonts w:ascii="Times New Roman" w:hAnsi="Times New Roman" w:cs="Times New Roman"/>
                          <w:i w:val="0"/>
                          <w:color w:val="000000" w:themeColor="text1"/>
                          <w:sz w:val="20"/>
                          <w:szCs w:val="20"/>
                        </w:rPr>
                        <w:t>gene</w:t>
                      </w:r>
                      <w:r w:rsidR="00101CB2">
                        <w:rPr>
                          <w:rFonts w:ascii="Times New Roman" w:hAnsi="Times New Roman" w:cs="Times New Roman"/>
                          <w:color w:val="000000" w:themeColor="text1"/>
                          <w:sz w:val="20"/>
                          <w:szCs w:val="20"/>
                        </w:rPr>
                        <w:t xml:space="preserve"> </w:t>
                      </w:r>
                      <w:r w:rsidRPr="00B34486">
                        <w:rPr>
                          <w:rFonts w:ascii="Times New Roman" w:hAnsi="Times New Roman" w:cs="Times New Roman"/>
                          <w:color w:val="000000" w:themeColor="text1"/>
                          <w:sz w:val="20"/>
                          <w:szCs w:val="20"/>
                        </w:rPr>
                        <w:t>for 4 samples from each population of Paramuricea studied by Gómez-Gras et al. (</w:t>
                      </w:r>
                      <w:r w:rsidR="00FF06EF">
                        <w:rPr>
                          <w:rFonts w:ascii="Times New Roman" w:hAnsi="Times New Roman" w:cs="Times New Roman"/>
                          <w:color w:val="000000" w:themeColor="text1"/>
                          <w:sz w:val="20"/>
                          <w:szCs w:val="20"/>
                        </w:rPr>
                        <w:t>in review</w:t>
                      </w:r>
                      <w:r w:rsidRPr="00B34486">
                        <w:rPr>
                          <w:rFonts w:ascii="Times New Roman" w:hAnsi="Times New Roman" w:cs="Times New Roman"/>
                          <w:color w:val="000000" w:themeColor="text1"/>
                          <w:sz w:val="20"/>
                          <w:szCs w:val="20"/>
                        </w:rPr>
                        <w:t xml:space="preserve">), the four additional samples collected in Portugal and all the P. biscaya samples used as outgroup in the RNA-seq analyses. Because the </w:t>
                      </w:r>
                      <w:r w:rsidR="001E2CA4" w:rsidRPr="001E2CA4">
                        <w:rPr>
                          <w:rFonts w:ascii="Times New Roman" w:hAnsi="Times New Roman" w:cs="Times New Roman"/>
                          <w:color w:val="000000" w:themeColor="text1"/>
                          <w:sz w:val="20"/>
                          <w:szCs w:val="20"/>
                          <w:lang w:val="en-US"/>
                        </w:rPr>
                        <w:t>mt-mutS</w:t>
                      </w:r>
                      <w:r w:rsidRPr="00B34486">
                        <w:rPr>
                          <w:rFonts w:ascii="Times New Roman" w:hAnsi="Times New Roman" w:cs="Times New Roman"/>
                          <w:color w:val="000000" w:themeColor="text1"/>
                          <w:sz w:val="20"/>
                          <w:szCs w:val="20"/>
                        </w:rPr>
                        <w:t xml:space="preserve"> sequences were invariant within populations, we did not include all samples in the final </w:t>
                      </w:r>
                      <w:r w:rsidR="001E2CA4" w:rsidRPr="001E2CA4">
                        <w:rPr>
                          <w:rFonts w:ascii="Times New Roman" w:hAnsi="Times New Roman" w:cs="Times New Roman"/>
                          <w:color w:val="000000" w:themeColor="text1"/>
                          <w:sz w:val="20"/>
                          <w:szCs w:val="20"/>
                          <w:lang w:val="en-US"/>
                        </w:rPr>
                        <w:t>mt-mutS</w:t>
                      </w:r>
                      <w:r w:rsidRPr="00B34486">
                        <w:rPr>
                          <w:rFonts w:ascii="Times New Roman" w:hAnsi="Times New Roman" w:cs="Times New Roman"/>
                          <w:color w:val="000000" w:themeColor="text1"/>
                          <w:sz w:val="20"/>
                          <w:szCs w:val="20"/>
                        </w:rPr>
                        <w:t xml:space="preserve"> ML tree analysis. The colo</w:t>
                      </w:r>
                      <w:r w:rsidR="00101CB2">
                        <w:rPr>
                          <w:rFonts w:ascii="Times New Roman" w:hAnsi="Times New Roman" w:cs="Times New Roman"/>
                          <w:color w:val="000000" w:themeColor="text1"/>
                          <w:sz w:val="20"/>
                          <w:szCs w:val="20"/>
                        </w:rPr>
                        <w:t>u</w:t>
                      </w:r>
                      <w:r w:rsidRPr="00B34486">
                        <w:rPr>
                          <w:rFonts w:ascii="Times New Roman" w:hAnsi="Times New Roman" w:cs="Times New Roman"/>
                          <w:color w:val="000000" w:themeColor="text1"/>
                          <w:sz w:val="20"/>
                          <w:szCs w:val="20"/>
                        </w:rPr>
                        <w:t xml:space="preserve">rs correspond to species identified by SODA analysis (plus other Paramuricea spp. and the outgroup Echinomuricea sp.). The text boxes to the right indicate geographic region from which samples originate. Please note that the NE Atlantic and Mediterranean clades include two specimens each sequenced elsewhere. Additionally, for the NE Atlantic clade the analysis based on the </w:t>
                      </w:r>
                      <w:r w:rsidR="001E2CA4" w:rsidRPr="001E2CA4">
                        <w:rPr>
                          <w:rFonts w:ascii="Times New Roman" w:hAnsi="Times New Roman" w:cs="Times New Roman"/>
                          <w:color w:val="000000" w:themeColor="text1"/>
                          <w:sz w:val="20"/>
                          <w:szCs w:val="20"/>
                          <w:lang w:val="en-US"/>
                        </w:rPr>
                        <w:t xml:space="preserve">mt-mutS </w:t>
                      </w:r>
                      <w:r w:rsidRPr="00B34486">
                        <w:rPr>
                          <w:rFonts w:ascii="Times New Roman" w:hAnsi="Times New Roman" w:cs="Times New Roman"/>
                          <w:color w:val="000000" w:themeColor="text1"/>
                          <w:sz w:val="20"/>
                          <w:szCs w:val="20"/>
                        </w:rPr>
                        <w:t>gene did not resolve the</w:t>
                      </w:r>
                      <w:r w:rsidR="00FF06EF">
                        <w:rPr>
                          <w:rFonts w:ascii="Times New Roman" w:hAnsi="Times New Roman" w:cs="Times New Roman"/>
                          <w:color w:val="000000" w:themeColor="text1"/>
                          <w:sz w:val="20"/>
                          <w:szCs w:val="20"/>
                        </w:rPr>
                        <w:t xml:space="preserve"> two</w:t>
                      </w:r>
                      <w:r w:rsidRPr="00B34486">
                        <w:rPr>
                          <w:rFonts w:ascii="Times New Roman" w:hAnsi="Times New Roman" w:cs="Times New Roman"/>
                          <w:color w:val="000000" w:themeColor="text1"/>
                          <w:sz w:val="20"/>
                          <w:szCs w:val="20"/>
                        </w:rPr>
                        <w:t xml:space="preserve"> P. </w:t>
                      </w:r>
                      <w:r w:rsidRPr="00B34486">
                        <w:rPr>
                          <w:rFonts w:ascii="Times New Roman" w:hAnsi="Times New Roman" w:cs="Times New Roman"/>
                          <w:i w:val="0"/>
                          <w:iCs w:val="0"/>
                          <w:color w:val="000000" w:themeColor="text1"/>
                          <w:sz w:val="20"/>
                          <w:szCs w:val="20"/>
                        </w:rPr>
                        <w:t>cf.</w:t>
                      </w:r>
                      <w:r w:rsidRPr="00B34486">
                        <w:rPr>
                          <w:rFonts w:ascii="Times New Roman" w:hAnsi="Times New Roman" w:cs="Times New Roman"/>
                          <w:color w:val="000000" w:themeColor="text1"/>
                          <w:sz w:val="20"/>
                          <w:szCs w:val="20"/>
                        </w:rPr>
                        <w:t xml:space="preserve"> grayi</w:t>
                      </w:r>
                      <w:r w:rsidR="001E2CA4">
                        <w:rPr>
                          <w:rFonts w:ascii="Times New Roman" w:hAnsi="Times New Roman" w:cs="Times New Roman"/>
                          <w:color w:val="000000" w:themeColor="text1"/>
                          <w:sz w:val="20"/>
                          <w:szCs w:val="20"/>
                        </w:rPr>
                        <w:t xml:space="preserve"> segregating lineages</w:t>
                      </w:r>
                      <w:r w:rsidRPr="00B34486">
                        <w:rPr>
                          <w:rFonts w:ascii="Times New Roman" w:hAnsi="Times New Roman" w:cs="Times New Roman"/>
                          <w:color w:val="000000" w:themeColor="text1"/>
                          <w:sz w:val="20"/>
                          <w:szCs w:val="20"/>
                        </w:rPr>
                        <w:t xml:space="preserve"> (yellow or purple</w:t>
                      </w:r>
                      <w:r w:rsidR="001E2CA4" w:rsidRPr="001E2CA4">
                        <w:rPr>
                          <w:rFonts w:ascii="Times New Roman" w:hAnsi="Times New Roman" w:cs="Times New Roman"/>
                          <w:color w:val="000000" w:themeColor="text1"/>
                          <w:sz w:val="20"/>
                          <w:szCs w:val="20"/>
                        </w:rPr>
                        <w:t xml:space="preserve"> </w:t>
                      </w:r>
                      <w:r w:rsidR="001E2CA4" w:rsidRPr="00B34486">
                        <w:rPr>
                          <w:rFonts w:ascii="Times New Roman" w:hAnsi="Times New Roman" w:cs="Times New Roman"/>
                          <w:color w:val="000000" w:themeColor="text1"/>
                          <w:sz w:val="20"/>
                          <w:szCs w:val="20"/>
                        </w:rPr>
                        <w:t>morphotypes</w:t>
                      </w:r>
                      <w:r w:rsidRPr="00B34486">
                        <w:rPr>
                          <w:rFonts w:ascii="Times New Roman" w:hAnsi="Times New Roman" w:cs="Times New Roman"/>
                          <w:color w:val="000000" w:themeColor="text1"/>
                          <w:sz w:val="20"/>
                          <w:szCs w:val="20"/>
                        </w:rPr>
                        <w:t>); thus the colo</w:t>
                      </w:r>
                      <w:r w:rsidR="001E2CA4">
                        <w:rPr>
                          <w:rFonts w:ascii="Times New Roman" w:hAnsi="Times New Roman" w:cs="Times New Roman"/>
                          <w:color w:val="000000" w:themeColor="text1"/>
                          <w:sz w:val="20"/>
                          <w:szCs w:val="20"/>
                        </w:rPr>
                        <w:t>u</w:t>
                      </w:r>
                      <w:r w:rsidRPr="00B34486">
                        <w:rPr>
                          <w:rFonts w:ascii="Times New Roman" w:hAnsi="Times New Roman" w:cs="Times New Roman"/>
                          <w:color w:val="000000" w:themeColor="text1"/>
                          <w:sz w:val="20"/>
                          <w:szCs w:val="20"/>
                        </w:rPr>
                        <w:t xml:space="preserve">r divide does not reflect genetic segregation. Red arrows indicate selected key branches with ultrafast bootstrap support (100 replicates). Accession numbers of sequences retrieved from NCBI GenBank or </w:t>
                      </w:r>
                      <w:r w:rsidRPr="00B34486">
                        <w:rPr>
                          <w:rFonts w:ascii="Times New Roman" w:hAnsi="Times New Roman" w:cs="Times New Roman"/>
                          <w:bCs/>
                          <w:color w:val="000000" w:themeColor="text1"/>
                          <w:sz w:val="20"/>
                          <w:szCs w:val="20"/>
                        </w:rPr>
                        <w:t>Sequence Read Archive</w:t>
                      </w:r>
                      <w:r w:rsidR="001975E5">
                        <w:rPr>
                          <w:rFonts w:ascii="Times New Roman" w:hAnsi="Times New Roman" w:cs="Times New Roman"/>
                          <w:bCs/>
                          <w:color w:val="000000" w:themeColor="text1"/>
                          <w:sz w:val="20"/>
                          <w:szCs w:val="20"/>
                        </w:rPr>
                        <w:t>, as well as origin of the samples sequenced here (sites P39, BAL, TAV, VAC, ALT and BALU; see Figure 1 and Table S1)</w:t>
                      </w:r>
                      <w:r w:rsidRPr="00B34486">
                        <w:rPr>
                          <w:rFonts w:ascii="Times New Roman" w:hAnsi="Times New Roman" w:cs="Times New Roman"/>
                          <w:bCs/>
                          <w:color w:val="000000" w:themeColor="text1"/>
                          <w:sz w:val="20"/>
                          <w:szCs w:val="20"/>
                        </w:rPr>
                        <w:t xml:space="preserve"> are embedded in the taxon names.</w:t>
                      </w:r>
                    </w:p>
                  </w:txbxContent>
                </v:textbox>
                <w10:wrap type="topAndBottom" anchorx="margin"/>
              </v:shape>
            </w:pict>
          </mc:Fallback>
        </mc:AlternateContent>
      </w:r>
      <w:r w:rsidRPr="004111AF">
        <w:rPr>
          <w:rFonts w:cs="Times New Roman"/>
          <w:noProof/>
        </w:rPr>
        <w:drawing>
          <wp:anchor distT="0" distB="0" distL="114300" distR="114300" simplePos="0" relativeHeight="251663360" behindDoc="0" locked="0" layoutInCell="1" allowOverlap="1" wp14:anchorId="41EB2085" wp14:editId="59BC4DAF">
            <wp:simplePos x="0" y="0"/>
            <wp:positionH relativeFrom="margin">
              <wp:posOffset>715010</wp:posOffset>
            </wp:positionH>
            <wp:positionV relativeFrom="margin">
              <wp:posOffset>266065</wp:posOffset>
            </wp:positionV>
            <wp:extent cx="5219700" cy="58102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amuricea_spp_ML_tree_mtMutS.tif"/>
                    <pic:cNvPicPr/>
                  </pic:nvPicPr>
                  <pic:blipFill>
                    <a:blip r:embed="rId8"/>
                    <a:stretch>
                      <a:fillRect/>
                    </a:stretch>
                  </pic:blipFill>
                  <pic:spPr>
                    <a:xfrm>
                      <a:off x="0" y="0"/>
                      <a:ext cx="5219700" cy="5810250"/>
                    </a:xfrm>
                    <a:prstGeom prst="rect">
                      <a:avLst/>
                    </a:prstGeom>
                  </pic:spPr>
                </pic:pic>
              </a:graphicData>
            </a:graphic>
            <wp14:sizeRelH relativeFrom="margin">
              <wp14:pctWidth>0</wp14:pctWidth>
            </wp14:sizeRelH>
            <wp14:sizeRelV relativeFrom="margin">
              <wp14:pctHeight>0</wp14:pctHeight>
            </wp14:sizeRelV>
          </wp:anchor>
        </w:drawing>
      </w:r>
      <w:r w:rsidR="00B34486">
        <w:t>Figure S1</w:t>
      </w:r>
      <w:r w:rsidR="00B02310" w:rsidRPr="004111AF">
        <w:t xml:space="preserve"> </w:t>
      </w:r>
      <w:r w:rsidR="00FB0450" w:rsidRPr="004111AF">
        <w:t xml:space="preserve">– Phylogenetic reconstruction based on </w:t>
      </w:r>
      <w:proofErr w:type="spellStart"/>
      <w:r w:rsidR="00FB0450" w:rsidRPr="004111AF">
        <w:rPr>
          <w:i/>
        </w:rPr>
        <w:t>mtMutS</w:t>
      </w:r>
      <w:bookmarkEnd w:id="1"/>
      <w:proofErr w:type="spellEnd"/>
      <w:r w:rsidR="00FB0450" w:rsidRPr="004111AF">
        <w:rPr>
          <w:i/>
        </w:rPr>
        <w:t xml:space="preserve"> </w:t>
      </w:r>
    </w:p>
    <w:sectPr w:rsidR="00EE1589" w:rsidRPr="00E51464" w:rsidSect="00FE7D1B">
      <w:headerReference w:type="default" r:id="rId9"/>
      <w:footerReference w:type="default" r:id="rId10"/>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E87D2" w14:textId="77777777" w:rsidR="00F621D0" w:rsidRDefault="00F621D0" w:rsidP="0063401C">
      <w:r>
        <w:separator/>
      </w:r>
    </w:p>
  </w:endnote>
  <w:endnote w:type="continuationSeparator" w:id="0">
    <w:p w14:paraId="12332620" w14:textId="77777777" w:rsidR="00F621D0" w:rsidRDefault="00F621D0" w:rsidP="0063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950238"/>
      <w:docPartObj>
        <w:docPartGallery w:val="Page Numbers (Bottom of Page)"/>
        <w:docPartUnique/>
      </w:docPartObj>
    </w:sdtPr>
    <w:sdtEndPr>
      <w:rPr>
        <w:noProof/>
      </w:rPr>
    </w:sdtEndPr>
    <w:sdtContent>
      <w:p w14:paraId="544BC213" w14:textId="77777777" w:rsidR="00A34C7C" w:rsidRDefault="00A34C7C">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96137AD" w14:textId="77777777" w:rsidR="00A34C7C" w:rsidRDefault="00A34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7EF85" w14:textId="77777777" w:rsidR="00F621D0" w:rsidRDefault="00F621D0" w:rsidP="0063401C">
      <w:r>
        <w:separator/>
      </w:r>
    </w:p>
  </w:footnote>
  <w:footnote w:type="continuationSeparator" w:id="0">
    <w:p w14:paraId="67A01804" w14:textId="77777777" w:rsidR="00F621D0" w:rsidRDefault="00F621D0" w:rsidP="0063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4BB1" w14:textId="3AC581BD" w:rsidR="00A34C7C" w:rsidRDefault="00A34C7C" w:rsidP="00997FE7">
    <w:pPr>
      <w:pStyle w:val="Header"/>
      <w:jc w:val="center"/>
    </w:pPr>
  </w:p>
  <w:p w14:paraId="649E7D1F" w14:textId="77777777" w:rsidR="00A34C7C" w:rsidRDefault="00A34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729B4"/>
    <w:multiLevelType w:val="multilevel"/>
    <w:tmpl w:val="54A24678"/>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24729F1"/>
    <w:multiLevelType w:val="multilevel"/>
    <w:tmpl w:val="54A24678"/>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3C9051C"/>
    <w:multiLevelType w:val="multilevel"/>
    <w:tmpl w:val="54A24678"/>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47A0909"/>
    <w:multiLevelType w:val="hybridMultilevel"/>
    <w:tmpl w:val="44142744"/>
    <w:lvl w:ilvl="0" w:tplc="FE6AE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EF33FCA"/>
    <w:multiLevelType w:val="multilevel"/>
    <w:tmpl w:val="54A24678"/>
    <w:lvl w:ilvl="0">
      <w:start w:val="1"/>
      <w:numFmt w:val="decimal"/>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4"/>
  </w:num>
  <w:num w:numId="2">
    <w:abstractNumId w:val="3"/>
  </w:num>
  <w:num w:numId="3">
    <w:abstractNumId w:val="5"/>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30"/>
    <w:rsid w:val="00004C3F"/>
    <w:rsid w:val="00007DD6"/>
    <w:rsid w:val="0001021C"/>
    <w:rsid w:val="00014E13"/>
    <w:rsid w:val="00014FAF"/>
    <w:rsid w:val="00016263"/>
    <w:rsid w:val="00021595"/>
    <w:rsid w:val="000242E3"/>
    <w:rsid w:val="0003032D"/>
    <w:rsid w:val="00030532"/>
    <w:rsid w:val="0003417C"/>
    <w:rsid w:val="000344B9"/>
    <w:rsid w:val="00036CE2"/>
    <w:rsid w:val="00037A15"/>
    <w:rsid w:val="0004071B"/>
    <w:rsid w:val="00043CC6"/>
    <w:rsid w:val="00043E38"/>
    <w:rsid w:val="000443A6"/>
    <w:rsid w:val="0004564C"/>
    <w:rsid w:val="00066638"/>
    <w:rsid w:val="00066ACD"/>
    <w:rsid w:val="00066E41"/>
    <w:rsid w:val="00067DD0"/>
    <w:rsid w:val="000703B8"/>
    <w:rsid w:val="00070C57"/>
    <w:rsid w:val="00071373"/>
    <w:rsid w:val="000720DF"/>
    <w:rsid w:val="00080021"/>
    <w:rsid w:val="000815A6"/>
    <w:rsid w:val="00085FF7"/>
    <w:rsid w:val="000866FC"/>
    <w:rsid w:val="00092DEB"/>
    <w:rsid w:val="00096D9E"/>
    <w:rsid w:val="000971A5"/>
    <w:rsid w:val="000A0C8D"/>
    <w:rsid w:val="000B30CA"/>
    <w:rsid w:val="000B6035"/>
    <w:rsid w:val="000B6156"/>
    <w:rsid w:val="000B67D3"/>
    <w:rsid w:val="000C5626"/>
    <w:rsid w:val="000C5B4D"/>
    <w:rsid w:val="000C5E0E"/>
    <w:rsid w:val="000C661F"/>
    <w:rsid w:val="000C7020"/>
    <w:rsid w:val="000D1E24"/>
    <w:rsid w:val="000D3CDB"/>
    <w:rsid w:val="000D4685"/>
    <w:rsid w:val="000D4E01"/>
    <w:rsid w:val="000D6274"/>
    <w:rsid w:val="000E3058"/>
    <w:rsid w:val="000F04C4"/>
    <w:rsid w:val="000F2357"/>
    <w:rsid w:val="000F41AF"/>
    <w:rsid w:val="00101CB2"/>
    <w:rsid w:val="00102CFB"/>
    <w:rsid w:val="0010502D"/>
    <w:rsid w:val="00110D63"/>
    <w:rsid w:val="001147EF"/>
    <w:rsid w:val="00116A28"/>
    <w:rsid w:val="0012045A"/>
    <w:rsid w:val="00120CC1"/>
    <w:rsid w:val="0012542D"/>
    <w:rsid w:val="00130221"/>
    <w:rsid w:val="00131209"/>
    <w:rsid w:val="001424D8"/>
    <w:rsid w:val="00144929"/>
    <w:rsid w:val="001461D5"/>
    <w:rsid w:val="0015002E"/>
    <w:rsid w:val="001502BE"/>
    <w:rsid w:val="0015529C"/>
    <w:rsid w:val="00157C72"/>
    <w:rsid w:val="00160387"/>
    <w:rsid w:val="00166C07"/>
    <w:rsid w:val="00166C5C"/>
    <w:rsid w:val="00172E4B"/>
    <w:rsid w:val="00175EC5"/>
    <w:rsid w:val="0017629D"/>
    <w:rsid w:val="00177E90"/>
    <w:rsid w:val="001844FC"/>
    <w:rsid w:val="00191C99"/>
    <w:rsid w:val="001940C0"/>
    <w:rsid w:val="00197510"/>
    <w:rsid w:val="001975E5"/>
    <w:rsid w:val="001A3B06"/>
    <w:rsid w:val="001B0C02"/>
    <w:rsid w:val="001B0C91"/>
    <w:rsid w:val="001B2F92"/>
    <w:rsid w:val="001B41A5"/>
    <w:rsid w:val="001B483A"/>
    <w:rsid w:val="001B5377"/>
    <w:rsid w:val="001B6742"/>
    <w:rsid w:val="001C596A"/>
    <w:rsid w:val="001D54B9"/>
    <w:rsid w:val="001E00ED"/>
    <w:rsid w:val="001E2CA4"/>
    <w:rsid w:val="001E6BED"/>
    <w:rsid w:val="001F1EEF"/>
    <w:rsid w:val="001F25B8"/>
    <w:rsid w:val="001F26B6"/>
    <w:rsid w:val="001F40C9"/>
    <w:rsid w:val="001F4F8A"/>
    <w:rsid w:val="001F6288"/>
    <w:rsid w:val="001F7654"/>
    <w:rsid w:val="0020035B"/>
    <w:rsid w:val="0020505B"/>
    <w:rsid w:val="002144E4"/>
    <w:rsid w:val="002169B7"/>
    <w:rsid w:val="00222700"/>
    <w:rsid w:val="00226387"/>
    <w:rsid w:val="0022763A"/>
    <w:rsid w:val="002302E5"/>
    <w:rsid w:val="002312E9"/>
    <w:rsid w:val="002334FD"/>
    <w:rsid w:val="002377F1"/>
    <w:rsid w:val="00241386"/>
    <w:rsid w:val="00244983"/>
    <w:rsid w:val="00244CA3"/>
    <w:rsid w:val="00251D1D"/>
    <w:rsid w:val="0025210F"/>
    <w:rsid w:val="00252D88"/>
    <w:rsid w:val="00255349"/>
    <w:rsid w:val="002569B4"/>
    <w:rsid w:val="0025750F"/>
    <w:rsid w:val="00273CDD"/>
    <w:rsid w:val="0027537A"/>
    <w:rsid w:val="002819E1"/>
    <w:rsid w:val="0028462D"/>
    <w:rsid w:val="00286A5E"/>
    <w:rsid w:val="0029126B"/>
    <w:rsid w:val="002919A5"/>
    <w:rsid w:val="00292867"/>
    <w:rsid w:val="00295805"/>
    <w:rsid w:val="0029770A"/>
    <w:rsid w:val="002A0AFD"/>
    <w:rsid w:val="002A3A6E"/>
    <w:rsid w:val="002A3E18"/>
    <w:rsid w:val="002B20AD"/>
    <w:rsid w:val="002B4322"/>
    <w:rsid w:val="002B5B6D"/>
    <w:rsid w:val="002B61B1"/>
    <w:rsid w:val="002B7136"/>
    <w:rsid w:val="002C7BC9"/>
    <w:rsid w:val="002D18A3"/>
    <w:rsid w:val="002D1F2F"/>
    <w:rsid w:val="002D211E"/>
    <w:rsid w:val="002D28BA"/>
    <w:rsid w:val="002E3DF5"/>
    <w:rsid w:val="002F03A6"/>
    <w:rsid w:val="002F0487"/>
    <w:rsid w:val="002F6AF1"/>
    <w:rsid w:val="002F7104"/>
    <w:rsid w:val="00302321"/>
    <w:rsid w:val="00302B88"/>
    <w:rsid w:val="0030509C"/>
    <w:rsid w:val="00307975"/>
    <w:rsid w:val="00322C1F"/>
    <w:rsid w:val="00327C5B"/>
    <w:rsid w:val="00327D3C"/>
    <w:rsid w:val="00335F94"/>
    <w:rsid w:val="00336336"/>
    <w:rsid w:val="00336648"/>
    <w:rsid w:val="003372AF"/>
    <w:rsid w:val="003442D0"/>
    <w:rsid w:val="00345919"/>
    <w:rsid w:val="003462A6"/>
    <w:rsid w:val="003502EE"/>
    <w:rsid w:val="00356BF0"/>
    <w:rsid w:val="00357137"/>
    <w:rsid w:val="003629A4"/>
    <w:rsid w:val="00363AF0"/>
    <w:rsid w:val="00366D01"/>
    <w:rsid w:val="0037557B"/>
    <w:rsid w:val="0037575E"/>
    <w:rsid w:val="0038335D"/>
    <w:rsid w:val="00385FB5"/>
    <w:rsid w:val="00387F38"/>
    <w:rsid w:val="00394EF4"/>
    <w:rsid w:val="003962D6"/>
    <w:rsid w:val="00396782"/>
    <w:rsid w:val="003A0ECB"/>
    <w:rsid w:val="003A14CF"/>
    <w:rsid w:val="003A2189"/>
    <w:rsid w:val="003A2F4C"/>
    <w:rsid w:val="003A59AF"/>
    <w:rsid w:val="003A60C2"/>
    <w:rsid w:val="003B4BB9"/>
    <w:rsid w:val="003B63C4"/>
    <w:rsid w:val="003C3940"/>
    <w:rsid w:val="003C3D89"/>
    <w:rsid w:val="003C76D9"/>
    <w:rsid w:val="003E0C02"/>
    <w:rsid w:val="003E197C"/>
    <w:rsid w:val="003E4184"/>
    <w:rsid w:val="003F6C59"/>
    <w:rsid w:val="003F7870"/>
    <w:rsid w:val="00401628"/>
    <w:rsid w:val="004030A0"/>
    <w:rsid w:val="004034EA"/>
    <w:rsid w:val="00410001"/>
    <w:rsid w:val="004105D8"/>
    <w:rsid w:val="004111AF"/>
    <w:rsid w:val="00413CC5"/>
    <w:rsid w:val="00415DFF"/>
    <w:rsid w:val="00416143"/>
    <w:rsid w:val="00443620"/>
    <w:rsid w:val="00445F20"/>
    <w:rsid w:val="00455719"/>
    <w:rsid w:val="00461F02"/>
    <w:rsid w:val="00463F20"/>
    <w:rsid w:val="00465779"/>
    <w:rsid w:val="004673AA"/>
    <w:rsid w:val="00482196"/>
    <w:rsid w:val="0048357B"/>
    <w:rsid w:val="004949D6"/>
    <w:rsid w:val="004A2A8B"/>
    <w:rsid w:val="004A3AF0"/>
    <w:rsid w:val="004A5B95"/>
    <w:rsid w:val="004A7E8F"/>
    <w:rsid w:val="004B7379"/>
    <w:rsid w:val="004C1FAE"/>
    <w:rsid w:val="004C6D43"/>
    <w:rsid w:val="004D2E02"/>
    <w:rsid w:val="004E3C6F"/>
    <w:rsid w:val="004E45AF"/>
    <w:rsid w:val="004E70F1"/>
    <w:rsid w:val="004E741C"/>
    <w:rsid w:val="004F01FB"/>
    <w:rsid w:val="004F5302"/>
    <w:rsid w:val="004F7A9A"/>
    <w:rsid w:val="004F7CC8"/>
    <w:rsid w:val="00500B9E"/>
    <w:rsid w:val="00502321"/>
    <w:rsid w:val="005041D2"/>
    <w:rsid w:val="00506701"/>
    <w:rsid w:val="00506915"/>
    <w:rsid w:val="00514890"/>
    <w:rsid w:val="005201F8"/>
    <w:rsid w:val="00521B85"/>
    <w:rsid w:val="00530898"/>
    <w:rsid w:val="00530BB3"/>
    <w:rsid w:val="005331BA"/>
    <w:rsid w:val="00542911"/>
    <w:rsid w:val="00544701"/>
    <w:rsid w:val="00551368"/>
    <w:rsid w:val="00557997"/>
    <w:rsid w:val="00560E9A"/>
    <w:rsid w:val="00570DC5"/>
    <w:rsid w:val="00574328"/>
    <w:rsid w:val="00576C68"/>
    <w:rsid w:val="00585384"/>
    <w:rsid w:val="00586D3B"/>
    <w:rsid w:val="00587D35"/>
    <w:rsid w:val="005910E5"/>
    <w:rsid w:val="005918E7"/>
    <w:rsid w:val="00592847"/>
    <w:rsid w:val="00592A5F"/>
    <w:rsid w:val="00596128"/>
    <w:rsid w:val="005A0C2D"/>
    <w:rsid w:val="005A4B0D"/>
    <w:rsid w:val="005B1328"/>
    <w:rsid w:val="005C4B20"/>
    <w:rsid w:val="005C6295"/>
    <w:rsid w:val="005C78AC"/>
    <w:rsid w:val="005D0D77"/>
    <w:rsid w:val="005D4DB6"/>
    <w:rsid w:val="005D5740"/>
    <w:rsid w:val="005D6CDB"/>
    <w:rsid w:val="005D77ED"/>
    <w:rsid w:val="005E2489"/>
    <w:rsid w:val="005E41A7"/>
    <w:rsid w:val="005E58E0"/>
    <w:rsid w:val="005F0C31"/>
    <w:rsid w:val="005F20C1"/>
    <w:rsid w:val="005F4914"/>
    <w:rsid w:val="005F7108"/>
    <w:rsid w:val="00603A9C"/>
    <w:rsid w:val="006054EF"/>
    <w:rsid w:val="00610610"/>
    <w:rsid w:val="006113CE"/>
    <w:rsid w:val="00613EAC"/>
    <w:rsid w:val="00614AC1"/>
    <w:rsid w:val="00623D38"/>
    <w:rsid w:val="006243D6"/>
    <w:rsid w:val="00627D7D"/>
    <w:rsid w:val="0063401C"/>
    <w:rsid w:val="006350A2"/>
    <w:rsid w:val="00637494"/>
    <w:rsid w:val="006379BB"/>
    <w:rsid w:val="0064186B"/>
    <w:rsid w:val="00642B27"/>
    <w:rsid w:val="0064578A"/>
    <w:rsid w:val="006468CA"/>
    <w:rsid w:val="00647179"/>
    <w:rsid w:val="00647198"/>
    <w:rsid w:val="0064729D"/>
    <w:rsid w:val="006512AC"/>
    <w:rsid w:val="0065557E"/>
    <w:rsid w:val="00655984"/>
    <w:rsid w:val="0066574F"/>
    <w:rsid w:val="00670F02"/>
    <w:rsid w:val="00675F64"/>
    <w:rsid w:val="006768E4"/>
    <w:rsid w:val="00682D58"/>
    <w:rsid w:val="00695EF0"/>
    <w:rsid w:val="006A030C"/>
    <w:rsid w:val="006A2DC8"/>
    <w:rsid w:val="006A4D7D"/>
    <w:rsid w:val="006A5103"/>
    <w:rsid w:val="006A538C"/>
    <w:rsid w:val="006A71BB"/>
    <w:rsid w:val="006B074A"/>
    <w:rsid w:val="006B0EE3"/>
    <w:rsid w:val="006B2774"/>
    <w:rsid w:val="006B5D18"/>
    <w:rsid w:val="006C6EBF"/>
    <w:rsid w:val="006D3306"/>
    <w:rsid w:val="006D6FEF"/>
    <w:rsid w:val="006E4415"/>
    <w:rsid w:val="006F4825"/>
    <w:rsid w:val="006F67D9"/>
    <w:rsid w:val="00703C1A"/>
    <w:rsid w:val="00705D2C"/>
    <w:rsid w:val="00714AF3"/>
    <w:rsid w:val="00715099"/>
    <w:rsid w:val="007161DE"/>
    <w:rsid w:val="00716502"/>
    <w:rsid w:val="00716964"/>
    <w:rsid w:val="00717053"/>
    <w:rsid w:val="00721A79"/>
    <w:rsid w:val="007234DE"/>
    <w:rsid w:val="00732B17"/>
    <w:rsid w:val="00733BED"/>
    <w:rsid w:val="007372F4"/>
    <w:rsid w:val="0073734D"/>
    <w:rsid w:val="0074411B"/>
    <w:rsid w:val="007446CC"/>
    <w:rsid w:val="00750D78"/>
    <w:rsid w:val="00753A53"/>
    <w:rsid w:val="00756C1A"/>
    <w:rsid w:val="00762DC5"/>
    <w:rsid w:val="007635C6"/>
    <w:rsid w:val="00767C99"/>
    <w:rsid w:val="00771FF7"/>
    <w:rsid w:val="007833FF"/>
    <w:rsid w:val="007844DA"/>
    <w:rsid w:val="00787922"/>
    <w:rsid w:val="00787A9E"/>
    <w:rsid w:val="00787C99"/>
    <w:rsid w:val="007947AB"/>
    <w:rsid w:val="00794E7D"/>
    <w:rsid w:val="0079546A"/>
    <w:rsid w:val="007A1C5B"/>
    <w:rsid w:val="007A2E71"/>
    <w:rsid w:val="007A3B7D"/>
    <w:rsid w:val="007A6D2A"/>
    <w:rsid w:val="007A6D54"/>
    <w:rsid w:val="007A6FBC"/>
    <w:rsid w:val="007B433F"/>
    <w:rsid w:val="007B470B"/>
    <w:rsid w:val="007B5D30"/>
    <w:rsid w:val="007B5F18"/>
    <w:rsid w:val="007C0E0E"/>
    <w:rsid w:val="007C26D8"/>
    <w:rsid w:val="007C26FC"/>
    <w:rsid w:val="007D3254"/>
    <w:rsid w:val="007D4DF5"/>
    <w:rsid w:val="007D6D26"/>
    <w:rsid w:val="007D745A"/>
    <w:rsid w:val="007E3996"/>
    <w:rsid w:val="007E7455"/>
    <w:rsid w:val="007F0433"/>
    <w:rsid w:val="007F3854"/>
    <w:rsid w:val="0080183A"/>
    <w:rsid w:val="0080537C"/>
    <w:rsid w:val="00805382"/>
    <w:rsid w:val="008069D2"/>
    <w:rsid w:val="0081030E"/>
    <w:rsid w:val="008133BF"/>
    <w:rsid w:val="008140D0"/>
    <w:rsid w:val="00814385"/>
    <w:rsid w:val="008163FC"/>
    <w:rsid w:val="008225F6"/>
    <w:rsid w:val="00826FEF"/>
    <w:rsid w:val="008330DC"/>
    <w:rsid w:val="00840588"/>
    <w:rsid w:val="008405FE"/>
    <w:rsid w:val="00841F79"/>
    <w:rsid w:val="00843DCD"/>
    <w:rsid w:val="00844624"/>
    <w:rsid w:val="00850C44"/>
    <w:rsid w:val="00851D7B"/>
    <w:rsid w:val="008527ED"/>
    <w:rsid w:val="00853AB5"/>
    <w:rsid w:val="00856608"/>
    <w:rsid w:val="00860166"/>
    <w:rsid w:val="008611FD"/>
    <w:rsid w:val="00861AC0"/>
    <w:rsid w:val="00865E09"/>
    <w:rsid w:val="00867ADE"/>
    <w:rsid w:val="00870AC6"/>
    <w:rsid w:val="00871B18"/>
    <w:rsid w:val="00872202"/>
    <w:rsid w:val="008740A4"/>
    <w:rsid w:val="00874D1A"/>
    <w:rsid w:val="00877B00"/>
    <w:rsid w:val="008830BB"/>
    <w:rsid w:val="00884161"/>
    <w:rsid w:val="00884318"/>
    <w:rsid w:val="0088760F"/>
    <w:rsid w:val="00887703"/>
    <w:rsid w:val="00892F45"/>
    <w:rsid w:val="008A601E"/>
    <w:rsid w:val="008A7E2A"/>
    <w:rsid w:val="008A7EC9"/>
    <w:rsid w:val="008B0D30"/>
    <w:rsid w:val="008B280D"/>
    <w:rsid w:val="008B5612"/>
    <w:rsid w:val="008C0B7E"/>
    <w:rsid w:val="008C2054"/>
    <w:rsid w:val="008C7153"/>
    <w:rsid w:val="008C71CD"/>
    <w:rsid w:val="008C7CF8"/>
    <w:rsid w:val="008D330E"/>
    <w:rsid w:val="008D4685"/>
    <w:rsid w:val="008D78FE"/>
    <w:rsid w:val="008E1ECD"/>
    <w:rsid w:val="008E26B4"/>
    <w:rsid w:val="008E7BE9"/>
    <w:rsid w:val="008F0D4E"/>
    <w:rsid w:val="008F64CC"/>
    <w:rsid w:val="008F6C13"/>
    <w:rsid w:val="0090259E"/>
    <w:rsid w:val="00904AF4"/>
    <w:rsid w:val="0090731B"/>
    <w:rsid w:val="00910946"/>
    <w:rsid w:val="00910D08"/>
    <w:rsid w:val="00911789"/>
    <w:rsid w:val="009129E9"/>
    <w:rsid w:val="00913624"/>
    <w:rsid w:val="00917D6A"/>
    <w:rsid w:val="00923A21"/>
    <w:rsid w:val="00930C79"/>
    <w:rsid w:val="009334E6"/>
    <w:rsid w:val="00934C67"/>
    <w:rsid w:val="00935C78"/>
    <w:rsid w:val="00936926"/>
    <w:rsid w:val="009522B9"/>
    <w:rsid w:val="00954BF5"/>
    <w:rsid w:val="0096031E"/>
    <w:rsid w:val="009626BD"/>
    <w:rsid w:val="009664F3"/>
    <w:rsid w:val="00975C96"/>
    <w:rsid w:val="009765A4"/>
    <w:rsid w:val="009831DA"/>
    <w:rsid w:val="009909C3"/>
    <w:rsid w:val="00990D82"/>
    <w:rsid w:val="0099196E"/>
    <w:rsid w:val="00993888"/>
    <w:rsid w:val="00997FE7"/>
    <w:rsid w:val="009A07C6"/>
    <w:rsid w:val="009A21B5"/>
    <w:rsid w:val="009A7622"/>
    <w:rsid w:val="009B1418"/>
    <w:rsid w:val="009B2072"/>
    <w:rsid w:val="009B24A1"/>
    <w:rsid w:val="009C46CB"/>
    <w:rsid w:val="009C486D"/>
    <w:rsid w:val="009C57E9"/>
    <w:rsid w:val="009D1945"/>
    <w:rsid w:val="009D4455"/>
    <w:rsid w:val="009E05A0"/>
    <w:rsid w:val="009E0CBA"/>
    <w:rsid w:val="009E4C48"/>
    <w:rsid w:val="009F0762"/>
    <w:rsid w:val="009F09C8"/>
    <w:rsid w:val="009F1015"/>
    <w:rsid w:val="009F3D01"/>
    <w:rsid w:val="009F4941"/>
    <w:rsid w:val="009F71B5"/>
    <w:rsid w:val="00A001B5"/>
    <w:rsid w:val="00A023E5"/>
    <w:rsid w:val="00A02553"/>
    <w:rsid w:val="00A03B3B"/>
    <w:rsid w:val="00A06572"/>
    <w:rsid w:val="00A10A70"/>
    <w:rsid w:val="00A10E7E"/>
    <w:rsid w:val="00A11B65"/>
    <w:rsid w:val="00A12DB0"/>
    <w:rsid w:val="00A13A8A"/>
    <w:rsid w:val="00A177FF"/>
    <w:rsid w:val="00A1795F"/>
    <w:rsid w:val="00A23210"/>
    <w:rsid w:val="00A252D5"/>
    <w:rsid w:val="00A259FA"/>
    <w:rsid w:val="00A34C7C"/>
    <w:rsid w:val="00A350DB"/>
    <w:rsid w:val="00A41F56"/>
    <w:rsid w:val="00A4489F"/>
    <w:rsid w:val="00A4581E"/>
    <w:rsid w:val="00A46308"/>
    <w:rsid w:val="00A47DF2"/>
    <w:rsid w:val="00A51564"/>
    <w:rsid w:val="00A518B6"/>
    <w:rsid w:val="00A523CD"/>
    <w:rsid w:val="00A53490"/>
    <w:rsid w:val="00A553ED"/>
    <w:rsid w:val="00A554CB"/>
    <w:rsid w:val="00A604EB"/>
    <w:rsid w:val="00A622A7"/>
    <w:rsid w:val="00A663FE"/>
    <w:rsid w:val="00A70E7D"/>
    <w:rsid w:val="00A71BC4"/>
    <w:rsid w:val="00A7644D"/>
    <w:rsid w:val="00A76B2C"/>
    <w:rsid w:val="00A80A10"/>
    <w:rsid w:val="00A826C7"/>
    <w:rsid w:val="00A82918"/>
    <w:rsid w:val="00A8400E"/>
    <w:rsid w:val="00A97C44"/>
    <w:rsid w:val="00AA02CA"/>
    <w:rsid w:val="00AA1B8D"/>
    <w:rsid w:val="00AA23F0"/>
    <w:rsid w:val="00AA2F6D"/>
    <w:rsid w:val="00AA3D8F"/>
    <w:rsid w:val="00AB4395"/>
    <w:rsid w:val="00AB5D42"/>
    <w:rsid w:val="00AC47F5"/>
    <w:rsid w:val="00AC7553"/>
    <w:rsid w:val="00AD0F89"/>
    <w:rsid w:val="00AE247B"/>
    <w:rsid w:val="00AE56B0"/>
    <w:rsid w:val="00AE7376"/>
    <w:rsid w:val="00AF257C"/>
    <w:rsid w:val="00AF4571"/>
    <w:rsid w:val="00AF5D6C"/>
    <w:rsid w:val="00B02310"/>
    <w:rsid w:val="00B07C89"/>
    <w:rsid w:val="00B12B57"/>
    <w:rsid w:val="00B13083"/>
    <w:rsid w:val="00B22358"/>
    <w:rsid w:val="00B234F9"/>
    <w:rsid w:val="00B2392A"/>
    <w:rsid w:val="00B24A4A"/>
    <w:rsid w:val="00B30A30"/>
    <w:rsid w:val="00B323ED"/>
    <w:rsid w:val="00B34486"/>
    <w:rsid w:val="00B3731D"/>
    <w:rsid w:val="00B4033A"/>
    <w:rsid w:val="00B419DE"/>
    <w:rsid w:val="00B43894"/>
    <w:rsid w:val="00B451F7"/>
    <w:rsid w:val="00B47440"/>
    <w:rsid w:val="00B50C83"/>
    <w:rsid w:val="00B52AF5"/>
    <w:rsid w:val="00B52E7A"/>
    <w:rsid w:val="00B57DC9"/>
    <w:rsid w:val="00B630DE"/>
    <w:rsid w:val="00B63B1E"/>
    <w:rsid w:val="00B63EE8"/>
    <w:rsid w:val="00B74BCE"/>
    <w:rsid w:val="00B75E36"/>
    <w:rsid w:val="00B80B23"/>
    <w:rsid w:val="00B85F1B"/>
    <w:rsid w:val="00B85F39"/>
    <w:rsid w:val="00B90DF9"/>
    <w:rsid w:val="00B93E27"/>
    <w:rsid w:val="00B96167"/>
    <w:rsid w:val="00BA4F86"/>
    <w:rsid w:val="00BA69DF"/>
    <w:rsid w:val="00BB3F73"/>
    <w:rsid w:val="00BB60C3"/>
    <w:rsid w:val="00BC4713"/>
    <w:rsid w:val="00BC6B5A"/>
    <w:rsid w:val="00BC7421"/>
    <w:rsid w:val="00BD0EEE"/>
    <w:rsid w:val="00BD4601"/>
    <w:rsid w:val="00BD4E9A"/>
    <w:rsid w:val="00BD6A08"/>
    <w:rsid w:val="00BE103E"/>
    <w:rsid w:val="00BE4FB2"/>
    <w:rsid w:val="00BF2A2E"/>
    <w:rsid w:val="00BF39F3"/>
    <w:rsid w:val="00BF41C9"/>
    <w:rsid w:val="00BF5D4E"/>
    <w:rsid w:val="00BF5F3D"/>
    <w:rsid w:val="00C02C13"/>
    <w:rsid w:val="00C04173"/>
    <w:rsid w:val="00C1620C"/>
    <w:rsid w:val="00C22434"/>
    <w:rsid w:val="00C25007"/>
    <w:rsid w:val="00C25B86"/>
    <w:rsid w:val="00C26B43"/>
    <w:rsid w:val="00C26C94"/>
    <w:rsid w:val="00C27702"/>
    <w:rsid w:val="00C35C67"/>
    <w:rsid w:val="00C37ABC"/>
    <w:rsid w:val="00C4334C"/>
    <w:rsid w:val="00C54125"/>
    <w:rsid w:val="00C54F5D"/>
    <w:rsid w:val="00C57D0E"/>
    <w:rsid w:val="00C60176"/>
    <w:rsid w:val="00C66C09"/>
    <w:rsid w:val="00C71A69"/>
    <w:rsid w:val="00C754FE"/>
    <w:rsid w:val="00C75F14"/>
    <w:rsid w:val="00C77874"/>
    <w:rsid w:val="00C81261"/>
    <w:rsid w:val="00C868DA"/>
    <w:rsid w:val="00C903AC"/>
    <w:rsid w:val="00C9172C"/>
    <w:rsid w:val="00C96AC9"/>
    <w:rsid w:val="00CA03E7"/>
    <w:rsid w:val="00CA3856"/>
    <w:rsid w:val="00CA4A69"/>
    <w:rsid w:val="00CA5D40"/>
    <w:rsid w:val="00CB1A1B"/>
    <w:rsid w:val="00CB30C8"/>
    <w:rsid w:val="00CB48BA"/>
    <w:rsid w:val="00CB6724"/>
    <w:rsid w:val="00CC16A7"/>
    <w:rsid w:val="00CD2E87"/>
    <w:rsid w:val="00CD7A9A"/>
    <w:rsid w:val="00CE371C"/>
    <w:rsid w:val="00CE3B54"/>
    <w:rsid w:val="00CE49DA"/>
    <w:rsid w:val="00CE4E17"/>
    <w:rsid w:val="00CE74A6"/>
    <w:rsid w:val="00CF11A1"/>
    <w:rsid w:val="00CF1E2E"/>
    <w:rsid w:val="00CF2DD3"/>
    <w:rsid w:val="00CF405E"/>
    <w:rsid w:val="00CF45C5"/>
    <w:rsid w:val="00D01E6E"/>
    <w:rsid w:val="00D0507A"/>
    <w:rsid w:val="00D145A0"/>
    <w:rsid w:val="00D153CE"/>
    <w:rsid w:val="00D174AC"/>
    <w:rsid w:val="00D22393"/>
    <w:rsid w:val="00D2514B"/>
    <w:rsid w:val="00D27847"/>
    <w:rsid w:val="00D41D44"/>
    <w:rsid w:val="00D429BF"/>
    <w:rsid w:val="00D45A40"/>
    <w:rsid w:val="00D50749"/>
    <w:rsid w:val="00D538E9"/>
    <w:rsid w:val="00D60D24"/>
    <w:rsid w:val="00D62100"/>
    <w:rsid w:val="00D66F85"/>
    <w:rsid w:val="00D777EB"/>
    <w:rsid w:val="00D917ED"/>
    <w:rsid w:val="00D92CA2"/>
    <w:rsid w:val="00DA1180"/>
    <w:rsid w:val="00DA333A"/>
    <w:rsid w:val="00DB372E"/>
    <w:rsid w:val="00DB718A"/>
    <w:rsid w:val="00DB7A34"/>
    <w:rsid w:val="00DC3E92"/>
    <w:rsid w:val="00DC4BA2"/>
    <w:rsid w:val="00DC4FAA"/>
    <w:rsid w:val="00DC6650"/>
    <w:rsid w:val="00DD0706"/>
    <w:rsid w:val="00DD4383"/>
    <w:rsid w:val="00DD741B"/>
    <w:rsid w:val="00DD7E11"/>
    <w:rsid w:val="00DE0714"/>
    <w:rsid w:val="00DE0CE9"/>
    <w:rsid w:val="00DE57D3"/>
    <w:rsid w:val="00DE5A0D"/>
    <w:rsid w:val="00DF1DD1"/>
    <w:rsid w:val="00DF5EB2"/>
    <w:rsid w:val="00E2307D"/>
    <w:rsid w:val="00E23581"/>
    <w:rsid w:val="00E239F3"/>
    <w:rsid w:val="00E31654"/>
    <w:rsid w:val="00E321A9"/>
    <w:rsid w:val="00E333AE"/>
    <w:rsid w:val="00E3382C"/>
    <w:rsid w:val="00E3523E"/>
    <w:rsid w:val="00E4420A"/>
    <w:rsid w:val="00E4460F"/>
    <w:rsid w:val="00E45A89"/>
    <w:rsid w:val="00E46812"/>
    <w:rsid w:val="00E47979"/>
    <w:rsid w:val="00E51464"/>
    <w:rsid w:val="00E55DD7"/>
    <w:rsid w:val="00E606A1"/>
    <w:rsid w:val="00E615D9"/>
    <w:rsid w:val="00E62ED9"/>
    <w:rsid w:val="00E66A42"/>
    <w:rsid w:val="00E70544"/>
    <w:rsid w:val="00E72C3F"/>
    <w:rsid w:val="00E750C1"/>
    <w:rsid w:val="00E7669D"/>
    <w:rsid w:val="00E772FA"/>
    <w:rsid w:val="00E8300B"/>
    <w:rsid w:val="00E90639"/>
    <w:rsid w:val="00E907A9"/>
    <w:rsid w:val="00EA0712"/>
    <w:rsid w:val="00EA6364"/>
    <w:rsid w:val="00EA64C0"/>
    <w:rsid w:val="00EB5188"/>
    <w:rsid w:val="00EC140B"/>
    <w:rsid w:val="00EC1D91"/>
    <w:rsid w:val="00EC62E0"/>
    <w:rsid w:val="00ED71CB"/>
    <w:rsid w:val="00EE1589"/>
    <w:rsid w:val="00EE1744"/>
    <w:rsid w:val="00EE3460"/>
    <w:rsid w:val="00EF697F"/>
    <w:rsid w:val="00F04EBE"/>
    <w:rsid w:val="00F05C8F"/>
    <w:rsid w:val="00F05CAF"/>
    <w:rsid w:val="00F05D78"/>
    <w:rsid w:val="00F11881"/>
    <w:rsid w:val="00F16124"/>
    <w:rsid w:val="00F22611"/>
    <w:rsid w:val="00F30D52"/>
    <w:rsid w:val="00F35240"/>
    <w:rsid w:val="00F35963"/>
    <w:rsid w:val="00F439E3"/>
    <w:rsid w:val="00F50120"/>
    <w:rsid w:val="00F506EA"/>
    <w:rsid w:val="00F52AED"/>
    <w:rsid w:val="00F549A2"/>
    <w:rsid w:val="00F54EA4"/>
    <w:rsid w:val="00F55A8A"/>
    <w:rsid w:val="00F5737E"/>
    <w:rsid w:val="00F57DEA"/>
    <w:rsid w:val="00F621D0"/>
    <w:rsid w:val="00F621F9"/>
    <w:rsid w:val="00F6625A"/>
    <w:rsid w:val="00F71AC5"/>
    <w:rsid w:val="00F81148"/>
    <w:rsid w:val="00F826E8"/>
    <w:rsid w:val="00F83E65"/>
    <w:rsid w:val="00F8647A"/>
    <w:rsid w:val="00F86F95"/>
    <w:rsid w:val="00F910F7"/>
    <w:rsid w:val="00FA2547"/>
    <w:rsid w:val="00FA79C2"/>
    <w:rsid w:val="00FB0450"/>
    <w:rsid w:val="00FB0C53"/>
    <w:rsid w:val="00FB4050"/>
    <w:rsid w:val="00FB44D5"/>
    <w:rsid w:val="00FB4850"/>
    <w:rsid w:val="00FB5A9F"/>
    <w:rsid w:val="00FB6192"/>
    <w:rsid w:val="00FD1576"/>
    <w:rsid w:val="00FD274C"/>
    <w:rsid w:val="00FE34A1"/>
    <w:rsid w:val="00FE531F"/>
    <w:rsid w:val="00FE7D1B"/>
    <w:rsid w:val="00FF06EF"/>
    <w:rsid w:val="00FF73B0"/>
    <w:rsid w:val="00FF7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365D5A"/>
  <w15:docId w15:val="{EDE1294D-08F7-0341-9B91-592CE01F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486"/>
    <w:pPr>
      <w:keepNext/>
      <w:keepLines/>
      <w:spacing w:before="480" w:after="120" w:line="276" w:lineRule="auto"/>
      <w:outlineLvl w:val="0"/>
    </w:pPr>
    <w:rPr>
      <w:rFonts w:ascii="Times New Roman" w:eastAsiaTheme="majorEastAsia" w:hAnsi="Times New Roman" w:cstheme="majorBidi"/>
      <w:b/>
      <w:bCs/>
      <w:sz w:val="28"/>
      <w:szCs w:val="32"/>
      <w:lang w:val="en-GB"/>
    </w:rPr>
  </w:style>
  <w:style w:type="paragraph" w:styleId="Heading2">
    <w:name w:val="heading 2"/>
    <w:basedOn w:val="Normal"/>
    <w:next w:val="Normal"/>
    <w:link w:val="Heading2Char"/>
    <w:uiPriority w:val="9"/>
    <w:unhideWhenUsed/>
    <w:qFormat/>
    <w:rsid w:val="001147EF"/>
    <w:pPr>
      <w:keepNext/>
      <w:keepLines/>
      <w:numPr>
        <w:ilvl w:val="1"/>
        <w:numId w:val="3"/>
      </w:numPr>
      <w:spacing w:before="200" w:line="276" w:lineRule="auto"/>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F05C8F"/>
    <w:pPr>
      <w:keepNext/>
      <w:keepLines/>
      <w:numPr>
        <w:ilvl w:val="2"/>
        <w:numId w:val="3"/>
      </w:numPr>
      <w:spacing w:before="200" w:line="276" w:lineRule="auto"/>
      <w:outlineLvl w:val="2"/>
    </w:pPr>
    <w:rPr>
      <w:rFonts w:ascii="Times New Roman" w:eastAsiaTheme="majorEastAsia" w:hAnsi="Times New Roman" w:cs="Times New Roman"/>
      <w:b/>
      <w:bCs/>
      <w:szCs w:val="32"/>
      <w:lang w:val="en-GB"/>
    </w:rPr>
  </w:style>
  <w:style w:type="paragraph" w:styleId="Heading4">
    <w:name w:val="heading 4"/>
    <w:basedOn w:val="Normal"/>
    <w:next w:val="Normal"/>
    <w:link w:val="Heading4Char"/>
    <w:uiPriority w:val="9"/>
    <w:unhideWhenUsed/>
    <w:qFormat/>
    <w:rsid w:val="00F05C8F"/>
    <w:pPr>
      <w:keepNext/>
      <w:keepLines/>
      <w:numPr>
        <w:ilvl w:val="3"/>
        <w:numId w:val="3"/>
      </w:numPr>
      <w:spacing w:before="200" w:line="276" w:lineRule="auto"/>
      <w:outlineLvl w:val="3"/>
    </w:pPr>
    <w:rPr>
      <w:rFonts w:asciiTheme="majorHAnsi" w:eastAsiaTheme="majorEastAsia" w:hAnsiTheme="majorHAnsi" w:cstheme="majorBidi"/>
      <w:b/>
      <w:bCs/>
      <w:i/>
      <w:iCs/>
      <w:color w:val="4472C4" w:themeColor="accent1"/>
      <w:sz w:val="22"/>
      <w:szCs w:val="22"/>
      <w:lang w:val="en-GB"/>
    </w:rPr>
  </w:style>
  <w:style w:type="paragraph" w:styleId="Heading5">
    <w:name w:val="heading 5"/>
    <w:basedOn w:val="Normal"/>
    <w:next w:val="Normal"/>
    <w:link w:val="Heading5Char"/>
    <w:uiPriority w:val="9"/>
    <w:unhideWhenUsed/>
    <w:qFormat/>
    <w:rsid w:val="00F05C8F"/>
    <w:pPr>
      <w:keepNext/>
      <w:keepLines/>
      <w:numPr>
        <w:ilvl w:val="4"/>
        <w:numId w:val="3"/>
      </w:numPr>
      <w:spacing w:before="200" w:line="276" w:lineRule="auto"/>
      <w:outlineLvl w:val="4"/>
    </w:pPr>
    <w:rPr>
      <w:rFonts w:asciiTheme="majorHAnsi" w:eastAsiaTheme="majorEastAsia" w:hAnsiTheme="majorHAnsi" w:cstheme="majorBidi"/>
      <w:color w:val="1F3763" w:themeColor="accent1" w:themeShade="7F"/>
      <w:sz w:val="22"/>
      <w:szCs w:val="22"/>
      <w:lang w:val="en-GB"/>
    </w:rPr>
  </w:style>
  <w:style w:type="paragraph" w:styleId="Heading6">
    <w:name w:val="heading 6"/>
    <w:basedOn w:val="Normal"/>
    <w:next w:val="Normal"/>
    <w:link w:val="Heading6Char"/>
    <w:uiPriority w:val="9"/>
    <w:semiHidden/>
    <w:unhideWhenUsed/>
    <w:qFormat/>
    <w:rsid w:val="00F05C8F"/>
    <w:pPr>
      <w:keepNext/>
      <w:keepLines/>
      <w:numPr>
        <w:ilvl w:val="5"/>
        <w:numId w:val="3"/>
      </w:numPr>
      <w:spacing w:before="200" w:line="276" w:lineRule="auto"/>
      <w:outlineLvl w:val="5"/>
    </w:pPr>
    <w:rPr>
      <w:rFonts w:asciiTheme="majorHAnsi" w:eastAsiaTheme="majorEastAsia" w:hAnsiTheme="majorHAnsi" w:cstheme="majorBidi"/>
      <w:i/>
      <w:iCs/>
      <w:color w:val="1F3763" w:themeColor="accent1" w:themeShade="7F"/>
      <w:sz w:val="22"/>
      <w:szCs w:val="22"/>
      <w:lang w:val="en-GB"/>
    </w:rPr>
  </w:style>
  <w:style w:type="paragraph" w:styleId="Heading7">
    <w:name w:val="heading 7"/>
    <w:basedOn w:val="Normal"/>
    <w:next w:val="Normal"/>
    <w:link w:val="Heading7Char"/>
    <w:uiPriority w:val="9"/>
    <w:semiHidden/>
    <w:unhideWhenUsed/>
    <w:qFormat/>
    <w:rsid w:val="00F05C8F"/>
    <w:pPr>
      <w:keepNext/>
      <w:keepLines/>
      <w:numPr>
        <w:ilvl w:val="6"/>
        <w:numId w:val="3"/>
      </w:numPr>
      <w:spacing w:before="200" w:line="276" w:lineRule="auto"/>
      <w:outlineLvl w:val="6"/>
    </w:pPr>
    <w:rPr>
      <w:rFonts w:asciiTheme="majorHAnsi" w:eastAsiaTheme="majorEastAsia" w:hAnsiTheme="majorHAnsi" w:cstheme="majorBidi"/>
      <w:i/>
      <w:iCs/>
      <w:color w:val="404040" w:themeColor="text1" w:themeTint="BF"/>
      <w:sz w:val="22"/>
      <w:szCs w:val="22"/>
      <w:lang w:val="en-GB"/>
    </w:rPr>
  </w:style>
  <w:style w:type="paragraph" w:styleId="Heading8">
    <w:name w:val="heading 8"/>
    <w:basedOn w:val="Normal"/>
    <w:next w:val="Normal"/>
    <w:link w:val="Heading8Char"/>
    <w:uiPriority w:val="9"/>
    <w:semiHidden/>
    <w:unhideWhenUsed/>
    <w:qFormat/>
    <w:rsid w:val="00F05C8F"/>
    <w:pPr>
      <w:keepNext/>
      <w:keepLines/>
      <w:numPr>
        <w:ilvl w:val="7"/>
        <w:numId w:val="3"/>
      </w:numPr>
      <w:spacing w:before="20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F05C8F"/>
    <w:pPr>
      <w:keepNext/>
      <w:keepLines/>
      <w:numPr>
        <w:ilvl w:val="8"/>
        <w:numId w:val="3"/>
      </w:numPr>
      <w:spacing w:before="20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486"/>
    <w:rPr>
      <w:rFonts w:ascii="Times New Roman" w:eastAsiaTheme="majorEastAsia" w:hAnsi="Times New Roman" w:cstheme="majorBidi"/>
      <w:b/>
      <w:bCs/>
      <w:sz w:val="28"/>
      <w:szCs w:val="32"/>
      <w:lang w:val="en-GB"/>
    </w:rPr>
  </w:style>
  <w:style w:type="character" w:customStyle="1" w:styleId="Heading2Char">
    <w:name w:val="Heading 2 Char"/>
    <w:basedOn w:val="DefaultParagraphFont"/>
    <w:link w:val="Heading2"/>
    <w:uiPriority w:val="9"/>
    <w:rsid w:val="001147EF"/>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F05C8F"/>
    <w:rPr>
      <w:rFonts w:ascii="Times New Roman" w:eastAsiaTheme="majorEastAsia" w:hAnsi="Times New Roman" w:cs="Times New Roman"/>
      <w:b/>
      <w:bCs/>
      <w:szCs w:val="32"/>
      <w:lang w:val="en-GB"/>
    </w:rPr>
  </w:style>
  <w:style w:type="character" w:customStyle="1" w:styleId="Heading4Char">
    <w:name w:val="Heading 4 Char"/>
    <w:basedOn w:val="DefaultParagraphFont"/>
    <w:link w:val="Heading4"/>
    <w:uiPriority w:val="9"/>
    <w:rsid w:val="00F05C8F"/>
    <w:rPr>
      <w:rFonts w:asciiTheme="majorHAnsi" w:eastAsiaTheme="majorEastAsia" w:hAnsiTheme="majorHAnsi" w:cstheme="majorBidi"/>
      <w:b/>
      <w:bCs/>
      <w:i/>
      <w:iCs/>
      <w:color w:val="4472C4" w:themeColor="accent1"/>
      <w:sz w:val="22"/>
      <w:szCs w:val="22"/>
      <w:lang w:val="en-GB"/>
    </w:rPr>
  </w:style>
  <w:style w:type="character" w:customStyle="1" w:styleId="Heading5Char">
    <w:name w:val="Heading 5 Char"/>
    <w:basedOn w:val="DefaultParagraphFont"/>
    <w:link w:val="Heading5"/>
    <w:uiPriority w:val="9"/>
    <w:rsid w:val="00F05C8F"/>
    <w:rPr>
      <w:rFonts w:asciiTheme="majorHAnsi" w:eastAsiaTheme="majorEastAsia" w:hAnsiTheme="majorHAnsi" w:cstheme="majorBidi"/>
      <w:color w:val="1F3763" w:themeColor="accent1" w:themeShade="7F"/>
      <w:sz w:val="22"/>
      <w:szCs w:val="22"/>
      <w:lang w:val="en-GB"/>
    </w:rPr>
  </w:style>
  <w:style w:type="character" w:customStyle="1" w:styleId="Heading6Char">
    <w:name w:val="Heading 6 Char"/>
    <w:basedOn w:val="DefaultParagraphFont"/>
    <w:link w:val="Heading6"/>
    <w:uiPriority w:val="9"/>
    <w:semiHidden/>
    <w:rsid w:val="00F05C8F"/>
    <w:rPr>
      <w:rFonts w:asciiTheme="majorHAnsi" w:eastAsiaTheme="majorEastAsia" w:hAnsiTheme="majorHAnsi" w:cstheme="majorBidi"/>
      <w:i/>
      <w:iCs/>
      <w:color w:val="1F3763" w:themeColor="accent1" w:themeShade="7F"/>
      <w:sz w:val="22"/>
      <w:szCs w:val="22"/>
      <w:lang w:val="en-GB"/>
    </w:rPr>
  </w:style>
  <w:style w:type="character" w:customStyle="1" w:styleId="Heading7Char">
    <w:name w:val="Heading 7 Char"/>
    <w:basedOn w:val="DefaultParagraphFont"/>
    <w:link w:val="Heading7"/>
    <w:uiPriority w:val="9"/>
    <w:semiHidden/>
    <w:rsid w:val="00F05C8F"/>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semiHidden/>
    <w:rsid w:val="00F05C8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05C8F"/>
    <w:rPr>
      <w:rFonts w:asciiTheme="majorHAnsi" w:eastAsiaTheme="majorEastAsia" w:hAnsiTheme="majorHAnsi" w:cstheme="majorBidi"/>
      <w:i/>
      <w:iCs/>
      <w:color w:val="404040" w:themeColor="text1" w:themeTint="BF"/>
      <w:sz w:val="20"/>
      <w:szCs w:val="20"/>
      <w:lang w:val="en-GB"/>
    </w:rPr>
  </w:style>
  <w:style w:type="paragraph" w:styleId="BalloonText">
    <w:name w:val="Balloon Text"/>
    <w:basedOn w:val="Normal"/>
    <w:link w:val="BalloonTextChar"/>
    <w:uiPriority w:val="99"/>
    <w:semiHidden/>
    <w:unhideWhenUsed/>
    <w:rsid w:val="0063401C"/>
    <w:rPr>
      <w:rFonts w:ascii="Tahoma" w:hAnsi="Tahoma" w:cs="Tahoma"/>
      <w:sz w:val="16"/>
      <w:szCs w:val="16"/>
    </w:rPr>
  </w:style>
  <w:style w:type="character" w:customStyle="1" w:styleId="BalloonTextChar">
    <w:name w:val="Balloon Text Char"/>
    <w:basedOn w:val="DefaultParagraphFont"/>
    <w:link w:val="BalloonText"/>
    <w:uiPriority w:val="99"/>
    <w:semiHidden/>
    <w:rsid w:val="0063401C"/>
    <w:rPr>
      <w:rFonts w:ascii="Tahoma" w:hAnsi="Tahoma" w:cs="Tahoma"/>
      <w:sz w:val="16"/>
      <w:szCs w:val="16"/>
    </w:rPr>
  </w:style>
  <w:style w:type="paragraph" w:styleId="Header">
    <w:name w:val="header"/>
    <w:basedOn w:val="Normal"/>
    <w:link w:val="HeaderChar"/>
    <w:uiPriority w:val="99"/>
    <w:unhideWhenUsed/>
    <w:rsid w:val="0063401C"/>
    <w:pPr>
      <w:tabs>
        <w:tab w:val="center" w:pos="4680"/>
        <w:tab w:val="right" w:pos="9360"/>
      </w:tabs>
    </w:pPr>
  </w:style>
  <w:style w:type="character" w:customStyle="1" w:styleId="HeaderChar">
    <w:name w:val="Header Char"/>
    <w:basedOn w:val="DefaultParagraphFont"/>
    <w:link w:val="Header"/>
    <w:uiPriority w:val="99"/>
    <w:rsid w:val="0063401C"/>
  </w:style>
  <w:style w:type="paragraph" w:styleId="Footer">
    <w:name w:val="footer"/>
    <w:basedOn w:val="Normal"/>
    <w:link w:val="FooterChar"/>
    <w:uiPriority w:val="99"/>
    <w:unhideWhenUsed/>
    <w:rsid w:val="0063401C"/>
    <w:pPr>
      <w:tabs>
        <w:tab w:val="center" w:pos="4680"/>
        <w:tab w:val="right" w:pos="9360"/>
      </w:tabs>
    </w:pPr>
  </w:style>
  <w:style w:type="character" w:customStyle="1" w:styleId="FooterChar">
    <w:name w:val="Footer Char"/>
    <w:basedOn w:val="DefaultParagraphFont"/>
    <w:link w:val="Footer"/>
    <w:uiPriority w:val="99"/>
    <w:rsid w:val="0063401C"/>
  </w:style>
  <w:style w:type="paragraph" w:styleId="ListParagraph">
    <w:name w:val="List Paragraph"/>
    <w:basedOn w:val="Normal"/>
    <w:uiPriority w:val="34"/>
    <w:qFormat/>
    <w:rsid w:val="000C5B4D"/>
    <w:pPr>
      <w:ind w:left="720"/>
      <w:contextualSpacing/>
    </w:pPr>
  </w:style>
  <w:style w:type="table" w:styleId="TableGrid">
    <w:name w:val="Table Grid"/>
    <w:basedOn w:val="TableNormal"/>
    <w:uiPriority w:val="39"/>
    <w:rsid w:val="0057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34F9"/>
    <w:pPr>
      <w:spacing w:before="100" w:beforeAutospacing="1" w:after="100" w:afterAutospacing="1"/>
    </w:pPr>
    <w:rPr>
      <w:rFonts w:ascii="Times" w:hAnsi="Times" w:cs="Times New Roman"/>
      <w:sz w:val="20"/>
      <w:szCs w:val="20"/>
    </w:rPr>
  </w:style>
  <w:style w:type="table" w:styleId="LightShading">
    <w:name w:val="Light Shading"/>
    <w:basedOn w:val="TableNormal"/>
    <w:uiPriority w:val="60"/>
    <w:rsid w:val="008225F6"/>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F05C8F"/>
  </w:style>
  <w:style w:type="paragraph" w:customStyle="1" w:styleId="Body">
    <w:name w:val="Body"/>
    <w:rsid w:val="00F05C8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styleId="CommentReference">
    <w:name w:val="annotation reference"/>
    <w:basedOn w:val="DefaultParagraphFont"/>
    <w:uiPriority w:val="99"/>
    <w:unhideWhenUsed/>
    <w:rsid w:val="00BC7421"/>
    <w:rPr>
      <w:sz w:val="18"/>
      <w:szCs w:val="18"/>
    </w:rPr>
  </w:style>
  <w:style w:type="paragraph" w:styleId="CommentText">
    <w:name w:val="annotation text"/>
    <w:basedOn w:val="Normal"/>
    <w:link w:val="CommentTextChar"/>
    <w:uiPriority w:val="99"/>
    <w:unhideWhenUsed/>
    <w:rsid w:val="00BC7421"/>
    <w:pPr>
      <w:spacing w:after="200"/>
    </w:pPr>
    <w:rPr>
      <w:lang w:val="en-GB"/>
    </w:rPr>
  </w:style>
  <w:style w:type="character" w:customStyle="1" w:styleId="CommentTextChar">
    <w:name w:val="Comment Text Char"/>
    <w:basedOn w:val="DefaultParagraphFont"/>
    <w:link w:val="CommentText"/>
    <w:uiPriority w:val="99"/>
    <w:rsid w:val="00BC7421"/>
    <w:rPr>
      <w:lang w:val="en-GB"/>
    </w:rPr>
  </w:style>
  <w:style w:type="paragraph" w:styleId="Caption">
    <w:name w:val="caption"/>
    <w:basedOn w:val="Normal"/>
    <w:uiPriority w:val="35"/>
    <w:qFormat/>
    <w:rsid w:val="004E70F1"/>
    <w:pPr>
      <w:suppressLineNumbers/>
      <w:suppressAutoHyphens/>
      <w:spacing w:before="120" w:after="120" w:line="276" w:lineRule="auto"/>
    </w:pPr>
    <w:rPr>
      <w:rFonts w:ascii="Calibri" w:eastAsia="SimSun" w:hAnsi="Calibri" w:cs="Mangal"/>
      <w:i/>
      <w:iCs/>
      <w:lang w:val="en-GB"/>
    </w:rPr>
  </w:style>
  <w:style w:type="paragraph" w:styleId="Index1">
    <w:name w:val="index 1"/>
    <w:basedOn w:val="Normal"/>
    <w:next w:val="Normal"/>
    <w:autoRedefine/>
    <w:uiPriority w:val="99"/>
    <w:unhideWhenUsed/>
    <w:rsid w:val="00E4460F"/>
    <w:pPr>
      <w:ind w:left="240" w:hanging="240"/>
    </w:pPr>
    <w:rPr>
      <w:sz w:val="20"/>
      <w:szCs w:val="20"/>
    </w:rPr>
  </w:style>
  <w:style w:type="paragraph" w:styleId="Index2">
    <w:name w:val="index 2"/>
    <w:basedOn w:val="Normal"/>
    <w:next w:val="Normal"/>
    <w:autoRedefine/>
    <w:uiPriority w:val="99"/>
    <w:unhideWhenUsed/>
    <w:rsid w:val="00E4460F"/>
    <w:pPr>
      <w:ind w:left="480" w:hanging="240"/>
    </w:pPr>
    <w:rPr>
      <w:sz w:val="20"/>
      <w:szCs w:val="20"/>
    </w:rPr>
  </w:style>
  <w:style w:type="paragraph" w:styleId="Index3">
    <w:name w:val="index 3"/>
    <w:basedOn w:val="Normal"/>
    <w:next w:val="Normal"/>
    <w:autoRedefine/>
    <w:uiPriority w:val="99"/>
    <w:unhideWhenUsed/>
    <w:rsid w:val="00E4460F"/>
    <w:pPr>
      <w:ind w:left="720" w:hanging="240"/>
    </w:pPr>
    <w:rPr>
      <w:sz w:val="20"/>
      <w:szCs w:val="20"/>
    </w:rPr>
  </w:style>
  <w:style w:type="paragraph" w:styleId="Index4">
    <w:name w:val="index 4"/>
    <w:basedOn w:val="Normal"/>
    <w:next w:val="Normal"/>
    <w:autoRedefine/>
    <w:uiPriority w:val="99"/>
    <w:unhideWhenUsed/>
    <w:rsid w:val="00E4460F"/>
    <w:pPr>
      <w:ind w:left="960" w:hanging="240"/>
    </w:pPr>
    <w:rPr>
      <w:sz w:val="20"/>
      <w:szCs w:val="20"/>
    </w:rPr>
  </w:style>
  <w:style w:type="paragraph" w:styleId="Index5">
    <w:name w:val="index 5"/>
    <w:basedOn w:val="Normal"/>
    <w:next w:val="Normal"/>
    <w:autoRedefine/>
    <w:uiPriority w:val="99"/>
    <w:unhideWhenUsed/>
    <w:rsid w:val="00E4460F"/>
    <w:pPr>
      <w:ind w:left="1200" w:hanging="240"/>
    </w:pPr>
    <w:rPr>
      <w:sz w:val="20"/>
      <w:szCs w:val="20"/>
    </w:rPr>
  </w:style>
  <w:style w:type="paragraph" w:styleId="Index6">
    <w:name w:val="index 6"/>
    <w:basedOn w:val="Normal"/>
    <w:next w:val="Normal"/>
    <w:autoRedefine/>
    <w:uiPriority w:val="99"/>
    <w:unhideWhenUsed/>
    <w:rsid w:val="00E4460F"/>
    <w:pPr>
      <w:ind w:left="1440" w:hanging="240"/>
    </w:pPr>
    <w:rPr>
      <w:sz w:val="20"/>
      <w:szCs w:val="20"/>
    </w:rPr>
  </w:style>
  <w:style w:type="paragraph" w:styleId="Index7">
    <w:name w:val="index 7"/>
    <w:basedOn w:val="Normal"/>
    <w:next w:val="Normal"/>
    <w:autoRedefine/>
    <w:uiPriority w:val="99"/>
    <w:unhideWhenUsed/>
    <w:rsid w:val="00E4460F"/>
    <w:pPr>
      <w:ind w:left="1680" w:hanging="240"/>
    </w:pPr>
    <w:rPr>
      <w:sz w:val="20"/>
      <w:szCs w:val="20"/>
    </w:rPr>
  </w:style>
  <w:style w:type="paragraph" w:styleId="Index8">
    <w:name w:val="index 8"/>
    <w:basedOn w:val="Normal"/>
    <w:next w:val="Normal"/>
    <w:autoRedefine/>
    <w:uiPriority w:val="99"/>
    <w:unhideWhenUsed/>
    <w:rsid w:val="00E4460F"/>
    <w:pPr>
      <w:ind w:left="1920" w:hanging="240"/>
    </w:pPr>
    <w:rPr>
      <w:sz w:val="20"/>
      <w:szCs w:val="20"/>
    </w:rPr>
  </w:style>
  <w:style w:type="paragraph" w:styleId="Index9">
    <w:name w:val="index 9"/>
    <w:basedOn w:val="Normal"/>
    <w:next w:val="Normal"/>
    <w:autoRedefine/>
    <w:uiPriority w:val="99"/>
    <w:unhideWhenUsed/>
    <w:rsid w:val="00E4460F"/>
    <w:pPr>
      <w:ind w:left="2160" w:hanging="240"/>
    </w:pPr>
    <w:rPr>
      <w:sz w:val="20"/>
      <w:szCs w:val="20"/>
    </w:rPr>
  </w:style>
  <w:style w:type="paragraph" w:styleId="IndexHeading">
    <w:name w:val="index heading"/>
    <w:basedOn w:val="Normal"/>
    <w:next w:val="Index1"/>
    <w:uiPriority w:val="99"/>
    <w:unhideWhenUsed/>
    <w:rsid w:val="00E4460F"/>
    <w:rPr>
      <w:sz w:val="20"/>
      <w:szCs w:val="20"/>
    </w:rPr>
  </w:style>
  <w:style w:type="paragraph" w:styleId="TOCHeading">
    <w:name w:val="TOC Heading"/>
    <w:basedOn w:val="Heading1"/>
    <w:next w:val="Normal"/>
    <w:uiPriority w:val="39"/>
    <w:unhideWhenUsed/>
    <w:qFormat/>
    <w:rsid w:val="007C26FC"/>
    <w:pPr>
      <w:outlineLvl w:val="9"/>
    </w:pPr>
    <w:rPr>
      <w:color w:val="2F5496" w:themeColor="accent1" w:themeShade="BF"/>
      <w:szCs w:val="28"/>
      <w:lang w:val="en-US"/>
    </w:rPr>
  </w:style>
  <w:style w:type="paragraph" w:styleId="TOC1">
    <w:name w:val="toc 1"/>
    <w:basedOn w:val="Normal"/>
    <w:next w:val="Normal"/>
    <w:autoRedefine/>
    <w:uiPriority w:val="39"/>
    <w:unhideWhenUsed/>
    <w:rsid w:val="008A7E2A"/>
    <w:pPr>
      <w:tabs>
        <w:tab w:val="right" w:pos="10450"/>
      </w:tabs>
      <w:spacing w:before="120"/>
    </w:pPr>
    <w:rPr>
      <w:b/>
      <w:sz w:val="22"/>
      <w:szCs w:val="22"/>
    </w:rPr>
  </w:style>
  <w:style w:type="paragraph" w:styleId="TOC2">
    <w:name w:val="toc 2"/>
    <w:basedOn w:val="Normal"/>
    <w:next w:val="Normal"/>
    <w:autoRedefine/>
    <w:uiPriority w:val="39"/>
    <w:unhideWhenUsed/>
    <w:rsid w:val="007C26FC"/>
    <w:pPr>
      <w:ind w:left="240"/>
    </w:pPr>
    <w:rPr>
      <w:i/>
      <w:sz w:val="22"/>
      <w:szCs w:val="22"/>
    </w:rPr>
  </w:style>
  <w:style w:type="paragraph" w:styleId="TOC3">
    <w:name w:val="toc 3"/>
    <w:basedOn w:val="Normal"/>
    <w:next w:val="Normal"/>
    <w:autoRedefine/>
    <w:uiPriority w:val="39"/>
    <w:unhideWhenUsed/>
    <w:rsid w:val="007C26FC"/>
    <w:pPr>
      <w:ind w:left="480"/>
    </w:pPr>
    <w:rPr>
      <w:sz w:val="22"/>
      <w:szCs w:val="22"/>
    </w:rPr>
  </w:style>
  <w:style w:type="paragraph" w:styleId="TOC4">
    <w:name w:val="toc 4"/>
    <w:basedOn w:val="Normal"/>
    <w:next w:val="Normal"/>
    <w:autoRedefine/>
    <w:uiPriority w:val="39"/>
    <w:unhideWhenUsed/>
    <w:rsid w:val="007C26FC"/>
    <w:pPr>
      <w:ind w:left="720"/>
    </w:pPr>
    <w:rPr>
      <w:sz w:val="20"/>
      <w:szCs w:val="20"/>
    </w:rPr>
  </w:style>
  <w:style w:type="paragraph" w:styleId="TOC5">
    <w:name w:val="toc 5"/>
    <w:basedOn w:val="Normal"/>
    <w:next w:val="Normal"/>
    <w:autoRedefine/>
    <w:uiPriority w:val="39"/>
    <w:unhideWhenUsed/>
    <w:rsid w:val="007C26FC"/>
    <w:pPr>
      <w:ind w:left="960"/>
    </w:pPr>
    <w:rPr>
      <w:sz w:val="20"/>
      <w:szCs w:val="20"/>
    </w:rPr>
  </w:style>
  <w:style w:type="paragraph" w:styleId="TOC6">
    <w:name w:val="toc 6"/>
    <w:basedOn w:val="Normal"/>
    <w:next w:val="Normal"/>
    <w:autoRedefine/>
    <w:uiPriority w:val="39"/>
    <w:unhideWhenUsed/>
    <w:rsid w:val="007C26FC"/>
    <w:pPr>
      <w:ind w:left="1200"/>
    </w:pPr>
    <w:rPr>
      <w:sz w:val="20"/>
      <w:szCs w:val="20"/>
    </w:rPr>
  </w:style>
  <w:style w:type="paragraph" w:styleId="TOC7">
    <w:name w:val="toc 7"/>
    <w:basedOn w:val="Normal"/>
    <w:next w:val="Normal"/>
    <w:autoRedefine/>
    <w:uiPriority w:val="39"/>
    <w:unhideWhenUsed/>
    <w:rsid w:val="007C26FC"/>
    <w:pPr>
      <w:ind w:left="1440"/>
    </w:pPr>
    <w:rPr>
      <w:sz w:val="20"/>
      <w:szCs w:val="20"/>
    </w:rPr>
  </w:style>
  <w:style w:type="paragraph" w:styleId="TOC8">
    <w:name w:val="toc 8"/>
    <w:basedOn w:val="Normal"/>
    <w:next w:val="Normal"/>
    <w:autoRedefine/>
    <w:uiPriority w:val="39"/>
    <w:unhideWhenUsed/>
    <w:rsid w:val="007C26FC"/>
    <w:pPr>
      <w:ind w:left="1680"/>
    </w:pPr>
    <w:rPr>
      <w:sz w:val="20"/>
      <w:szCs w:val="20"/>
    </w:rPr>
  </w:style>
  <w:style w:type="paragraph" w:styleId="TOC9">
    <w:name w:val="toc 9"/>
    <w:basedOn w:val="Normal"/>
    <w:next w:val="Normal"/>
    <w:autoRedefine/>
    <w:uiPriority w:val="39"/>
    <w:unhideWhenUsed/>
    <w:rsid w:val="007C26FC"/>
    <w:pPr>
      <w:ind w:left="1920"/>
    </w:pPr>
    <w:rPr>
      <w:sz w:val="20"/>
      <w:szCs w:val="20"/>
    </w:rPr>
  </w:style>
  <w:style w:type="paragraph" w:styleId="NoSpacing">
    <w:name w:val="No Spacing"/>
    <w:uiPriority w:val="1"/>
    <w:qFormat/>
    <w:rsid w:val="002F0487"/>
  </w:style>
  <w:style w:type="paragraph" w:styleId="CommentSubject">
    <w:name w:val="annotation subject"/>
    <w:basedOn w:val="CommentText"/>
    <w:next w:val="CommentText"/>
    <w:link w:val="CommentSubjectChar"/>
    <w:uiPriority w:val="99"/>
    <w:semiHidden/>
    <w:unhideWhenUsed/>
    <w:rsid w:val="003629A4"/>
    <w:pPr>
      <w:spacing w:after="0"/>
    </w:pPr>
    <w:rPr>
      <w:b/>
      <w:bCs/>
      <w:sz w:val="20"/>
      <w:szCs w:val="20"/>
      <w:lang w:val="en-US"/>
    </w:rPr>
  </w:style>
  <w:style w:type="character" w:customStyle="1" w:styleId="CommentSubjectChar">
    <w:name w:val="Comment Subject Char"/>
    <w:basedOn w:val="CommentTextChar"/>
    <w:link w:val="CommentSubject"/>
    <w:uiPriority w:val="99"/>
    <w:semiHidden/>
    <w:rsid w:val="003629A4"/>
    <w:rPr>
      <w:b/>
      <w:bCs/>
      <w:sz w:val="20"/>
      <w:szCs w:val="20"/>
      <w:lang w:val="en-GB"/>
    </w:rPr>
  </w:style>
  <w:style w:type="paragraph" w:styleId="Revision">
    <w:name w:val="Revision"/>
    <w:hidden/>
    <w:uiPriority w:val="99"/>
    <w:semiHidden/>
    <w:rsid w:val="00362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9083">
      <w:bodyDiv w:val="1"/>
      <w:marLeft w:val="0"/>
      <w:marRight w:val="0"/>
      <w:marTop w:val="0"/>
      <w:marBottom w:val="0"/>
      <w:divBdr>
        <w:top w:val="none" w:sz="0" w:space="0" w:color="auto"/>
        <w:left w:val="none" w:sz="0" w:space="0" w:color="auto"/>
        <w:bottom w:val="none" w:sz="0" w:space="0" w:color="auto"/>
        <w:right w:val="none" w:sz="0" w:space="0" w:color="auto"/>
      </w:divBdr>
    </w:div>
    <w:div w:id="262617926">
      <w:bodyDiv w:val="1"/>
      <w:marLeft w:val="0"/>
      <w:marRight w:val="0"/>
      <w:marTop w:val="0"/>
      <w:marBottom w:val="0"/>
      <w:divBdr>
        <w:top w:val="none" w:sz="0" w:space="0" w:color="auto"/>
        <w:left w:val="none" w:sz="0" w:space="0" w:color="auto"/>
        <w:bottom w:val="none" w:sz="0" w:space="0" w:color="auto"/>
        <w:right w:val="none" w:sz="0" w:space="0" w:color="auto"/>
      </w:divBdr>
    </w:div>
    <w:div w:id="263346024">
      <w:bodyDiv w:val="1"/>
      <w:marLeft w:val="0"/>
      <w:marRight w:val="0"/>
      <w:marTop w:val="0"/>
      <w:marBottom w:val="0"/>
      <w:divBdr>
        <w:top w:val="none" w:sz="0" w:space="0" w:color="auto"/>
        <w:left w:val="none" w:sz="0" w:space="0" w:color="auto"/>
        <w:bottom w:val="none" w:sz="0" w:space="0" w:color="auto"/>
        <w:right w:val="none" w:sz="0" w:space="0" w:color="auto"/>
      </w:divBdr>
    </w:div>
    <w:div w:id="386999393">
      <w:bodyDiv w:val="1"/>
      <w:marLeft w:val="0"/>
      <w:marRight w:val="0"/>
      <w:marTop w:val="0"/>
      <w:marBottom w:val="0"/>
      <w:divBdr>
        <w:top w:val="none" w:sz="0" w:space="0" w:color="auto"/>
        <w:left w:val="none" w:sz="0" w:space="0" w:color="auto"/>
        <w:bottom w:val="none" w:sz="0" w:space="0" w:color="auto"/>
        <w:right w:val="none" w:sz="0" w:space="0" w:color="auto"/>
      </w:divBdr>
    </w:div>
    <w:div w:id="467018646">
      <w:bodyDiv w:val="1"/>
      <w:marLeft w:val="0"/>
      <w:marRight w:val="0"/>
      <w:marTop w:val="0"/>
      <w:marBottom w:val="0"/>
      <w:divBdr>
        <w:top w:val="none" w:sz="0" w:space="0" w:color="auto"/>
        <w:left w:val="none" w:sz="0" w:space="0" w:color="auto"/>
        <w:bottom w:val="none" w:sz="0" w:space="0" w:color="auto"/>
        <w:right w:val="none" w:sz="0" w:space="0" w:color="auto"/>
      </w:divBdr>
    </w:div>
    <w:div w:id="469834117">
      <w:bodyDiv w:val="1"/>
      <w:marLeft w:val="0"/>
      <w:marRight w:val="0"/>
      <w:marTop w:val="0"/>
      <w:marBottom w:val="0"/>
      <w:divBdr>
        <w:top w:val="none" w:sz="0" w:space="0" w:color="auto"/>
        <w:left w:val="none" w:sz="0" w:space="0" w:color="auto"/>
        <w:bottom w:val="none" w:sz="0" w:space="0" w:color="auto"/>
        <w:right w:val="none" w:sz="0" w:space="0" w:color="auto"/>
      </w:divBdr>
    </w:div>
    <w:div w:id="534736348">
      <w:bodyDiv w:val="1"/>
      <w:marLeft w:val="0"/>
      <w:marRight w:val="0"/>
      <w:marTop w:val="0"/>
      <w:marBottom w:val="0"/>
      <w:divBdr>
        <w:top w:val="none" w:sz="0" w:space="0" w:color="auto"/>
        <w:left w:val="none" w:sz="0" w:space="0" w:color="auto"/>
        <w:bottom w:val="none" w:sz="0" w:space="0" w:color="auto"/>
        <w:right w:val="none" w:sz="0" w:space="0" w:color="auto"/>
      </w:divBdr>
    </w:div>
    <w:div w:id="608775994">
      <w:bodyDiv w:val="1"/>
      <w:marLeft w:val="0"/>
      <w:marRight w:val="0"/>
      <w:marTop w:val="0"/>
      <w:marBottom w:val="0"/>
      <w:divBdr>
        <w:top w:val="none" w:sz="0" w:space="0" w:color="auto"/>
        <w:left w:val="none" w:sz="0" w:space="0" w:color="auto"/>
        <w:bottom w:val="none" w:sz="0" w:space="0" w:color="auto"/>
        <w:right w:val="none" w:sz="0" w:space="0" w:color="auto"/>
      </w:divBdr>
    </w:div>
    <w:div w:id="683749251">
      <w:bodyDiv w:val="1"/>
      <w:marLeft w:val="0"/>
      <w:marRight w:val="0"/>
      <w:marTop w:val="0"/>
      <w:marBottom w:val="0"/>
      <w:divBdr>
        <w:top w:val="none" w:sz="0" w:space="0" w:color="auto"/>
        <w:left w:val="none" w:sz="0" w:space="0" w:color="auto"/>
        <w:bottom w:val="none" w:sz="0" w:space="0" w:color="auto"/>
        <w:right w:val="none" w:sz="0" w:space="0" w:color="auto"/>
      </w:divBdr>
    </w:div>
    <w:div w:id="725570135">
      <w:bodyDiv w:val="1"/>
      <w:marLeft w:val="0"/>
      <w:marRight w:val="0"/>
      <w:marTop w:val="0"/>
      <w:marBottom w:val="0"/>
      <w:divBdr>
        <w:top w:val="none" w:sz="0" w:space="0" w:color="auto"/>
        <w:left w:val="none" w:sz="0" w:space="0" w:color="auto"/>
        <w:bottom w:val="none" w:sz="0" w:space="0" w:color="auto"/>
        <w:right w:val="none" w:sz="0" w:space="0" w:color="auto"/>
      </w:divBdr>
    </w:div>
    <w:div w:id="762536853">
      <w:bodyDiv w:val="1"/>
      <w:marLeft w:val="0"/>
      <w:marRight w:val="0"/>
      <w:marTop w:val="0"/>
      <w:marBottom w:val="0"/>
      <w:divBdr>
        <w:top w:val="none" w:sz="0" w:space="0" w:color="auto"/>
        <w:left w:val="none" w:sz="0" w:space="0" w:color="auto"/>
        <w:bottom w:val="none" w:sz="0" w:space="0" w:color="auto"/>
        <w:right w:val="none" w:sz="0" w:space="0" w:color="auto"/>
      </w:divBdr>
    </w:div>
    <w:div w:id="832375906">
      <w:bodyDiv w:val="1"/>
      <w:marLeft w:val="0"/>
      <w:marRight w:val="0"/>
      <w:marTop w:val="0"/>
      <w:marBottom w:val="0"/>
      <w:divBdr>
        <w:top w:val="none" w:sz="0" w:space="0" w:color="auto"/>
        <w:left w:val="none" w:sz="0" w:space="0" w:color="auto"/>
        <w:bottom w:val="none" w:sz="0" w:space="0" w:color="auto"/>
        <w:right w:val="none" w:sz="0" w:space="0" w:color="auto"/>
      </w:divBdr>
    </w:div>
    <w:div w:id="865411765">
      <w:bodyDiv w:val="1"/>
      <w:marLeft w:val="0"/>
      <w:marRight w:val="0"/>
      <w:marTop w:val="0"/>
      <w:marBottom w:val="0"/>
      <w:divBdr>
        <w:top w:val="none" w:sz="0" w:space="0" w:color="auto"/>
        <w:left w:val="none" w:sz="0" w:space="0" w:color="auto"/>
        <w:bottom w:val="none" w:sz="0" w:space="0" w:color="auto"/>
        <w:right w:val="none" w:sz="0" w:space="0" w:color="auto"/>
      </w:divBdr>
    </w:div>
    <w:div w:id="1057818896">
      <w:bodyDiv w:val="1"/>
      <w:marLeft w:val="0"/>
      <w:marRight w:val="0"/>
      <w:marTop w:val="0"/>
      <w:marBottom w:val="0"/>
      <w:divBdr>
        <w:top w:val="none" w:sz="0" w:space="0" w:color="auto"/>
        <w:left w:val="none" w:sz="0" w:space="0" w:color="auto"/>
        <w:bottom w:val="none" w:sz="0" w:space="0" w:color="auto"/>
        <w:right w:val="none" w:sz="0" w:space="0" w:color="auto"/>
      </w:divBdr>
    </w:div>
    <w:div w:id="1091659250">
      <w:bodyDiv w:val="1"/>
      <w:marLeft w:val="0"/>
      <w:marRight w:val="0"/>
      <w:marTop w:val="0"/>
      <w:marBottom w:val="0"/>
      <w:divBdr>
        <w:top w:val="none" w:sz="0" w:space="0" w:color="auto"/>
        <w:left w:val="none" w:sz="0" w:space="0" w:color="auto"/>
        <w:bottom w:val="none" w:sz="0" w:space="0" w:color="auto"/>
        <w:right w:val="none" w:sz="0" w:space="0" w:color="auto"/>
      </w:divBdr>
    </w:div>
    <w:div w:id="1159493413">
      <w:bodyDiv w:val="1"/>
      <w:marLeft w:val="0"/>
      <w:marRight w:val="0"/>
      <w:marTop w:val="0"/>
      <w:marBottom w:val="0"/>
      <w:divBdr>
        <w:top w:val="none" w:sz="0" w:space="0" w:color="auto"/>
        <w:left w:val="none" w:sz="0" w:space="0" w:color="auto"/>
        <w:bottom w:val="none" w:sz="0" w:space="0" w:color="auto"/>
        <w:right w:val="none" w:sz="0" w:space="0" w:color="auto"/>
      </w:divBdr>
    </w:div>
    <w:div w:id="1238859497">
      <w:bodyDiv w:val="1"/>
      <w:marLeft w:val="0"/>
      <w:marRight w:val="0"/>
      <w:marTop w:val="0"/>
      <w:marBottom w:val="0"/>
      <w:divBdr>
        <w:top w:val="none" w:sz="0" w:space="0" w:color="auto"/>
        <w:left w:val="none" w:sz="0" w:space="0" w:color="auto"/>
        <w:bottom w:val="none" w:sz="0" w:space="0" w:color="auto"/>
        <w:right w:val="none" w:sz="0" w:space="0" w:color="auto"/>
      </w:divBdr>
    </w:div>
    <w:div w:id="1496533026">
      <w:bodyDiv w:val="1"/>
      <w:marLeft w:val="0"/>
      <w:marRight w:val="0"/>
      <w:marTop w:val="0"/>
      <w:marBottom w:val="0"/>
      <w:divBdr>
        <w:top w:val="none" w:sz="0" w:space="0" w:color="auto"/>
        <w:left w:val="none" w:sz="0" w:space="0" w:color="auto"/>
        <w:bottom w:val="none" w:sz="0" w:space="0" w:color="auto"/>
        <w:right w:val="none" w:sz="0" w:space="0" w:color="auto"/>
      </w:divBdr>
    </w:div>
    <w:div w:id="1608658258">
      <w:bodyDiv w:val="1"/>
      <w:marLeft w:val="0"/>
      <w:marRight w:val="0"/>
      <w:marTop w:val="0"/>
      <w:marBottom w:val="0"/>
      <w:divBdr>
        <w:top w:val="none" w:sz="0" w:space="0" w:color="auto"/>
        <w:left w:val="none" w:sz="0" w:space="0" w:color="auto"/>
        <w:bottom w:val="none" w:sz="0" w:space="0" w:color="auto"/>
        <w:right w:val="none" w:sz="0" w:space="0" w:color="auto"/>
      </w:divBdr>
    </w:div>
    <w:div w:id="1613853894">
      <w:bodyDiv w:val="1"/>
      <w:marLeft w:val="0"/>
      <w:marRight w:val="0"/>
      <w:marTop w:val="0"/>
      <w:marBottom w:val="0"/>
      <w:divBdr>
        <w:top w:val="none" w:sz="0" w:space="0" w:color="auto"/>
        <w:left w:val="none" w:sz="0" w:space="0" w:color="auto"/>
        <w:bottom w:val="none" w:sz="0" w:space="0" w:color="auto"/>
        <w:right w:val="none" w:sz="0" w:space="0" w:color="auto"/>
      </w:divBdr>
    </w:div>
    <w:div w:id="1684084757">
      <w:bodyDiv w:val="1"/>
      <w:marLeft w:val="0"/>
      <w:marRight w:val="0"/>
      <w:marTop w:val="0"/>
      <w:marBottom w:val="0"/>
      <w:divBdr>
        <w:top w:val="none" w:sz="0" w:space="0" w:color="auto"/>
        <w:left w:val="none" w:sz="0" w:space="0" w:color="auto"/>
        <w:bottom w:val="none" w:sz="0" w:space="0" w:color="auto"/>
        <w:right w:val="none" w:sz="0" w:space="0" w:color="auto"/>
      </w:divBdr>
    </w:div>
    <w:div w:id="1959599670">
      <w:bodyDiv w:val="1"/>
      <w:marLeft w:val="0"/>
      <w:marRight w:val="0"/>
      <w:marTop w:val="0"/>
      <w:marBottom w:val="0"/>
      <w:divBdr>
        <w:top w:val="none" w:sz="0" w:space="0" w:color="auto"/>
        <w:left w:val="none" w:sz="0" w:space="0" w:color="auto"/>
        <w:bottom w:val="none" w:sz="0" w:space="0" w:color="auto"/>
        <w:right w:val="none" w:sz="0" w:space="0" w:color="auto"/>
      </w:divBdr>
    </w:div>
    <w:div w:id="1978677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P:\Journals,%20In-house\MEC\MEC\Documents\MEC%20Supplemental%20Inform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67E95-0A49-2C42-9220-8C2985F4F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P:\Journals, In-house\MEC\MEC\Documents\MEC Supplemental Information.dotx</Template>
  <TotalTime>289</TotalTime>
  <Pages>2</Pages>
  <Words>110</Words>
  <Characters>627</Characters>
  <Application>Microsoft Office Word</Application>
  <DocSecurity>0</DocSecurity>
  <Lines>5</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John Wiley and Sons, Inc.</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Karen - Hoboken</dc:creator>
  <cp:lastModifiedBy>Márcio André Guerreiro Coelho</cp:lastModifiedBy>
  <cp:revision>28</cp:revision>
  <dcterms:created xsi:type="dcterms:W3CDTF">2021-10-25T11:10:00Z</dcterms:created>
  <dcterms:modified xsi:type="dcterms:W3CDTF">2022-06-13T16:04:00Z</dcterms:modified>
</cp:coreProperties>
</file>