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C73C" w14:textId="2C9EFB35" w:rsidR="00497049" w:rsidRPr="000158EC" w:rsidRDefault="009D08E3" w:rsidP="009D08E3">
      <w:pPr>
        <w:jc w:val="center"/>
        <w:rPr>
          <w:rFonts w:ascii="Open Sans" w:hAnsi="Open Sans" w:cs="Open Sans"/>
          <w:sz w:val="20"/>
          <w:szCs w:val="20"/>
          <w:u w:val="single"/>
        </w:rPr>
      </w:pPr>
      <w:r w:rsidRPr="000158EC">
        <w:rPr>
          <w:rFonts w:ascii="Open Sans" w:hAnsi="Open Sans" w:cs="Open Sans"/>
          <w:sz w:val="20"/>
          <w:szCs w:val="20"/>
          <w:u w:val="single"/>
        </w:rPr>
        <w:t xml:space="preserve">Electronic </w:t>
      </w:r>
      <w:r w:rsidR="002D6ECB" w:rsidRPr="000158EC">
        <w:rPr>
          <w:rFonts w:ascii="Open Sans" w:hAnsi="Open Sans" w:cs="Open Sans"/>
          <w:sz w:val="20"/>
          <w:szCs w:val="20"/>
          <w:u w:val="single"/>
        </w:rPr>
        <w:t>Supporting</w:t>
      </w:r>
      <w:r w:rsidR="00497049" w:rsidRPr="000158EC">
        <w:rPr>
          <w:rFonts w:ascii="Open Sans" w:hAnsi="Open Sans" w:cs="Open Sans"/>
          <w:sz w:val="20"/>
          <w:szCs w:val="20"/>
          <w:u w:val="single"/>
        </w:rPr>
        <w:t xml:space="preserve"> Information</w:t>
      </w:r>
    </w:p>
    <w:p w14:paraId="3FCDAB50" w14:textId="77777777" w:rsidR="00582D66" w:rsidRPr="000158EC" w:rsidRDefault="00582D66" w:rsidP="009D08E3">
      <w:pPr>
        <w:jc w:val="center"/>
        <w:rPr>
          <w:rFonts w:ascii="Open Sans" w:hAnsi="Open Sans" w:cs="Open Sans"/>
          <w:sz w:val="20"/>
          <w:szCs w:val="20"/>
        </w:rPr>
      </w:pPr>
    </w:p>
    <w:p w14:paraId="498A3525" w14:textId="3191C209" w:rsidR="009D08E3" w:rsidRPr="000158EC" w:rsidRDefault="009D08E3" w:rsidP="009D08E3">
      <w:pPr>
        <w:jc w:val="center"/>
        <w:rPr>
          <w:rFonts w:ascii="Open Sans" w:hAnsi="Open Sans" w:cs="Open Sans"/>
          <w:sz w:val="20"/>
          <w:szCs w:val="20"/>
        </w:rPr>
      </w:pPr>
      <w:r w:rsidRPr="000158EC">
        <w:rPr>
          <w:rFonts w:ascii="Open Sans" w:hAnsi="Open Sans" w:cs="Open Sans"/>
          <w:sz w:val="20"/>
          <w:szCs w:val="20"/>
        </w:rPr>
        <w:t>This supports the following:</w:t>
      </w:r>
    </w:p>
    <w:p w14:paraId="2469367C" w14:textId="2E84EC00" w:rsidR="00582D66" w:rsidRPr="000158EC" w:rsidRDefault="00DF6EAF" w:rsidP="00DF6EAF">
      <w:pPr>
        <w:jc w:val="center"/>
        <w:rPr>
          <w:rFonts w:ascii="Open Sans" w:hAnsi="Open Sans" w:cs="Open Sans"/>
          <w:b/>
          <w:bCs/>
          <w:color w:val="000000"/>
          <w:sz w:val="20"/>
          <w:szCs w:val="20"/>
        </w:rPr>
      </w:pPr>
      <w:r w:rsidRPr="000158EC">
        <w:rPr>
          <w:rFonts w:ascii="Open Sans" w:hAnsi="Open Sans" w:cs="Open Sans"/>
          <w:b/>
          <w:bCs/>
          <w:color w:val="000000"/>
          <w:sz w:val="20"/>
          <w:szCs w:val="20"/>
        </w:rPr>
        <w:t>Site selection for European native oyster (</w:t>
      </w:r>
      <w:r w:rsidRPr="000158EC">
        <w:rPr>
          <w:rFonts w:ascii="Open Sans" w:hAnsi="Open Sans" w:cs="Open Sans"/>
          <w:b/>
          <w:bCs/>
          <w:i/>
          <w:iCs/>
          <w:color w:val="000000"/>
          <w:sz w:val="20"/>
          <w:szCs w:val="20"/>
        </w:rPr>
        <w:t>Ostrea edulis</w:t>
      </w:r>
      <w:r w:rsidRPr="000158EC">
        <w:rPr>
          <w:rFonts w:ascii="Open Sans" w:hAnsi="Open Sans" w:cs="Open Sans"/>
          <w:b/>
          <w:bCs/>
          <w:color w:val="000000"/>
          <w:sz w:val="20"/>
          <w:szCs w:val="20"/>
        </w:rPr>
        <w:t>) habitat restoration projects: An expert-derived consensus</w:t>
      </w:r>
    </w:p>
    <w:p w14:paraId="3C5E7612" w14:textId="77777777" w:rsidR="00DF6EAF" w:rsidRPr="000158EC" w:rsidRDefault="00DF6EAF" w:rsidP="00483E79">
      <w:pPr>
        <w:rPr>
          <w:rFonts w:ascii="Open Sans" w:hAnsi="Open Sans" w:cs="Open Sans"/>
          <w:sz w:val="20"/>
          <w:szCs w:val="20"/>
          <w:u w:val="single"/>
        </w:rPr>
      </w:pPr>
    </w:p>
    <w:p w14:paraId="58D330C9" w14:textId="1F6125FC" w:rsidR="009D08E3" w:rsidRPr="000158EC" w:rsidRDefault="00D1423B" w:rsidP="00D1423B">
      <w:pPr>
        <w:rPr>
          <w:rFonts w:ascii="Open Sans" w:hAnsi="Open Sans" w:cs="Open Sans"/>
          <w:sz w:val="20"/>
          <w:szCs w:val="20"/>
        </w:rPr>
      </w:pPr>
      <w:r w:rsidRPr="000158EC">
        <w:rPr>
          <w:rFonts w:ascii="Open Sans" w:hAnsi="Open Sans" w:cs="Open Sans"/>
          <w:b/>
          <w:bCs/>
          <w:sz w:val="20"/>
          <w:szCs w:val="20"/>
        </w:rPr>
        <w:t>Table S1.</w:t>
      </w:r>
      <w:r w:rsidRPr="000158EC">
        <w:rPr>
          <w:rFonts w:ascii="Open Sans" w:hAnsi="Open Sans" w:cs="Open Sans"/>
          <w:sz w:val="20"/>
          <w:szCs w:val="20"/>
        </w:rPr>
        <w:t xml:space="preserve"> </w:t>
      </w:r>
      <w:r w:rsidR="007D70AD" w:rsidRPr="000158EC">
        <w:rPr>
          <w:rFonts w:ascii="Open Sans" w:hAnsi="Open Sans" w:cs="Open Sans"/>
          <w:sz w:val="20"/>
          <w:szCs w:val="20"/>
        </w:rPr>
        <w:t xml:space="preserve">The 96 factors presented to expert participants in the round one Delphi summary. </w:t>
      </w:r>
    </w:p>
    <w:tbl>
      <w:tblPr>
        <w:tblStyle w:val="TableGrid"/>
        <w:tblW w:w="0" w:type="auto"/>
        <w:tblLook w:val="04A0" w:firstRow="1" w:lastRow="0" w:firstColumn="1" w:lastColumn="0" w:noHBand="0" w:noVBand="1"/>
      </w:tblPr>
      <w:tblGrid>
        <w:gridCol w:w="1757"/>
        <w:gridCol w:w="7259"/>
      </w:tblGrid>
      <w:tr w:rsidR="00483E79" w:rsidRPr="000158EC" w14:paraId="4B4C2ACE" w14:textId="77777777" w:rsidTr="00EB37FA">
        <w:trPr>
          <w:trHeight w:val="259"/>
        </w:trPr>
        <w:tc>
          <w:tcPr>
            <w:tcW w:w="1757" w:type="dxa"/>
          </w:tcPr>
          <w:p w14:paraId="21775613" w14:textId="30719717" w:rsidR="00483E79" w:rsidRPr="000158EC" w:rsidRDefault="00483E79" w:rsidP="00D1423B">
            <w:pPr>
              <w:rPr>
                <w:rFonts w:ascii="Open Sans" w:hAnsi="Open Sans" w:cs="Open Sans"/>
                <w:b/>
                <w:bCs/>
                <w:sz w:val="20"/>
                <w:szCs w:val="20"/>
              </w:rPr>
            </w:pPr>
            <w:r w:rsidRPr="000158EC">
              <w:rPr>
                <w:rFonts w:ascii="Open Sans" w:hAnsi="Open Sans" w:cs="Open Sans"/>
                <w:b/>
                <w:bCs/>
                <w:sz w:val="20"/>
                <w:szCs w:val="20"/>
              </w:rPr>
              <w:t>Category</w:t>
            </w:r>
          </w:p>
        </w:tc>
        <w:tc>
          <w:tcPr>
            <w:tcW w:w="7259" w:type="dxa"/>
          </w:tcPr>
          <w:p w14:paraId="7A2DD4DD" w14:textId="192965CA" w:rsidR="00483E79" w:rsidRPr="000158EC" w:rsidRDefault="00483E79" w:rsidP="00D1423B">
            <w:pPr>
              <w:rPr>
                <w:rFonts w:ascii="Open Sans" w:hAnsi="Open Sans" w:cs="Open Sans"/>
                <w:b/>
                <w:bCs/>
                <w:sz w:val="20"/>
                <w:szCs w:val="20"/>
              </w:rPr>
            </w:pPr>
            <w:r w:rsidRPr="000158EC">
              <w:rPr>
                <w:rFonts w:ascii="Open Sans" w:hAnsi="Open Sans" w:cs="Open Sans"/>
                <w:b/>
                <w:bCs/>
                <w:sz w:val="20"/>
                <w:szCs w:val="20"/>
              </w:rPr>
              <w:t>Factor</w:t>
            </w:r>
          </w:p>
        </w:tc>
      </w:tr>
      <w:tr w:rsidR="00483E79" w:rsidRPr="000158EC" w14:paraId="5D462A54" w14:textId="77777777" w:rsidTr="00EB37FA">
        <w:trPr>
          <w:cantSplit/>
          <w:trHeight w:val="1134"/>
        </w:trPr>
        <w:tc>
          <w:tcPr>
            <w:tcW w:w="1757" w:type="dxa"/>
          </w:tcPr>
          <w:p w14:paraId="4412F8E0" w14:textId="0C1ACE05" w:rsidR="00483E79" w:rsidRPr="000158EC" w:rsidRDefault="00483E79" w:rsidP="00483E79">
            <w:pPr>
              <w:rPr>
                <w:rFonts w:ascii="Open Sans" w:hAnsi="Open Sans" w:cs="Open Sans"/>
                <w:i/>
                <w:iCs/>
                <w:sz w:val="20"/>
                <w:szCs w:val="20"/>
              </w:rPr>
            </w:pPr>
            <w:r w:rsidRPr="000158EC">
              <w:rPr>
                <w:rFonts w:ascii="Open Sans" w:hAnsi="Open Sans" w:cs="Open Sans"/>
                <w:i/>
                <w:iCs/>
                <w:sz w:val="20"/>
                <w:szCs w:val="20"/>
              </w:rPr>
              <w:t xml:space="preserve">Threats to native oyster habitat restoration </w:t>
            </w:r>
          </w:p>
        </w:tc>
        <w:tc>
          <w:tcPr>
            <w:tcW w:w="7259" w:type="dxa"/>
          </w:tcPr>
          <w:p w14:paraId="2D420043" w14:textId="0490A183"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Absence of extractive practices (e.g. gravel or sand extraction)</w:t>
            </w:r>
          </w:p>
          <w:p w14:paraId="16A7BD15" w14:textId="3F5316C7"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 xml:space="preserve">Absence of dredging </w:t>
            </w:r>
          </w:p>
          <w:p w14:paraId="6DD4D103" w14:textId="477AF8B2"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Protection from destructive fishing methods (through active protection or inaccessibility)</w:t>
            </w:r>
          </w:p>
          <w:p w14:paraId="353E8857" w14:textId="49FB6A65"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 xml:space="preserve">Absence of unregulated harvesting or poaching (through active protection or inaccessibility) </w:t>
            </w:r>
          </w:p>
          <w:p w14:paraId="3D02B737" w14:textId="539D7498"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Low pollution levels (TBTs, PAHs, other hydrocarbons and heavy metals. Use of existing legislation can guide the site selection process, e.g. shellfish water</w:t>
            </w:r>
            <w:r w:rsidR="00E20A2F" w:rsidRPr="000158EC">
              <w:rPr>
                <w:rFonts w:ascii="Open Sans" w:hAnsi="Open Sans" w:cs="Open Sans"/>
                <w:sz w:val="20"/>
                <w:szCs w:val="20"/>
              </w:rPr>
              <w:t>s and</w:t>
            </w:r>
            <w:r w:rsidRPr="000158EC">
              <w:rPr>
                <w:rFonts w:ascii="Open Sans" w:hAnsi="Open Sans" w:cs="Open Sans"/>
                <w:sz w:val="20"/>
                <w:szCs w:val="20"/>
              </w:rPr>
              <w:t xml:space="preserve"> bathing waters</w:t>
            </w:r>
            <w:r w:rsidR="00E20A2F" w:rsidRPr="000158EC">
              <w:rPr>
                <w:rFonts w:ascii="Open Sans" w:hAnsi="Open Sans" w:cs="Open Sans"/>
                <w:sz w:val="20"/>
                <w:szCs w:val="20"/>
              </w:rPr>
              <w:t xml:space="preserve"> directives</w:t>
            </w:r>
            <w:r w:rsidRPr="000158EC">
              <w:rPr>
                <w:rFonts w:ascii="Open Sans" w:hAnsi="Open Sans" w:cs="Open Sans"/>
                <w:sz w:val="20"/>
                <w:szCs w:val="20"/>
              </w:rPr>
              <w:t>)</w:t>
            </w:r>
          </w:p>
          <w:p w14:paraId="0262CC26" w14:textId="1A5F6DBC"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 xml:space="preserve">Minimal sewage outflow within </w:t>
            </w:r>
            <w:proofErr w:type="gramStart"/>
            <w:r w:rsidRPr="000158EC">
              <w:rPr>
                <w:rFonts w:ascii="Open Sans" w:hAnsi="Open Sans" w:cs="Open Sans"/>
                <w:sz w:val="20"/>
                <w:szCs w:val="20"/>
              </w:rPr>
              <w:t>close proximity</w:t>
            </w:r>
            <w:proofErr w:type="gramEnd"/>
            <w:r w:rsidRPr="000158EC">
              <w:rPr>
                <w:rFonts w:ascii="Open Sans" w:hAnsi="Open Sans" w:cs="Open Sans"/>
                <w:sz w:val="20"/>
                <w:szCs w:val="20"/>
              </w:rPr>
              <w:t xml:space="preserve"> to the site </w:t>
            </w:r>
          </w:p>
          <w:p w14:paraId="306293CA" w14:textId="05F050B1"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 xml:space="preserve">Inorganic nutrient concentrations are below harmful threshold (nitrates and phosphates) </w:t>
            </w:r>
          </w:p>
          <w:p w14:paraId="4DD0B236" w14:textId="0F152F2D"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 xml:space="preserve">Minimum dissolved oxygen concentration </w:t>
            </w:r>
          </w:p>
          <w:p w14:paraId="0832E444" w14:textId="6131DA7E"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 xml:space="preserve">Sedimentation load and dynamics </w:t>
            </w:r>
          </w:p>
          <w:p w14:paraId="75FB9496" w14:textId="64B62A29"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Absence of OIE/EC listed diseases (</w:t>
            </w:r>
            <w:proofErr w:type="spellStart"/>
            <w:r w:rsidRPr="000158EC">
              <w:rPr>
                <w:rFonts w:ascii="Open Sans" w:hAnsi="Open Sans" w:cs="Open Sans"/>
                <w:i/>
                <w:iCs/>
                <w:sz w:val="20"/>
                <w:szCs w:val="20"/>
              </w:rPr>
              <w:t>Bonamia</w:t>
            </w:r>
            <w:proofErr w:type="spellEnd"/>
            <w:r w:rsidRPr="000158EC">
              <w:rPr>
                <w:rFonts w:ascii="Open Sans" w:hAnsi="Open Sans" w:cs="Open Sans"/>
                <w:i/>
                <w:iCs/>
                <w:sz w:val="20"/>
                <w:szCs w:val="20"/>
              </w:rPr>
              <w:t xml:space="preserve"> </w:t>
            </w:r>
            <w:proofErr w:type="spellStart"/>
            <w:r w:rsidRPr="000158EC">
              <w:rPr>
                <w:rFonts w:ascii="Open Sans" w:hAnsi="Open Sans" w:cs="Open Sans"/>
                <w:i/>
                <w:iCs/>
                <w:sz w:val="20"/>
                <w:szCs w:val="20"/>
              </w:rPr>
              <w:t>ostreae</w:t>
            </w:r>
            <w:proofErr w:type="spellEnd"/>
            <w:r w:rsidRPr="000158EC">
              <w:rPr>
                <w:rFonts w:ascii="Open Sans" w:hAnsi="Open Sans" w:cs="Open Sans"/>
                <w:i/>
                <w:iCs/>
                <w:sz w:val="20"/>
                <w:szCs w:val="20"/>
              </w:rPr>
              <w:t xml:space="preserve">, B. exitiosa, </w:t>
            </w:r>
            <w:proofErr w:type="spellStart"/>
            <w:r w:rsidRPr="000158EC">
              <w:rPr>
                <w:rFonts w:ascii="Open Sans" w:hAnsi="Open Sans" w:cs="Open Sans"/>
                <w:i/>
                <w:iCs/>
                <w:sz w:val="20"/>
                <w:szCs w:val="20"/>
              </w:rPr>
              <w:t>Marteilia</w:t>
            </w:r>
            <w:proofErr w:type="spellEnd"/>
            <w:r w:rsidRPr="000158EC">
              <w:rPr>
                <w:rFonts w:ascii="Open Sans" w:hAnsi="Open Sans" w:cs="Open Sans"/>
                <w:i/>
                <w:iCs/>
                <w:sz w:val="20"/>
                <w:szCs w:val="20"/>
              </w:rPr>
              <w:t xml:space="preserve"> </w:t>
            </w:r>
            <w:proofErr w:type="spellStart"/>
            <w:r w:rsidRPr="000158EC">
              <w:rPr>
                <w:rFonts w:ascii="Open Sans" w:hAnsi="Open Sans" w:cs="Open Sans"/>
                <w:i/>
                <w:iCs/>
                <w:sz w:val="20"/>
                <w:szCs w:val="20"/>
              </w:rPr>
              <w:t>refringens</w:t>
            </w:r>
            <w:proofErr w:type="spellEnd"/>
            <w:r w:rsidRPr="000158EC">
              <w:rPr>
                <w:rFonts w:ascii="Open Sans" w:hAnsi="Open Sans" w:cs="Open Sans"/>
                <w:i/>
                <w:iCs/>
                <w:sz w:val="20"/>
                <w:szCs w:val="20"/>
              </w:rPr>
              <w:t xml:space="preserve">, </w:t>
            </w:r>
            <w:proofErr w:type="spellStart"/>
            <w:r w:rsidRPr="000158EC">
              <w:rPr>
                <w:rFonts w:ascii="Open Sans" w:hAnsi="Open Sans" w:cs="Open Sans"/>
                <w:i/>
                <w:iCs/>
                <w:sz w:val="20"/>
                <w:szCs w:val="20"/>
              </w:rPr>
              <w:t>Mikrocytos</w:t>
            </w:r>
            <w:proofErr w:type="spellEnd"/>
            <w:r w:rsidRPr="000158EC">
              <w:rPr>
                <w:rFonts w:ascii="Open Sans" w:hAnsi="Open Sans" w:cs="Open Sans"/>
                <w:i/>
                <w:iCs/>
                <w:sz w:val="20"/>
                <w:szCs w:val="20"/>
              </w:rPr>
              <w:t xml:space="preserve"> </w:t>
            </w:r>
            <w:proofErr w:type="spellStart"/>
            <w:r w:rsidRPr="000158EC">
              <w:rPr>
                <w:rFonts w:ascii="Open Sans" w:hAnsi="Open Sans" w:cs="Open Sans"/>
                <w:i/>
                <w:iCs/>
                <w:sz w:val="20"/>
                <w:szCs w:val="20"/>
              </w:rPr>
              <w:t>mackini</w:t>
            </w:r>
            <w:proofErr w:type="spellEnd"/>
            <w:r w:rsidRPr="000158EC">
              <w:rPr>
                <w:rFonts w:ascii="Open Sans" w:hAnsi="Open Sans" w:cs="Open Sans"/>
                <w:sz w:val="20"/>
                <w:szCs w:val="20"/>
              </w:rPr>
              <w:t>, Herpes virus OsHV-1-μ</w:t>
            </w:r>
            <w:r w:rsidR="00EB37FA" w:rsidRPr="000158EC">
              <w:rPr>
                <w:rFonts w:ascii="Open Sans" w:hAnsi="Open Sans" w:cs="Open Sans"/>
                <w:sz w:val="20"/>
                <w:szCs w:val="20"/>
              </w:rPr>
              <w:t>V</w:t>
            </w:r>
            <w:r w:rsidRPr="000158EC">
              <w:rPr>
                <w:rFonts w:ascii="Open Sans" w:hAnsi="Open Sans" w:cs="Open Sans"/>
                <w:sz w:val="20"/>
                <w:szCs w:val="20"/>
              </w:rPr>
              <w:t>ar)</w:t>
            </w:r>
          </w:p>
          <w:p w14:paraId="06C6BAD8" w14:textId="3EFABD4F"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Absence of high impact invasive non-native species</w:t>
            </w:r>
          </w:p>
          <w:p w14:paraId="7BB51DF8" w14:textId="71CADDF5"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Absence of the American slipper limpet (</w:t>
            </w:r>
            <w:proofErr w:type="spellStart"/>
            <w:r w:rsidRPr="000158EC">
              <w:rPr>
                <w:rFonts w:ascii="Open Sans" w:hAnsi="Open Sans" w:cs="Open Sans"/>
                <w:i/>
                <w:iCs/>
                <w:sz w:val="20"/>
                <w:szCs w:val="20"/>
              </w:rPr>
              <w:t>Crepidula</w:t>
            </w:r>
            <w:proofErr w:type="spellEnd"/>
            <w:r w:rsidRPr="000158EC">
              <w:rPr>
                <w:rFonts w:ascii="Open Sans" w:hAnsi="Open Sans" w:cs="Open Sans"/>
                <w:i/>
                <w:iCs/>
                <w:sz w:val="20"/>
                <w:szCs w:val="20"/>
              </w:rPr>
              <w:t xml:space="preserve"> </w:t>
            </w:r>
            <w:proofErr w:type="spellStart"/>
            <w:r w:rsidRPr="000158EC">
              <w:rPr>
                <w:rFonts w:ascii="Open Sans" w:hAnsi="Open Sans" w:cs="Open Sans"/>
                <w:i/>
                <w:iCs/>
                <w:sz w:val="20"/>
                <w:szCs w:val="20"/>
              </w:rPr>
              <w:t>fornicata</w:t>
            </w:r>
            <w:proofErr w:type="spellEnd"/>
            <w:r w:rsidRPr="000158EC">
              <w:rPr>
                <w:rFonts w:ascii="Open Sans" w:hAnsi="Open Sans" w:cs="Open Sans"/>
                <w:sz w:val="20"/>
                <w:szCs w:val="20"/>
              </w:rPr>
              <w:t>)</w:t>
            </w:r>
          </w:p>
          <w:p w14:paraId="684CE663" w14:textId="354C42FC"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Absence of the Pacific oyster (</w:t>
            </w:r>
            <w:r w:rsidRPr="000158EC">
              <w:rPr>
                <w:rFonts w:ascii="Open Sans" w:hAnsi="Open Sans" w:cs="Open Sans"/>
                <w:i/>
                <w:iCs/>
                <w:sz w:val="20"/>
                <w:szCs w:val="20"/>
              </w:rPr>
              <w:t>Crassostrea gigas</w:t>
            </w:r>
            <w:r w:rsidRPr="000158EC">
              <w:rPr>
                <w:rFonts w:ascii="Open Sans" w:hAnsi="Open Sans" w:cs="Open Sans"/>
                <w:sz w:val="20"/>
                <w:szCs w:val="20"/>
              </w:rPr>
              <w:t>)</w:t>
            </w:r>
          </w:p>
          <w:p w14:paraId="26E293A0" w14:textId="6349C3EE" w:rsidR="00483E79" w:rsidRPr="000158EC" w:rsidRDefault="00483E79" w:rsidP="00FA10FC">
            <w:pPr>
              <w:pStyle w:val="ListParagraph"/>
              <w:numPr>
                <w:ilvl w:val="0"/>
                <w:numId w:val="8"/>
              </w:numPr>
              <w:rPr>
                <w:rFonts w:ascii="Open Sans" w:hAnsi="Open Sans" w:cs="Open Sans"/>
                <w:sz w:val="20"/>
                <w:szCs w:val="20"/>
              </w:rPr>
            </w:pPr>
            <w:r w:rsidRPr="000158EC">
              <w:rPr>
                <w:rFonts w:ascii="Open Sans" w:hAnsi="Open Sans" w:cs="Open Sans"/>
                <w:sz w:val="20"/>
                <w:szCs w:val="20"/>
              </w:rPr>
              <w:t>Absence of the Carpet Sea Squirt (</w:t>
            </w:r>
            <w:proofErr w:type="spellStart"/>
            <w:r w:rsidRPr="000158EC">
              <w:rPr>
                <w:rFonts w:ascii="Open Sans" w:hAnsi="Open Sans" w:cs="Open Sans"/>
                <w:i/>
                <w:iCs/>
                <w:sz w:val="20"/>
                <w:szCs w:val="20"/>
              </w:rPr>
              <w:t>Didemnum</w:t>
            </w:r>
            <w:proofErr w:type="spellEnd"/>
            <w:r w:rsidRPr="000158EC">
              <w:rPr>
                <w:rFonts w:ascii="Open Sans" w:hAnsi="Open Sans" w:cs="Open Sans"/>
                <w:i/>
                <w:iCs/>
                <w:sz w:val="20"/>
                <w:szCs w:val="20"/>
              </w:rPr>
              <w:t xml:space="preserve"> vexillum</w:t>
            </w:r>
            <w:r w:rsidRPr="000158EC">
              <w:rPr>
                <w:rFonts w:ascii="Open Sans" w:hAnsi="Open Sans" w:cs="Open Sans"/>
                <w:sz w:val="20"/>
                <w:szCs w:val="20"/>
              </w:rPr>
              <w:t>)</w:t>
            </w:r>
          </w:p>
        </w:tc>
      </w:tr>
      <w:tr w:rsidR="00483E79" w:rsidRPr="000158EC" w14:paraId="5804CD69" w14:textId="77777777" w:rsidTr="00EB37FA">
        <w:tc>
          <w:tcPr>
            <w:tcW w:w="1757" w:type="dxa"/>
          </w:tcPr>
          <w:p w14:paraId="67D2C41C" w14:textId="6611DD0A" w:rsidR="00483E79" w:rsidRPr="000158EC" w:rsidRDefault="0073443B" w:rsidP="00D1423B">
            <w:pPr>
              <w:rPr>
                <w:rFonts w:ascii="Open Sans" w:hAnsi="Open Sans" w:cs="Open Sans"/>
                <w:i/>
                <w:iCs/>
                <w:sz w:val="20"/>
                <w:szCs w:val="20"/>
              </w:rPr>
            </w:pPr>
            <w:r w:rsidRPr="000158EC">
              <w:rPr>
                <w:rFonts w:ascii="Open Sans" w:hAnsi="Open Sans" w:cs="Open Sans"/>
                <w:i/>
                <w:iCs/>
                <w:sz w:val="20"/>
                <w:szCs w:val="20"/>
              </w:rPr>
              <w:t xml:space="preserve">Project logistics </w:t>
            </w:r>
          </w:p>
        </w:tc>
        <w:tc>
          <w:tcPr>
            <w:tcW w:w="7259" w:type="dxa"/>
          </w:tcPr>
          <w:p w14:paraId="73DBDF40" w14:textId="1BD6E2B5"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Availability of </w:t>
            </w:r>
            <w:r w:rsidR="00E64BD0" w:rsidRPr="000158EC">
              <w:rPr>
                <w:rFonts w:ascii="Open Sans" w:hAnsi="Open Sans" w:cs="Open Sans"/>
                <w:sz w:val="20"/>
                <w:szCs w:val="20"/>
              </w:rPr>
              <w:t>source</w:t>
            </w:r>
            <w:r w:rsidRPr="000158EC">
              <w:rPr>
                <w:rFonts w:ascii="Open Sans" w:hAnsi="Open Sans" w:cs="Open Sans"/>
                <w:sz w:val="20"/>
                <w:szCs w:val="20"/>
              </w:rPr>
              <w:t xml:space="preserve"> oysters (hatchery access and broodstock genetics)</w:t>
            </w:r>
          </w:p>
          <w:p w14:paraId="77F6D1FD" w14:textId="1B5ACCAD"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Licencing and regulation</w:t>
            </w:r>
          </w:p>
          <w:p w14:paraId="5F9A90F0" w14:textId="6157686F"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Agreements with government/landowners/marina/windfarm that the area can be used for restoration</w:t>
            </w:r>
          </w:p>
          <w:p w14:paraId="5AA8569D" w14:textId="68E50FFE"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Absence of munition deposits </w:t>
            </w:r>
          </w:p>
          <w:p w14:paraId="00B00220" w14:textId="4E51FFA9"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Low intensity of recreational activities (e.g. water sports, boating)</w:t>
            </w:r>
          </w:p>
          <w:p w14:paraId="00F4A303" w14:textId="4874AA3C"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Absence of sub-marine cables </w:t>
            </w:r>
          </w:p>
          <w:p w14:paraId="5DB8C12C" w14:textId="011E2281"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Site accessibility (distance from shore, depth, wave height)</w:t>
            </w:r>
          </w:p>
          <w:p w14:paraId="529A0347" w14:textId="6AEE743A"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Latitude (impact on day length and winter accessibility)</w:t>
            </w:r>
          </w:p>
          <w:p w14:paraId="3AA9C4AC" w14:textId="0B0DB52E"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Low intensity of shipping</w:t>
            </w:r>
          </w:p>
          <w:p w14:paraId="50C83E99" w14:textId="5575CB69"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Low intensity of anchoring or mooring </w:t>
            </w:r>
          </w:p>
          <w:p w14:paraId="1BBA6015" w14:textId="370E44BB" w:rsidR="00483E79"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Area of site (can it accommodate scaling up and population expansion?)</w:t>
            </w:r>
          </w:p>
        </w:tc>
      </w:tr>
      <w:tr w:rsidR="00483E79" w:rsidRPr="000158EC" w14:paraId="11EBD815" w14:textId="77777777" w:rsidTr="00EB37FA">
        <w:tc>
          <w:tcPr>
            <w:tcW w:w="1757" w:type="dxa"/>
          </w:tcPr>
          <w:p w14:paraId="4B490F6F" w14:textId="19B65CBF" w:rsidR="00483E79" w:rsidRPr="000158EC" w:rsidRDefault="0073443B" w:rsidP="00D1423B">
            <w:pPr>
              <w:rPr>
                <w:rFonts w:ascii="Open Sans" w:hAnsi="Open Sans" w:cs="Open Sans"/>
                <w:i/>
                <w:iCs/>
                <w:sz w:val="20"/>
                <w:szCs w:val="20"/>
              </w:rPr>
            </w:pPr>
            <w:r w:rsidRPr="000158EC">
              <w:rPr>
                <w:rFonts w:ascii="Open Sans" w:hAnsi="Open Sans" w:cs="Open Sans"/>
                <w:i/>
                <w:iCs/>
                <w:sz w:val="20"/>
                <w:szCs w:val="20"/>
              </w:rPr>
              <w:t xml:space="preserve">Abiotic factors </w:t>
            </w:r>
          </w:p>
        </w:tc>
        <w:tc>
          <w:tcPr>
            <w:tcW w:w="7259" w:type="dxa"/>
          </w:tcPr>
          <w:p w14:paraId="62F03E9F" w14:textId="1E53FD62"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Current velocity (low to moderate)</w:t>
            </w:r>
          </w:p>
          <w:p w14:paraId="3BF239EC" w14:textId="1CF8E434"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Existence, strength and flushing of tides (low to moderate)</w:t>
            </w:r>
          </w:p>
          <w:p w14:paraId="0F625D18" w14:textId="18DD07DD"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Wave exposure (low to moderate)</w:t>
            </w:r>
          </w:p>
          <w:p w14:paraId="74E645E6" w14:textId="38A9670D"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Direction of currents </w:t>
            </w:r>
          </w:p>
          <w:p w14:paraId="47ECB8F8" w14:textId="06593DB3"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High water residence time (or low water renewal)</w:t>
            </w:r>
          </w:p>
          <w:p w14:paraId="6F737B1F" w14:textId="36884466"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Water depth </w:t>
            </w:r>
          </w:p>
          <w:p w14:paraId="14137280" w14:textId="48B62016"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lastRenderedPageBreak/>
              <w:t>Low/weak seasonal depth stratification of the water column (thermal)</w:t>
            </w:r>
          </w:p>
          <w:p w14:paraId="5E451FDC" w14:textId="4421374A"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Water temperature minimum in winter </w:t>
            </w:r>
          </w:p>
          <w:p w14:paraId="78BA8371" w14:textId="0DA2A473"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Water temperature maximum in summer </w:t>
            </w:r>
          </w:p>
          <w:p w14:paraId="21D74F15" w14:textId="0CF486BC"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Summer water temperature conditions provide potential for reproduction (degree days for maturation) </w:t>
            </w:r>
          </w:p>
          <w:p w14:paraId="44DE3D28" w14:textId="35C10558"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Sunlight (high light levels causing high algal food concentrations can influence the level of settlement)</w:t>
            </w:r>
          </w:p>
          <w:p w14:paraId="6833AC88" w14:textId="428DF95A"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Prevailing winds (direction of surface currents)</w:t>
            </w:r>
          </w:p>
          <w:p w14:paraId="3283BA83" w14:textId="3653D1FA"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Storm events (low frequency)</w:t>
            </w:r>
          </w:p>
          <w:p w14:paraId="7735EEC7" w14:textId="4F28D192"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Volume of freshwater inputs from rivers and streams </w:t>
            </w:r>
          </w:p>
          <w:p w14:paraId="4F80C90D" w14:textId="418F1029"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Concentration of inorganic nutrients (nitrates and phosphates)</w:t>
            </w:r>
          </w:p>
          <w:p w14:paraId="1B63FAEF" w14:textId="48BEECCD"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Salinity minimum</w:t>
            </w:r>
          </w:p>
          <w:p w14:paraId="066D1922" w14:textId="1582FE58"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Salinity range</w:t>
            </w:r>
          </w:p>
          <w:p w14:paraId="505953EA" w14:textId="68123B03"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Low/weak seasonal depth stratification of the water column (salinity)</w:t>
            </w:r>
          </w:p>
          <w:p w14:paraId="0F4171EB" w14:textId="1DD27598"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Water acidity (pH range, maximum and minimum)</w:t>
            </w:r>
          </w:p>
          <w:p w14:paraId="344DB86A" w14:textId="53BC8B31"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Substrate suitability for settlement (type, stability, quality and quantity)</w:t>
            </w:r>
          </w:p>
          <w:p w14:paraId="732A622C" w14:textId="1B06EB9C"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Low seabed mobility (e.g. absence of mobile sand waves)</w:t>
            </w:r>
          </w:p>
          <w:p w14:paraId="2D6078D3" w14:textId="7D5DC718"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Turbidity (low)</w:t>
            </w:r>
          </w:p>
          <w:p w14:paraId="4CE1EA71" w14:textId="0967F117" w:rsidR="00483E79"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Shear stress (low)</w:t>
            </w:r>
          </w:p>
        </w:tc>
      </w:tr>
      <w:tr w:rsidR="00483E79" w:rsidRPr="000158EC" w14:paraId="14AD75BE" w14:textId="77777777" w:rsidTr="00EB37FA">
        <w:tc>
          <w:tcPr>
            <w:tcW w:w="1757" w:type="dxa"/>
          </w:tcPr>
          <w:p w14:paraId="1FCD47BE" w14:textId="45E8E872" w:rsidR="00483E79" w:rsidRPr="000158EC" w:rsidRDefault="0073443B" w:rsidP="00D1423B">
            <w:pPr>
              <w:rPr>
                <w:rFonts w:ascii="Open Sans" w:hAnsi="Open Sans" w:cs="Open Sans"/>
                <w:i/>
                <w:iCs/>
                <w:sz w:val="20"/>
                <w:szCs w:val="20"/>
              </w:rPr>
            </w:pPr>
            <w:r w:rsidRPr="000158EC">
              <w:rPr>
                <w:rFonts w:ascii="Open Sans" w:hAnsi="Open Sans" w:cs="Open Sans"/>
                <w:i/>
                <w:iCs/>
                <w:sz w:val="20"/>
                <w:szCs w:val="20"/>
              </w:rPr>
              <w:lastRenderedPageBreak/>
              <w:t xml:space="preserve">Biotic factors </w:t>
            </w:r>
          </w:p>
        </w:tc>
        <w:tc>
          <w:tcPr>
            <w:tcW w:w="7259" w:type="dxa"/>
          </w:tcPr>
          <w:p w14:paraId="7A180A4B" w14:textId="72BD61F8"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Evidence of historical distribution </w:t>
            </w:r>
            <w:r w:rsidRPr="000158EC">
              <w:rPr>
                <w:rFonts w:ascii="Open Sans" w:hAnsi="Open Sans" w:cs="Open Sans"/>
                <w:i/>
                <w:iCs/>
                <w:sz w:val="20"/>
                <w:szCs w:val="20"/>
              </w:rPr>
              <w:t>Ostrea edulis</w:t>
            </w:r>
            <w:r w:rsidRPr="000158EC">
              <w:rPr>
                <w:rFonts w:ascii="Open Sans" w:hAnsi="Open Sans" w:cs="Open Sans"/>
                <w:sz w:val="20"/>
                <w:szCs w:val="20"/>
              </w:rPr>
              <w:t xml:space="preserve"> at site (may be through oyster fishery records, middens, shells, fossils, anecdotal accounts, or other historical ecology studies)</w:t>
            </w:r>
          </w:p>
          <w:p w14:paraId="1A81D264" w14:textId="33FB6A72"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Site lies within historical range of </w:t>
            </w:r>
            <w:r w:rsidRPr="000158EC">
              <w:rPr>
                <w:rFonts w:ascii="Open Sans" w:hAnsi="Open Sans" w:cs="Open Sans"/>
                <w:i/>
                <w:iCs/>
                <w:sz w:val="20"/>
                <w:szCs w:val="20"/>
              </w:rPr>
              <w:t>O. edulis</w:t>
            </w:r>
            <w:r w:rsidRPr="000158EC">
              <w:rPr>
                <w:rFonts w:ascii="Open Sans" w:hAnsi="Open Sans" w:cs="Open Sans"/>
                <w:sz w:val="20"/>
                <w:szCs w:val="20"/>
              </w:rPr>
              <w:t xml:space="preserve"> (this differs from the factor above in that no physical evidence need be identified </w:t>
            </w:r>
            <w:proofErr w:type="gramStart"/>
            <w:r w:rsidRPr="000158EC">
              <w:rPr>
                <w:rFonts w:ascii="Open Sans" w:hAnsi="Open Sans" w:cs="Open Sans"/>
                <w:sz w:val="20"/>
                <w:szCs w:val="20"/>
              </w:rPr>
              <w:t>as long as</w:t>
            </w:r>
            <w:proofErr w:type="gramEnd"/>
            <w:r w:rsidRPr="000158EC">
              <w:rPr>
                <w:rFonts w:ascii="Open Sans" w:hAnsi="Open Sans" w:cs="Open Sans"/>
                <w:sz w:val="20"/>
                <w:szCs w:val="20"/>
              </w:rPr>
              <w:t xml:space="preserve"> the site is within the historical range)</w:t>
            </w:r>
          </w:p>
          <w:p w14:paraId="689069F6" w14:textId="67809A28"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Existing population of </w:t>
            </w:r>
            <w:r w:rsidRPr="000158EC">
              <w:rPr>
                <w:rFonts w:ascii="Open Sans" w:hAnsi="Open Sans" w:cs="Open Sans"/>
                <w:i/>
                <w:iCs/>
                <w:sz w:val="20"/>
                <w:szCs w:val="20"/>
              </w:rPr>
              <w:t>O. edulis</w:t>
            </w:r>
          </w:p>
          <w:p w14:paraId="6BD3D346" w14:textId="5D4BDB07"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Population density of existing </w:t>
            </w:r>
            <w:r w:rsidRPr="000158EC">
              <w:rPr>
                <w:rFonts w:ascii="Open Sans" w:hAnsi="Open Sans" w:cs="Open Sans"/>
                <w:i/>
                <w:iCs/>
                <w:sz w:val="20"/>
                <w:szCs w:val="20"/>
              </w:rPr>
              <w:t>O. edulis</w:t>
            </w:r>
          </w:p>
          <w:p w14:paraId="67957522" w14:textId="2A5B2ACB"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Proximity to nearest </w:t>
            </w:r>
            <w:r w:rsidRPr="000158EC">
              <w:rPr>
                <w:rFonts w:ascii="Open Sans" w:hAnsi="Open Sans" w:cs="Open Sans"/>
                <w:i/>
                <w:iCs/>
                <w:sz w:val="20"/>
                <w:szCs w:val="20"/>
              </w:rPr>
              <w:t>O. edulis</w:t>
            </w:r>
            <w:r w:rsidRPr="000158EC">
              <w:rPr>
                <w:rFonts w:ascii="Open Sans" w:hAnsi="Open Sans" w:cs="Open Sans"/>
                <w:sz w:val="20"/>
                <w:szCs w:val="20"/>
              </w:rPr>
              <w:t xml:space="preserve"> population</w:t>
            </w:r>
          </w:p>
          <w:p w14:paraId="12BD3F46" w14:textId="4B227D80"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Connectivity with naturally occurring larval broodstock</w:t>
            </w:r>
          </w:p>
          <w:p w14:paraId="56E04E65" w14:textId="6FBCB797"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Low levels of harmful algae (may be toxic, smothering or cause blooms)</w:t>
            </w:r>
          </w:p>
          <w:p w14:paraId="1F38B398" w14:textId="58EDD49B"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Absence of biotoxins </w:t>
            </w:r>
          </w:p>
          <w:p w14:paraId="2A000240" w14:textId="67485142"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Low predator abundance (or high habitat heterogeneity to provide protection)</w:t>
            </w:r>
          </w:p>
          <w:p w14:paraId="3B939B6A" w14:textId="3FF4245C"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Balanced food web with predators of predators </w:t>
            </w:r>
          </w:p>
          <w:p w14:paraId="1CC372A5" w14:textId="3B6ADDCB"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Low abundance of species that compete for food </w:t>
            </w:r>
          </w:p>
          <w:p w14:paraId="7847CA16" w14:textId="55663F72"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Low abundance of species that compete for settlement area </w:t>
            </w:r>
          </w:p>
          <w:p w14:paraId="012C4CE6" w14:textId="7570C8C9"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Low abundance of biofouling organisms (this differs from the factor above in that it includes species which biofoul cages, but not necessarily compete directly with oysters for settlement area on the seafloor)</w:t>
            </w:r>
          </w:p>
          <w:p w14:paraId="4F4E1164" w14:textId="0FDC9AE9"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Potential for biodiversity enhancement of the site</w:t>
            </w:r>
          </w:p>
          <w:p w14:paraId="2A9A381B" w14:textId="45EC7019"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Existing non-oyster habitats not negatively impacted by restoration activities  </w:t>
            </w:r>
          </w:p>
          <w:p w14:paraId="05F1C64C" w14:textId="6D96C655"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Proximity of seagrass, saltmarsh and kelp forests (for mutual benefits and integrated management potential)</w:t>
            </w:r>
          </w:p>
          <w:p w14:paraId="6911FC1D" w14:textId="59ED630C"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Local ecological knowledge (e.g. understanding why previous oyster populations went extinct)</w:t>
            </w:r>
          </w:p>
          <w:p w14:paraId="1820F9A6" w14:textId="03D55E50"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Prevalence of high impact </w:t>
            </w:r>
            <w:r w:rsidR="00693BB1" w:rsidRPr="000158EC">
              <w:rPr>
                <w:rFonts w:ascii="Open Sans" w:hAnsi="Open Sans" w:cs="Open Sans"/>
                <w:sz w:val="20"/>
                <w:szCs w:val="20"/>
              </w:rPr>
              <w:t>I</w:t>
            </w:r>
            <w:r w:rsidRPr="000158EC">
              <w:rPr>
                <w:rFonts w:ascii="Open Sans" w:hAnsi="Open Sans" w:cs="Open Sans"/>
                <w:sz w:val="20"/>
                <w:szCs w:val="20"/>
              </w:rPr>
              <w:t xml:space="preserve">nvasive </w:t>
            </w:r>
            <w:r w:rsidR="00693BB1" w:rsidRPr="000158EC">
              <w:rPr>
                <w:rFonts w:ascii="Open Sans" w:hAnsi="Open Sans" w:cs="Open Sans"/>
                <w:sz w:val="20"/>
                <w:szCs w:val="20"/>
              </w:rPr>
              <w:t>N</w:t>
            </w:r>
            <w:r w:rsidRPr="000158EC">
              <w:rPr>
                <w:rFonts w:ascii="Open Sans" w:hAnsi="Open Sans" w:cs="Open Sans"/>
                <w:sz w:val="20"/>
                <w:szCs w:val="20"/>
              </w:rPr>
              <w:t>on-</w:t>
            </w:r>
            <w:r w:rsidR="00693BB1" w:rsidRPr="000158EC">
              <w:rPr>
                <w:rFonts w:ascii="Open Sans" w:hAnsi="Open Sans" w:cs="Open Sans"/>
                <w:sz w:val="20"/>
                <w:szCs w:val="20"/>
              </w:rPr>
              <w:t>N</w:t>
            </w:r>
            <w:r w:rsidRPr="000158EC">
              <w:rPr>
                <w:rFonts w:ascii="Open Sans" w:hAnsi="Open Sans" w:cs="Open Sans"/>
                <w:sz w:val="20"/>
                <w:szCs w:val="20"/>
              </w:rPr>
              <w:t xml:space="preserve">ative </w:t>
            </w:r>
            <w:r w:rsidR="00693BB1" w:rsidRPr="000158EC">
              <w:rPr>
                <w:rFonts w:ascii="Open Sans" w:hAnsi="Open Sans" w:cs="Open Sans"/>
                <w:sz w:val="20"/>
                <w:szCs w:val="20"/>
              </w:rPr>
              <w:t>S</w:t>
            </w:r>
            <w:r w:rsidRPr="000158EC">
              <w:rPr>
                <w:rFonts w:ascii="Open Sans" w:hAnsi="Open Sans" w:cs="Open Sans"/>
                <w:sz w:val="20"/>
                <w:szCs w:val="20"/>
              </w:rPr>
              <w:t>pecies (INNS)</w:t>
            </w:r>
          </w:p>
          <w:p w14:paraId="1D4767BA" w14:textId="166614FD"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Prevalence of non-native species </w:t>
            </w:r>
          </w:p>
          <w:p w14:paraId="0CC15823" w14:textId="5D593530"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Prevalence of OIE/EC listed diseases (</w:t>
            </w:r>
            <w:r w:rsidRPr="000158EC">
              <w:rPr>
                <w:rFonts w:ascii="Open Sans" w:hAnsi="Open Sans" w:cs="Open Sans"/>
                <w:i/>
                <w:iCs/>
                <w:sz w:val="20"/>
                <w:szCs w:val="20"/>
              </w:rPr>
              <w:t xml:space="preserve">B. </w:t>
            </w:r>
            <w:proofErr w:type="spellStart"/>
            <w:r w:rsidRPr="000158EC">
              <w:rPr>
                <w:rFonts w:ascii="Open Sans" w:hAnsi="Open Sans" w:cs="Open Sans"/>
                <w:i/>
                <w:iCs/>
                <w:sz w:val="20"/>
                <w:szCs w:val="20"/>
              </w:rPr>
              <w:t>ostreae</w:t>
            </w:r>
            <w:proofErr w:type="spellEnd"/>
            <w:r w:rsidRPr="000158EC">
              <w:rPr>
                <w:rFonts w:ascii="Open Sans" w:hAnsi="Open Sans" w:cs="Open Sans"/>
                <w:i/>
                <w:iCs/>
                <w:sz w:val="20"/>
                <w:szCs w:val="20"/>
              </w:rPr>
              <w:t xml:space="preserve">, B. exitiosa, M. refringens, M. </w:t>
            </w:r>
            <w:proofErr w:type="spellStart"/>
            <w:r w:rsidRPr="000158EC">
              <w:rPr>
                <w:rFonts w:ascii="Open Sans" w:hAnsi="Open Sans" w:cs="Open Sans"/>
                <w:i/>
                <w:iCs/>
                <w:sz w:val="20"/>
                <w:szCs w:val="20"/>
              </w:rPr>
              <w:t>mackini</w:t>
            </w:r>
            <w:proofErr w:type="spellEnd"/>
            <w:r w:rsidRPr="000158EC">
              <w:rPr>
                <w:rFonts w:ascii="Open Sans" w:hAnsi="Open Sans" w:cs="Open Sans"/>
                <w:i/>
                <w:iCs/>
                <w:sz w:val="20"/>
                <w:szCs w:val="20"/>
              </w:rPr>
              <w:t>,</w:t>
            </w:r>
            <w:r w:rsidRPr="000158EC">
              <w:rPr>
                <w:rFonts w:ascii="Open Sans" w:hAnsi="Open Sans" w:cs="Open Sans"/>
                <w:sz w:val="20"/>
                <w:szCs w:val="20"/>
              </w:rPr>
              <w:t xml:space="preserve"> Herpes virus OsHV-1-μ</w:t>
            </w:r>
            <w:r w:rsidR="00FA10FC" w:rsidRPr="000158EC">
              <w:rPr>
                <w:rFonts w:ascii="Open Sans" w:hAnsi="Open Sans" w:cs="Open Sans"/>
                <w:sz w:val="20"/>
                <w:szCs w:val="20"/>
              </w:rPr>
              <w:t>V</w:t>
            </w:r>
            <w:r w:rsidRPr="000158EC">
              <w:rPr>
                <w:rFonts w:ascii="Open Sans" w:hAnsi="Open Sans" w:cs="Open Sans"/>
                <w:sz w:val="20"/>
                <w:szCs w:val="20"/>
              </w:rPr>
              <w:t>ar)</w:t>
            </w:r>
          </w:p>
          <w:p w14:paraId="04E6647E" w14:textId="407F3B6B"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lastRenderedPageBreak/>
              <w:t>Prevalence of pathogens (beyond the OIE/EC list)</w:t>
            </w:r>
          </w:p>
          <w:p w14:paraId="337A0182" w14:textId="4DEA5A13"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Prevalence, </w:t>
            </w:r>
            <w:proofErr w:type="gramStart"/>
            <w:r w:rsidRPr="000158EC">
              <w:rPr>
                <w:rFonts w:ascii="Open Sans" w:hAnsi="Open Sans" w:cs="Open Sans"/>
                <w:sz w:val="20"/>
                <w:szCs w:val="20"/>
              </w:rPr>
              <w:t>density</w:t>
            </w:r>
            <w:proofErr w:type="gramEnd"/>
            <w:r w:rsidRPr="000158EC">
              <w:rPr>
                <w:rFonts w:ascii="Open Sans" w:hAnsi="Open Sans" w:cs="Open Sans"/>
                <w:sz w:val="20"/>
                <w:szCs w:val="20"/>
              </w:rPr>
              <w:t xml:space="preserve"> and distribution of the American slipper limpet (</w:t>
            </w:r>
            <w:r w:rsidR="000158EC">
              <w:rPr>
                <w:rFonts w:ascii="Open Sans" w:hAnsi="Open Sans" w:cs="Open Sans"/>
                <w:i/>
                <w:iCs/>
                <w:sz w:val="20"/>
                <w:szCs w:val="20"/>
              </w:rPr>
              <w:t>C.</w:t>
            </w:r>
            <w:r w:rsidRPr="000158EC">
              <w:rPr>
                <w:rFonts w:ascii="Open Sans" w:hAnsi="Open Sans" w:cs="Open Sans"/>
                <w:i/>
                <w:iCs/>
                <w:sz w:val="20"/>
                <w:szCs w:val="20"/>
              </w:rPr>
              <w:t xml:space="preserve"> </w:t>
            </w:r>
            <w:proofErr w:type="spellStart"/>
            <w:r w:rsidRPr="000158EC">
              <w:rPr>
                <w:rFonts w:ascii="Open Sans" w:hAnsi="Open Sans" w:cs="Open Sans"/>
                <w:i/>
                <w:iCs/>
                <w:sz w:val="20"/>
                <w:szCs w:val="20"/>
              </w:rPr>
              <w:t>fornicata</w:t>
            </w:r>
            <w:proofErr w:type="spellEnd"/>
            <w:r w:rsidRPr="000158EC">
              <w:rPr>
                <w:rFonts w:ascii="Open Sans" w:hAnsi="Open Sans" w:cs="Open Sans"/>
                <w:sz w:val="20"/>
                <w:szCs w:val="20"/>
              </w:rPr>
              <w:t>)</w:t>
            </w:r>
          </w:p>
          <w:p w14:paraId="7D16DD50" w14:textId="5B05C937"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Prevalence, </w:t>
            </w:r>
            <w:proofErr w:type="gramStart"/>
            <w:r w:rsidRPr="000158EC">
              <w:rPr>
                <w:rFonts w:ascii="Open Sans" w:hAnsi="Open Sans" w:cs="Open Sans"/>
                <w:sz w:val="20"/>
                <w:szCs w:val="20"/>
              </w:rPr>
              <w:t>density</w:t>
            </w:r>
            <w:proofErr w:type="gramEnd"/>
            <w:r w:rsidRPr="000158EC">
              <w:rPr>
                <w:rFonts w:ascii="Open Sans" w:hAnsi="Open Sans" w:cs="Open Sans"/>
                <w:sz w:val="20"/>
                <w:szCs w:val="20"/>
              </w:rPr>
              <w:t xml:space="preserve"> and distribution of the Pacific oyster (</w:t>
            </w:r>
            <w:r w:rsidR="000158EC">
              <w:rPr>
                <w:rFonts w:ascii="Open Sans" w:hAnsi="Open Sans" w:cs="Open Sans"/>
                <w:i/>
                <w:iCs/>
                <w:sz w:val="20"/>
                <w:szCs w:val="20"/>
              </w:rPr>
              <w:t>C.</w:t>
            </w:r>
            <w:r w:rsidRPr="000158EC">
              <w:rPr>
                <w:rFonts w:ascii="Open Sans" w:hAnsi="Open Sans" w:cs="Open Sans"/>
                <w:i/>
                <w:iCs/>
                <w:sz w:val="20"/>
                <w:szCs w:val="20"/>
              </w:rPr>
              <w:t xml:space="preserve"> gigas</w:t>
            </w:r>
            <w:r w:rsidRPr="000158EC">
              <w:rPr>
                <w:rFonts w:ascii="Open Sans" w:hAnsi="Open Sans" w:cs="Open Sans"/>
                <w:sz w:val="20"/>
                <w:szCs w:val="20"/>
              </w:rPr>
              <w:t>)</w:t>
            </w:r>
          </w:p>
          <w:p w14:paraId="22CCFC5A" w14:textId="28F2DCE4"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Prevalence, </w:t>
            </w:r>
            <w:proofErr w:type="gramStart"/>
            <w:r w:rsidRPr="000158EC">
              <w:rPr>
                <w:rFonts w:ascii="Open Sans" w:hAnsi="Open Sans" w:cs="Open Sans"/>
                <w:sz w:val="20"/>
                <w:szCs w:val="20"/>
              </w:rPr>
              <w:t>density</w:t>
            </w:r>
            <w:proofErr w:type="gramEnd"/>
            <w:r w:rsidRPr="000158EC">
              <w:rPr>
                <w:rFonts w:ascii="Open Sans" w:hAnsi="Open Sans" w:cs="Open Sans"/>
                <w:sz w:val="20"/>
                <w:szCs w:val="20"/>
              </w:rPr>
              <w:t xml:space="preserve"> and distribution of the Carpet Sea Squirt (</w:t>
            </w:r>
            <w:r w:rsidR="000158EC">
              <w:rPr>
                <w:rFonts w:ascii="Open Sans" w:hAnsi="Open Sans" w:cs="Open Sans"/>
                <w:i/>
                <w:iCs/>
                <w:sz w:val="20"/>
                <w:szCs w:val="20"/>
              </w:rPr>
              <w:t>D.</w:t>
            </w:r>
            <w:r w:rsidRPr="000158EC">
              <w:rPr>
                <w:rFonts w:ascii="Open Sans" w:hAnsi="Open Sans" w:cs="Open Sans"/>
                <w:i/>
                <w:iCs/>
                <w:sz w:val="20"/>
                <w:szCs w:val="20"/>
              </w:rPr>
              <w:t xml:space="preserve"> vexillum</w:t>
            </w:r>
            <w:r w:rsidRPr="000158EC">
              <w:rPr>
                <w:rFonts w:ascii="Open Sans" w:hAnsi="Open Sans" w:cs="Open Sans"/>
                <w:sz w:val="20"/>
                <w:szCs w:val="20"/>
              </w:rPr>
              <w:t>)</w:t>
            </w:r>
          </w:p>
          <w:p w14:paraId="5EE60D7B" w14:textId="2FF2BB00"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Phytoplankton abundance/chlorophyll a</w:t>
            </w:r>
          </w:p>
          <w:p w14:paraId="286437F9" w14:textId="32CC1325"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Origin of phytoplankton</w:t>
            </w:r>
          </w:p>
          <w:p w14:paraId="282B8510" w14:textId="63514B7C"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Phytoplankton composition </w:t>
            </w:r>
          </w:p>
          <w:p w14:paraId="16D6C5D4" w14:textId="15F25A30"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Microzooplankton and </w:t>
            </w:r>
            <w:proofErr w:type="spellStart"/>
            <w:r w:rsidRPr="000158EC">
              <w:rPr>
                <w:rFonts w:ascii="Open Sans" w:hAnsi="Open Sans" w:cs="Open Sans"/>
                <w:sz w:val="20"/>
                <w:szCs w:val="20"/>
              </w:rPr>
              <w:t>mesozooplankton</w:t>
            </w:r>
            <w:proofErr w:type="spellEnd"/>
            <w:r w:rsidRPr="000158EC">
              <w:rPr>
                <w:rFonts w:ascii="Open Sans" w:hAnsi="Open Sans" w:cs="Open Sans"/>
                <w:sz w:val="20"/>
                <w:szCs w:val="20"/>
              </w:rPr>
              <w:t xml:space="preserve"> abundance and composition</w:t>
            </w:r>
          </w:p>
          <w:p w14:paraId="2145FAA6" w14:textId="365AB9E2" w:rsidR="0073443B" w:rsidRPr="000158EC" w:rsidRDefault="0073443B"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Bacterioplankton abundance and composition</w:t>
            </w:r>
          </w:p>
        </w:tc>
      </w:tr>
      <w:tr w:rsidR="00483E79" w:rsidRPr="000158EC" w14:paraId="376B33B2" w14:textId="77777777" w:rsidTr="00EB37FA">
        <w:tc>
          <w:tcPr>
            <w:tcW w:w="1757" w:type="dxa"/>
          </w:tcPr>
          <w:p w14:paraId="5D8ABFC8" w14:textId="45F61E48" w:rsidR="00483E79" w:rsidRPr="000158EC" w:rsidRDefault="00EB37FA" w:rsidP="00D1423B">
            <w:pPr>
              <w:rPr>
                <w:rFonts w:ascii="Open Sans" w:hAnsi="Open Sans" w:cs="Open Sans"/>
                <w:i/>
                <w:iCs/>
                <w:sz w:val="20"/>
                <w:szCs w:val="20"/>
              </w:rPr>
            </w:pPr>
            <w:r w:rsidRPr="000158EC">
              <w:rPr>
                <w:rFonts w:ascii="Open Sans" w:hAnsi="Open Sans" w:cs="Open Sans"/>
                <w:i/>
                <w:iCs/>
                <w:sz w:val="20"/>
                <w:szCs w:val="20"/>
              </w:rPr>
              <w:lastRenderedPageBreak/>
              <w:t xml:space="preserve">Socioeconomic factors </w:t>
            </w:r>
          </w:p>
        </w:tc>
        <w:tc>
          <w:tcPr>
            <w:tcW w:w="7259" w:type="dxa"/>
          </w:tcPr>
          <w:p w14:paraId="44714C2E" w14:textId="57875A01"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Cooperation and potential co-location with local oyster fisheries or aquaculture </w:t>
            </w:r>
          </w:p>
          <w:p w14:paraId="740BB67B" w14:textId="2A150019"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Willingness of local fishers and </w:t>
            </w:r>
            <w:proofErr w:type="spellStart"/>
            <w:r w:rsidRPr="000158EC">
              <w:rPr>
                <w:rFonts w:ascii="Open Sans" w:hAnsi="Open Sans" w:cs="Open Sans"/>
                <w:sz w:val="20"/>
                <w:szCs w:val="20"/>
              </w:rPr>
              <w:t>aquaculturists</w:t>
            </w:r>
            <w:proofErr w:type="spellEnd"/>
            <w:r w:rsidRPr="000158EC">
              <w:rPr>
                <w:rFonts w:ascii="Open Sans" w:hAnsi="Open Sans" w:cs="Open Sans"/>
                <w:sz w:val="20"/>
                <w:szCs w:val="20"/>
              </w:rPr>
              <w:t xml:space="preserve"> to volunteer at the site</w:t>
            </w:r>
          </w:p>
          <w:p w14:paraId="2A2D8CDB" w14:textId="701100C0"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Cooperation with (non-oyster) fisheries </w:t>
            </w:r>
          </w:p>
          <w:p w14:paraId="702C428A" w14:textId="37344779"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Absence of key benthic fisheries target species at the site</w:t>
            </w:r>
          </w:p>
          <w:p w14:paraId="705982F4" w14:textId="74A19A42"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Area not essential for livelihoods (e.g. through fishing) </w:t>
            </w:r>
          </w:p>
          <w:p w14:paraId="1FD29D99" w14:textId="1D974E11"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Protected area status (no-take zones and gear restrictions)</w:t>
            </w:r>
          </w:p>
          <w:p w14:paraId="61C1C9DD" w14:textId="57F59C1C"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Legal designation/status of site requires environmental goals and targets to be met through restoration activity</w:t>
            </w:r>
          </w:p>
          <w:p w14:paraId="1B481673" w14:textId="44206DB0"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Site safety concerns (permanently or temporarily creating infrastructure at sea or altering the shoreline may impact safety for users of the area)</w:t>
            </w:r>
          </w:p>
          <w:p w14:paraId="75AC183F" w14:textId="0B283578"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Potential for ecosystem service enhancement </w:t>
            </w:r>
          </w:p>
          <w:p w14:paraId="1EEB7F17" w14:textId="0C11A322"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Potential </w:t>
            </w:r>
            <w:r w:rsidR="00DF0FEF" w:rsidRPr="000158EC">
              <w:rPr>
                <w:rFonts w:ascii="Open Sans" w:hAnsi="Open Sans" w:cs="Open Sans"/>
                <w:sz w:val="20"/>
                <w:szCs w:val="20"/>
              </w:rPr>
              <w:t xml:space="preserve">for </w:t>
            </w:r>
            <w:r w:rsidRPr="000158EC">
              <w:rPr>
                <w:rFonts w:ascii="Open Sans" w:hAnsi="Open Sans" w:cs="Open Sans"/>
                <w:sz w:val="20"/>
                <w:szCs w:val="20"/>
              </w:rPr>
              <w:t>ecosystem service enhancement of relevance to stakeholders</w:t>
            </w:r>
          </w:p>
          <w:p w14:paraId="3CAD2878" w14:textId="54EC12A9"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Potential for scientific research </w:t>
            </w:r>
          </w:p>
          <w:p w14:paraId="5CD84C92" w14:textId="0B037F68"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Potential for citizen science research</w:t>
            </w:r>
          </w:p>
          <w:p w14:paraId="6A549084" w14:textId="23F6E32A"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Boosting local economy and providing job opportunities </w:t>
            </w:r>
          </w:p>
          <w:p w14:paraId="2E3E09C2" w14:textId="27B2FF9A"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Coastal community development and well-being  </w:t>
            </w:r>
          </w:p>
          <w:p w14:paraId="008E31F4" w14:textId="5B78EBA0"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Education value  </w:t>
            </w:r>
          </w:p>
          <w:p w14:paraId="43598F29" w14:textId="5F141435"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Returning heritage value to the area </w:t>
            </w:r>
          </w:p>
          <w:p w14:paraId="730F31D2" w14:textId="6DE8D625"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Potential to develop local partnerships (may be essential in project delivery)</w:t>
            </w:r>
          </w:p>
          <w:p w14:paraId="2F5D3987" w14:textId="0D29D281" w:rsidR="00EB37FA"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Stakeholder interest and support </w:t>
            </w:r>
          </w:p>
          <w:p w14:paraId="2EEC399E" w14:textId="18EC9AE1" w:rsidR="00483E79" w:rsidRPr="000158EC" w:rsidRDefault="00EB37FA" w:rsidP="00FA10FC">
            <w:pPr>
              <w:pStyle w:val="ListParagraph"/>
              <w:numPr>
                <w:ilvl w:val="0"/>
                <w:numId w:val="9"/>
              </w:numPr>
              <w:rPr>
                <w:rFonts w:ascii="Open Sans" w:hAnsi="Open Sans" w:cs="Open Sans"/>
                <w:sz w:val="20"/>
                <w:szCs w:val="20"/>
              </w:rPr>
            </w:pPr>
            <w:r w:rsidRPr="000158EC">
              <w:rPr>
                <w:rFonts w:ascii="Open Sans" w:hAnsi="Open Sans" w:cs="Open Sans"/>
                <w:sz w:val="20"/>
                <w:szCs w:val="20"/>
              </w:rPr>
              <w:t xml:space="preserve">Engagement with policy makers and environmental regulators </w:t>
            </w:r>
          </w:p>
        </w:tc>
      </w:tr>
    </w:tbl>
    <w:p w14:paraId="6CFAF5CF" w14:textId="77777777" w:rsidR="00483E79" w:rsidRPr="000158EC" w:rsidRDefault="00483E79" w:rsidP="00D1423B">
      <w:pPr>
        <w:rPr>
          <w:rFonts w:ascii="Open Sans" w:hAnsi="Open Sans" w:cs="Open Sans"/>
          <w:sz w:val="20"/>
          <w:szCs w:val="20"/>
        </w:rPr>
      </w:pPr>
    </w:p>
    <w:p w14:paraId="07047BF3" w14:textId="77777777" w:rsidR="00582D66" w:rsidRPr="000158EC" w:rsidRDefault="00582D66" w:rsidP="00D1423B">
      <w:pPr>
        <w:rPr>
          <w:rFonts w:ascii="Open Sans" w:hAnsi="Open Sans" w:cs="Open Sans"/>
          <w:b/>
          <w:bCs/>
          <w:sz w:val="20"/>
          <w:szCs w:val="20"/>
        </w:rPr>
      </w:pPr>
    </w:p>
    <w:p w14:paraId="29AE0A91" w14:textId="584D8BAB" w:rsidR="009D08E3" w:rsidRPr="000158EC" w:rsidRDefault="009D08E3">
      <w:pPr>
        <w:rPr>
          <w:rFonts w:ascii="Open Sans" w:hAnsi="Open Sans" w:cs="Open Sans"/>
          <w:sz w:val="20"/>
          <w:szCs w:val="20"/>
        </w:rPr>
      </w:pPr>
    </w:p>
    <w:sectPr w:rsidR="009D08E3" w:rsidRPr="0001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66D"/>
    <w:multiLevelType w:val="hybridMultilevel"/>
    <w:tmpl w:val="A65490A2"/>
    <w:lvl w:ilvl="0" w:tplc="B3EAC208">
      <w:numFmt w:val="bullet"/>
      <w:lvlText w:val="•"/>
      <w:lvlJc w:val="left"/>
      <w:rPr>
        <w:rFonts w:ascii="Open Sans" w:eastAsiaTheme="minorHAnsi" w:hAnsi="Open Sans" w:cs="Open Sans" w:hint="default"/>
      </w:rPr>
    </w:lvl>
    <w:lvl w:ilvl="1" w:tplc="FFFFFFFF" w:tentative="1">
      <w:start w:val="1"/>
      <w:numFmt w:val="lowerLetter"/>
      <w:lvlText w:val="%2."/>
      <w:lvlJc w:val="left"/>
      <w:pPr>
        <w:ind w:left="-359" w:hanging="360"/>
      </w:pPr>
    </w:lvl>
    <w:lvl w:ilvl="2" w:tplc="FFFFFFFF" w:tentative="1">
      <w:start w:val="1"/>
      <w:numFmt w:val="lowerRoman"/>
      <w:lvlText w:val="%3."/>
      <w:lvlJc w:val="right"/>
      <w:pPr>
        <w:ind w:left="361" w:hanging="180"/>
      </w:pPr>
    </w:lvl>
    <w:lvl w:ilvl="3" w:tplc="FFFFFFFF" w:tentative="1">
      <w:start w:val="1"/>
      <w:numFmt w:val="decimal"/>
      <w:lvlText w:val="%4."/>
      <w:lvlJc w:val="left"/>
      <w:pPr>
        <w:ind w:left="1081" w:hanging="360"/>
      </w:pPr>
    </w:lvl>
    <w:lvl w:ilvl="4" w:tplc="FFFFFFFF" w:tentative="1">
      <w:start w:val="1"/>
      <w:numFmt w:val="lowerLetter"/>
      <w:lvlText w:val="%5."/>
      <w:lvlJc w:val="left"/>
      <w:pPr>
        <w:ind w:left="1801" w:hanging="360"/>
      </w:pPr>
    </w:lvl>
    <w:lvl w:ilvl="5" w:tplc="FFFFFFFF" w:tentative="1">
      <w:start w:val="1"/>
      <w:numFmt w:val="lowerRoman"/>
      <w:lvlText w:val="%6."/>
      <w:lvlJc w:val="right"/>
      <w:pPr>
        <w:ind w:left="2521" w:hanging="180"/>
      </w:pPr>
    </w:lvl>
    <w:lvl w:ilvl="6" w:tplc="FFFFFFFF" w:tentative="1">
      <w:start w:val="1"/>
      <w:numFmt w:val="decimal"/>
      <w:lvlText w:val="%7."/>
      <w:lvlJc w:val="left"/>
      <w:pPr>
        <w:ind w:left="3241" w:hanging="360"/>
      </w:pPr>
    </w:lvl>
    <w:lvl w:ilvl="7" w:tplc="FFFFFFFF" w:tentative="1">
      <w:start w:val="1"/>
      <w:numFmt w:val="lowerLetter"/>
      <w:lvlText w:val="%8."/>
      <w:lvlJc w:val="left"/>
      <w:pPr>
        <w:ind w:left="3961" w:hanging="360"/>
      </w:pPr>
    </w:lvl>
    <w:lvl w:ilvl="8" w:tplc="FFFFFFFF" w:tentative="1">
      <w:start w:val="1"/>
      <w:numFmt w:val="lowerRoman"/>
      <w:lvlText w:val="%9."/>
      <w:lvlJc w:val="right"/>
      <w:pPr>
        <w:ind w:left="4681" w:hanging="180"/>
      </w:pPr>
    </w:lvl>
  </w:abstractNum>
  <w:abstractNum w:abstractNumId="1" w15:restartNumberingAfterBreak="0">
    <w:nsid w:val="18ED6391"/>
    <w:multiLevelType w:val="hybridMultilevel"/>
    <w:tmpl w:val="310285EC"/>
    <w:lvl w:ilvl="0" w:tplc="B3EAC208">
      <w:numFmt w:val="bullet"/>
      <w:lvlText w:val="•"/>
      <w:lvlJc w:val="left"/>
      <w:pPr>
        <w:ind w:left="360" w:hanging="36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272E7"/>
    <w:multiLevelType w:val="hybridMultilevel"/>
    <w:tmpl w:val="3A10DADC"/>
    <w:lvl w:ilvl="0" w:tplc="B3EAC208">
      <w:numFmt w:val="bullet"/>
      <w:lvlText w:val="•"/>
      <w:lvlJc w:val="left"/>
      <w:pPr>
        <w:ind w:left="862" w:hanging="720"/>
      </w:pPr>
      <w:rPr>
        <w:rFonts w:ascii="Open Sans" w:eastAsiaTheme="minorHAnsi" w:hAnsi="Open Sans" w:cs="Open San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6B862AC"/>
    <w:multiLevelType w:val="hybridMultilevel"/>
    <w:tmpl w:val="3D3810A0"/>
    <w:lvl w:ilvl="0" w:tplc="B3EAC208">
      <w:numFmt w:val="bullet"/>
      <w:lvlText w:val="•"/>
      <w:lvlJc w:val="left"/>
      <w:pPr>
        <w:ind w:left="1440" w:hanging="72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AD5611"/>
    <w:multiLevelType w:val="hybridMultilevel"/>
    <w:tmpl w:val="3C201EE8"/>
    <w:lvl w:ilvl="0" w:tplc="B3EAC208">
      <w:numFmt w:val="bullet"/>
      <w:lvlText w:val="•"/>
      <w:lvlJc w:val="left"/>
      <w:pPr>
        <w:ind w:left="360" w:hanging="36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705590"/>
    <w:multiLevelType w:val="hybridMultilevel"/>
    <w:tmpl w:val="72A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F64881"/>
    <w:multiLevelType w:val="hybridMultilevel"/>
    <w:tmpl w:val="7BC6F2B4"/>
    <w:lvl w:ilvl="0" w:tplc="B3EAC208">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03319"/>
    <w:multiLevelType w:val="hybridMultilevel"/>
    <w:tmpl w:val="11AA2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872A1C"/>
    <w:multiLevelType w:val="hybridMultilevel"/>
    <w:tmpl w:val="7954FBF4"/>
    <w:lvl w:ilvl="0" w:tplc="7D8A8C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59598222">
    <w:abstractNumId w:val="8"/>
  </w:num>
  <w:num w:numId="2" w16cid:durableId="1687291236">
    <w:abstractNumId w:val="5"/>
  </w:num>
  <w:num w:numId="3" w16cid:durableId="1386760382">
    <w:abstractNumId w:val="2"/>
  </w:num>
  <w:num w:numId="4" w16cid:durableId="50202858">
    <w:abstractNumId w:val="3"/>
  </w:num>
  <w:num w:numId="5" w16cid:durableId="1853106375">
    <w:abstractNumId w:val="6"/>
  </w:num>
  <w:num w:numId="6" w16cid:durableId="975991051">
    <w:abstractNumId w:val="7"/>
  </w:num>
  <w:num w:numId="7" w16cid:durableId="2089959090">
    <w:abstractNumId w:val="0"/>
  </w:num>
  <w:num w:numId="8" w16cid:durableId="472060779">
    <w:abstractNumId w:val="4"/>
  </w:num>
  <w:num w:numId="9" w16cid:durableId="792096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49"/>
    <w:rsid w:val="000158EC"/>
    <w:rsid w:val="00295477"/>
    <w:rsid w:val="002D6ECB"/>
    <w:rsid w:val="00483E79"/>
    <w:rsid w:val="00497049"/>
    <w:rsid w:val="0055190D"/>
    <w:rsid w:val="00582D66"/>
    <w:rsid w:val="00693BB1"/>
    <w:rsid w:val="006D030D"/>
    <w:rsid w:val="0073443B"/>
    <w:rsid w:val="007D70AD"/>
    <w:rsid w:val="009D08E3"/>
    <w:rsid w:val="00D1423B"/>
    <w:rsid w:val="00DF0FEF"/>
    <w:rsid w:val="00DF6EAF"/>
    <w:rsid w:val="00E20A2F"/>
    <w:rsid w:val="00E64BD0"/>
    <w:rsid w:val="00EB37FA"/>
    <w:rsid w:val="00FA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A867"/>
  <w15:chartTrackingRefBased/>
  <w15:docId w15:val="{D5FD57B7-86C3-4780-8FC5-30C5510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E3"/>
    <w:pPr>
      <w:ind w:left="720"/>
      <w:contextualSpacing/>
    </w:pPr>
  </w:style>
  <w:style w:type="table" w:styleId="TableGrid">
    <w:name w:val="Table Grid"/>
    <w:basedOn w:val="TableNormal"/>
    <w:uiPriority w:val="39"/>
    <w:rsid w:val="0048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Anna</dc:creator>
  <cp:keywords/>
  <dc:description/>
  <cp:lastModifiedBy>Anna Hughes</cp:lastModifiedBy>
  <cp:revision>2</cp:revision>
  <dcterms:created xsi:type="dcterms:W3CDTF">2022-07-29T16:19:00Z</dcterms:created>
  <dcterms:modified xsi:type="dcterms:W3CDTF">2022-07-29T16:19:00Z</dcterms:modified>
</cp:coreProperties>
</file>