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C0F8E9" w14:textId="22BC127C" w:rsidR="002528D8" w:rsidRDefault="00D24ED1" w:rsidP="00D23535">
      <w:pPr>
        <w:pStyle w:val="Titre"/>
      </w:pPr>
      <w:r w:rsidRPr="00D24ED1">
        <w:t>Temporal and spatial variability in the hydrothermal signature of sinking particles and sediments in the Western Tropical South Pacific Ocean</w:t>
      </w:r>
    </w:p>
    <w:p w14:paraId="337586F1" w14:textId="68116F53" w:rsidR="002868E2" w:rsidRPr="00051076" w:rsidRDefault="00E67F35" w:rsidP="00E105A2">
      <w:pPr>
        <w:pStyle w:val="AuthorList"/>
        <w:jc w:val="both"/>
      </w:pPr>
      <w:r w:rsidRPr="00051076">
        <w:t>Chloé Tilliette</w:t>
      </w:r>
      <w:r w:rsidR="00A75F87" w:rsidRPr="00051076">
        <w:rPr>
          <w:vertAlign w:val="superscript"/>
        </w:rPr>
        <w:t>1</w:t>
      </w:r>
      <w:r w:rsidR="002868E2" w:rsidRPr="00051076">
        <w:t xml:space="preserve">, </w:t>
      </w:r>
      <w:r w:rsidR="00E105A2" w:rsidRPr="00051076">
        <w:t>Frédéric Gazeau</w:t>
      </w:r>
      <w:r w:rsidR="00E105A2" w:rsidRPr="00051076">
        <w:rPr>
          <w:vertAlign w:val="superscript"/>
        </w:rPr>
        <w:t>1</w:t>
      </w:r>
      <w:r w:rsidR="00E105A2" w:rsidRPr="00051076">
        <w:t>,</w:t>
      </w:r>
      <w:r w:rsidR="00E105A2">
        <w:t xml:space="preserve"> </w:t>
      </w:r>
      <w:r w:rsidR="00E105A2" w:rsidRPr="00051076">
        <w:t>Valérie Chavagnac</w:t>
      </w:r>
      <w:r w:rsidR="00E019B0">
        <w:rPr>
          <w:vertAlign w:val="superscript"/>
        </w:rPr>
        <w:t>2</w:t>
      </w:r>
      <w:r w:rsidR="00E105A2" w:rsidRPr="00051076">
        <w:t>,</w:t>
      </w:r>
      <w:r w:rsidR="00E105A2">
        <w:t xml:space="preserve"> </w:t>
      </w:r>
      <w:r w:rsidR="007371DE" w:rsidRPr="00051076">
        <w:t>Nathalie Leblond</w:t>
      </w:r>
      <w:r w:rsidR="007371DE" w:rsidRPr="00051076">
        <w:rPr>
          <w:vertAlign w:val="superscript"/>
        </w:rPr>
        <w:t>1</w:t>
      </w:r>
      <w:r w:rsidR="007371DE" w:rsidRPr="00051076">
        <w:t>, Maryline Montanes</w:t>
      </w:r>
      <w:r w:rsidR="007371DE" w:rsidRPr="00051076">
        <w:rPr>
          <w:vertAlign w:val="superscript"/>
        </w:rPr>
        <w:t>1</w:t>
      </w:r>
      <w:r w:rsidR="007371DE" w:rsidRPr="00051076">
        <w:t xml:space="preserve">, </w:t>
      </w:r>
      <w:r w:rsidRPr="00051076">
        <w:t>Karine Leblanc</w:t>
      </w:r>
      <w:r w:rsidR="00E019B0">
        <w:rPr>
          <w:vertAlign w:val="superscript"/>
        </w:rPr>
        <w:t>3</w:t>
      </w:r>
      <w:r w:rsidR="002868E2" w:rsidRPr="00051076">
        <w:t xml:space="preserve">, </w:t>
      </w:r>
      <w:r w:rsidRPr="00051076">
        <w:t>Sabine S</w:t>
      </w:r>
      <w:r w:rsidR="00276D78" w:rsidRPr="00051076">
        <w:t>chmidt</w:t>
      </w:r>
      <w:r w:rsidR="00E019B0">
        <w:rPr>
          <w:vertAlign w:val="superscript"/>
        </w:rPr>
        <w:t>4</w:t>
      </w:r>
      <w:r w:rsidRPr="00051076">
        <w:t xml:space="preserve">, </w:t>
      </w:r>
      <w:r w:rsidR="00051076" w:rsidRPr="00051076">
        <w:t>Bruno Charrière</w:t>
      </w:r>
      <w:r w:rsidR="00051076">
        <w:rPr>
          <w:vertAlign w:val="superscript"/>
        </w:rPr>
        <w:t>5</w:t>
      </w:r>
      <w:r w:rsidR="00051076" w:rsidRPr="00051076">
        <w:t>, Na</w:t>
      </w:r>
      <w:r w:rsidR="00051076">
        <w:t>gib Bhairy</w:t>
      </w:r>
      <w:r w:rsidR="00E019B0">
        <w:rPr>
          <w:vertAlign w:val="superscript"/>
        </w:rPr>
        <w:t>3</w:t>
      </w:r>
      <w:r w:rsidR="00051076">
        <w:t>,</w:t>
      </w:r>
      <w:r w:rsidR="00A54786">
        <w:t xml:space="preserve"> </w:t>
      </w:r>
      <w:r w:rsidRPr="00051076">
        <w:t>Cécile Guieu</w:t>
      </w:r>
      <w:r w:rsidR="00A75F87" w:rsidRPr="00051076">
        <w:rPr>
          <w:vertAlign w:val="superscript"/>
        </w:rPr>
        <w:t>1</w:t>
      </w:r>
      <w:r w:rsidRPr="00051076">
        <w:rPr>
          <w:vertAlign w:val="superscript"/>
        </w:rPr>
        <w:t>*</w:t>
      </w:r>
    </w:p>
    <w:p w14:paraId="03F38F52" w14:textId="77777777" w:rsidR="00E019B0" w:rsidRDefault="00E019B0" w:rsidP="00E019B0">
      <w:pPr>
        <w:pStyle w:val="Affiliation"/>
        <w:rPr>
          <w:lang w:val="fr-FR"/>
        </w:rPr>
      </w:pPr>
      <w:r w:rsidRPr="005F31FA">
        <w:rPr>
          <w:vertAlign w:val="superscript"/>
          <w:lang w:val="fr-FR"/>
        </w:rPr>
        <w:t>1</w:t>
      </w:r>
      <w:r w:rsidRPr="00FE458F">
        <w:rPr>
          <w:lang w:val="fr-FR"/>
        </w:rPr>
        <w:t>Sorbonne Université, CNRS, Laboratoire d’Océanographie de Villefranche, LOV, 06230,</w:t>
      </w:r>
      <w:r>
        <w:rPr>
          <w:lang w:val="fr-FR"/>
        </w:rPr>
        <w:t xml:space="preserve"> </w:t>
      </w:r>
      <w:r w:rsidRPr="00FE458F">
        <w:rPr>
          <w:lang w:val="fr-FR"/>
        </w:rPr>
        <w:t xml:space="preserve">Villefranche-sur-Mer, </w:t>
      </w:r>
      <w:r>
        <w:rPr>
          <w:lang w:val="fr-FR"/>
        </w:rPr>
        <w:t>France</w:t>
      </w:r>
    </w:p>
    <w:p w14:paraId="31CE01F3" w14:textId="0810FB56" w:rsidR="00E019B0" w:rsidRDefault="00E019B0" w:rsidP="00E019B0">
      <w:pPr>
        <w:rPr>
          <w:lang w:val="fr-FR"/>
        </w:rPr>
      </w:pPr>
      <w:r>
        <w:rPr>
          <w:vertAlign w:val="superscript"/>
          <w:lang w:val="fr-FR"/>
        </w:rPr>
        <w:t>2</w:t>
      </w:r>
      <w:r w:rsidRPr="00D0326A">
        <w:rPr>
          <w:lang w:val="fr-FR"/>
        </w:rPr>
        <w:t xml:space="preserve">Géosciences Environnement Toulouse, GET, CNRS, UPS, Université de Toulouse, IRD, Toulouse, </w:t>
      </w:r>
      <w:r>
        <w:rPr>
          <w:lang w:val="fr-FR"/>
        </w:rPr>
        <w:t>France</w:t>
      </w:r>
    </w:p>
    <w:p w14:paraId="472D9F5A" w14:textId="77777777" w:rsidR="00E019B0" w:rsidRPr="000B04BA" w:rsidRDefault="00E019B0" w:rsidP="00E019B0">
      <w:pPr>
        <w:rPr>
          <w:szCs w:val="24"/>
          <w:vertAlign w:val="superscript"/>
          <w:lang w:val="fr-FR"/>
        </w:rPr>
      </w:pPr>
      <w:r>
        <w:rPr>
          <w:szCs w:val="24"/>
          <w:vertAlign w:val="superscript"/>
          <w:lang w:val="fr-FR"/>
        </w:rPr>
        <w:t>3</w:t>
      </w:r>
      <w:r w:rsidRPr="00FA4744">
        <w:rPr>
          <w:lang w:val="fr-FR"/>
        </w:rPr>
        <w:t>Aix Marseille Univ</w:t>
      </w:r>
      <w:r>
        <w:rPr>
          <w:lang w:val="fr-FR"/>
        </w:rPr>
        <w:t>.</w:t>
      </w:r>
      <w:r w:rsidRPr="00FA4744">
        <w:rPr>
          <w:lang w:val="fr-FR"/>
        </w:rPr>
        <w:t>, Université de Toulon, CNRS, IRD, MIO, Marseille, France.</w:t>
      </w:r>
    </w:p>
    <w:p w14:paraId="25565FD0" w14:textId="4C7FF76D" w:rsidR="00436B97" w:rsidRDefault="00E019B0" w:rsidP="00E019B0">
      <w:pPr>
        <w:rPr>
          <w:color w:val="000000"/>
          <w:lang w:val="fr-FR"/>
        </w:rPr>
      </w:pPr>
      <w:r>
        <w:rPr>
          <w:szCs w:val="24"/>
          <w:vertAlign w:val="superscript"/>
          <w:lang w:val="fr-FR"/>
        </w:rPr>
        <w:t>4</w:t>
      </w:r>
      <w:bookmarkStart w:id="0" w:name="_Hlk125124338"/>
      <w:r w:rsidR="00436B97" w:rsidRPr="00436B97">
        <w:rPr>
          <w:color w:val="000000"/>
          <w:lang w:val="fr-FR"/>
        </w:rPr>
        <w:t xml:space="preserve">Univ. Bordeaux, CNRS, Bordeaux INP, EPOC, UMR 5805, F-33600 Pessac, </w:t>
      </w:r>
      <w:r w:rsidR="00436B97">
        <w:rPr>
          <w:color w:val="000000"/>
          <w:lang w:val="fr-FR"/>
        </w:rPr>
        <w:t>France</w:t>
      </w:r>
    </w:p>
    <w:bookmarkEnd w:id="0"/>
    <w:p w14:paraId="0DA18A72" w14:textId="0035A70D" w:rsidR="00E019B0" w:rsidRPr="00051076" w:rsidRDefault="00E019B0" w:rsidP="00E019B0">
      <w:pPr>
        <w:rPr>
          <w:szCs w:val="24"/>
          <w:lang w:val="fr-FR"/>
        </w:rPr>
      </w:pPr>
      <w:r>
        <w:rPr>
          <w:vertAlign w:val="superscript"/>
          <w:lang w:val="fr-FR"/>
        </w:rPr>
        <w:t>5</w:t>
      </w:r>
      <w:r w:rsidRPr="00051076">
        <w:rPr>
          <w:lang w:val="fr-FR"/>
        </w:rPr>
        <w:t xml:space="preserve">Centre de Formation et de Recherche sur l'Environnement Méditerranéen (CEFREM, UMR CNRS 5110), Bât. U, Université de Perpignan, Via </w:t>
      </w:r>
      <w:proofErr w:type="spellStart"/>
      <w:r w:rsidRPr="00051076">
        <w:rPr>
          <w:lang w:val="fr-FR"/>
        </w:rPr>
        <w:t>Domitia</w:t>
      </w:r>
      <w:proofErr w:type="spellEnd"/>
      <w:r w:rsidRPr="00051076">
        <w:rPr>
          <w:lang w:val="fr-FR"/>
        </w:rPr>
        <w:t xml:space="preserve"> (UPVD), Perpignan, France</w:t>
      </w:r>
    </w:p>
    <w:p w14:paraId="55458F15" w14:textId="6162CC59" w:rsidR="002868E2" w:rsidRPr="000B04BA" w:rsidRDefault="002868E2" w:rsidP="00D23535">
      <w:pPr>
        <w:spacing w:after="0"/>
        <w:rPr>
          <w:rFonts w:cs="Times New Roman"/>
          <w:b/>
          <w:szCs w:val="24"/>
          <w:lang w:val="fr-FR"/>
        </w:rPr>
      </w:pPr>
      <w:r w:rsidRPr="000B04BA">
        <w:rPr>
          <w:rFonts w:cs="Times New Roman"/>
          <w:b/>
          <w:szCs w:val="24"/>
          <w:lang w:val="fr-FR"/>
        </w:rPr>
        <w:t xml:space="preserve">* </w:t>
      </w:r>
      <w:proofErr w:type="spellStart"/>
      <w:proofErr w:type="gramStart"/>
      <w:r w:rsidRPr="000B04BA">
        <w:rPr>
          <w:rFonts w:cs="Times New Roman"/>
          <w:b/>
          <w:szCs w:val="24"/>
          <w:lang w:val="fr-FR"/>
        </w:rPr>
        <w:t>Correspondence</w:t>
      </w:r>
      <w:proofErr w:type="spellEnd"/>
      <w:r w:rsidRPr="000B04BA">
        <w:rPr>
          <w:rFonts w:cs="Times New Roman"/>
          <w:b/>
          <w:szCs w:val="24"/>
          <w:lang w:val="fr-FR"/>
        </w:rPr>
        <w:t>:</w:t>
      </w:r>
      <w:proofErr w:type="gramEnd"/>
      <w:r w:rsidRPr="000B04BA">
        <w:rPr>
          <w:rFonts w:cs="Times New Roman"/>
          <w:b/>
          <w:szCs w:val="24"/>
          <w:lang w:val="fr-FR"/>
        </w:rPr>
        <w:t xml:space="preserve"> </w:t>
      </w:r>
      <w:r w:rsidR="00671D9A" w:rsidRPr="000B04BA">
        <w:rPr>
          <w:rFonts w:cs="Times New Roman"/>
          <w:b/>
          <w:szCs w:val="24"/>
          <w:lang w:val="fr-FR"/>
        </w:rPr>
        <w:br/>
      </w:r>
      <w:r w:rsidR="000B04BA" w:rsidRPr="007E77E9">
        <w:rPr>
          <w:rFonts w:cs="Times New Roman"/>
          <w:szCs w:val="24"/>
          <w:lang w:val="fr-FR"/>
        </w:rPr>
        <w:t>C</w:t>
      </w:r>
      <w:r w:rsidR="00F75F28">
        <w:rPr>
          <w:rFonts w:cs="Times New Roman"/>
          <w:szCs w:val="24"/>
          <w:lang w:val="fr-FR"/>
        </w:rPr>
        <w:t>hloé Tilliette, C</w:t>
      </w:r>
      <w:r w:rsidR="000B04BA" w:rsidRPr="007E77E9">
        <w:rPr>
          <w:rFonts w:cs="Times New Roman"/>
          <w:szCs w:val="24"/>
          <w:lang w:val="fr-FR"/>
        </w:rPr>
        <w:t>écile Guieu</w:t>
      </w:r>
      <w:r w:rsidR="000B04BA" w:rsidRPr="007E77E9">
        <w:rPr>
          <w:rFonts w:cs="Times New Roman"/>
          <w:szCs w:val="24"/>
          <w:lang w:val="fr-FR"/>
        </w:rPr>
        <w:br/>
      </w:r>
      <w:hyperlink r:id="rId8" w:history="1">
        <w:r w:rsidR="00F75F28" w:rsidRPr="00E11148">
          <w:rPr>
            <w:rStyle w:val="Lienhypertexte"/>
            <w:lang w:val="fr-FR"/>
          </w:rPr>
          <w:t>chloe.tilliette@imev-mer.fr</w:t>
        </w:r>
      </w:hyperlink>
      <w:r w:rsidR="00F75F28">
        <w:rPr>
          <w:lang w:val="fr-FR"/>
        </w:rPr>
        <w:t xml:space="preserve">; </w:t>
      </w:r>
      <w:hyperlink r:id="rId9" w:history="1">
        <w:r w:rsidR="000B04BA" w:rsidRPr="007E77E9">
          <w:rPr>
            <w:rStyle w:val="Lienhypertexte"/>
            <w:rFonts w:cs="Times New Roman"/>
            <w:szCs w:val="24"/>
            <w:lang w:val="fr-FR"/>
          </w:rPr>
          <w:t>cecile.guieu@imev-mer.fr</w:t>
        </w:r>
      </w:hyperlink>
    </w:p>
    <w:p w14:paraId="688EE9ED" w14:textId="35F1106D" w:rsidR="00EA3D3C" w:rsidRDefault="00817DD6" w:rsidP="00D23535">
      <w:pPr>
        <w:pStyle w:val="AuthorList"/>
      </w:pPr>
      <w:r w:rsidRPr="00376CC5">
        <w:t xml:space="preserve">Keywords: </w:t>
      </w:r>
      <w:r w:rsidR="000B04BA">
        <w:t xml:space="preserve">hydrothermal sources, </w:t>
      </w:r>
      <w:r w:rsidR="000F4B55">
        <w:t>biological producti</w:t>
      </w:r>
      <w:r w:rsidR="00C958D1">
        <w:t>on</w:t>
      </w:r>
      <w:r w:rsidR="000F4B55">
        <w:t xml:space="preserve">, </w:t>
      </w:r>
      <w:r w:rsidR="002F25FA">
        <w:t xml:space="preserve">composition of </w:t>
      </w:r>
      <w:r w:rsidR="00D23535">
        <w:t xml:space="preserve">sinking </w:t>
      </w:r>
      <w:r w:rsidR="000F4B55">
        <w:t xml:space="preserve">and sedimented </w:t>
      </w:r>
      <w:r w:rsidR="00D23535">
        <w:t xml:space="preserve">material, </w:t>
      </w:r>
      <w:r w:rsidR="00A715E2">
        <w:t>metals</w:t>
      </w:r>
      <w:r w:rsidR="000B04BA">
        <w:t xml:space="preserve">, Tonga </w:t>
      </w:r>
      <w:r w:rsidR="000F4B55">
        <w:t xml:space="preserve">volcanic </w:t>
      </w:r>
      <w:r w:rsidR="001B4AFD">
        <w:t>A</w:t>
      </w:r>
      <w:r w:rsidR="000B04BA">
        <w:t>rc</w:t>
      </w:r>
      <w:r w:rsidR="00DF76C9">
        <w:t>, Western Tropical South Pacific Ocean</w:t>
      </w:r>
    </w:p>
    <w:p w14:paraId="3AB8360F" w14:textId="5E8DD018" w:rsidR="00E5263E" w:rsidRDefault="00E5263E" w:rsidP="00E5263E">
      <w:r>
        <w:t>Number of words:</w:t>
      </w:r>
      <w:r w:rsidR="00AB4AAE">
        <w:t xml:space="preserve"> </w:t>
      </w:r>
      <w:r w:rsidR="00673A74">
        <w:t>8,138</w:t>
      </w:r>
    </w:p>
    <w:p w14:paraId="7FCDD39C" w14:textId="719D2B39" w:rsidR="00E5263E" w:rsidRPr="00E5263E" w:rsidRDefault="00E5263E" w:rsidP="00E5263E">
      <w:r>
        <w:t>Number of tables/figures:</w:t>
      </w:r>
      <w:r w:rsidR="00AB4AAE">
        <w:t xml:space="preserve"> </w:t>
      </w:r>
      <w:r w:rsidR="008645BA">
        <w:t>3</w:t>
      </w:r>
      <w:r w:rsidR="00AB4AAE">
        <w:t xml:space="preserve"> tables, </w:t>
      </w:r>
      <w:r w:rsidR="00C52539">
        <w:t>7</w:t>
      </w:r>
      <w:r w:rsidR="00302318">
        <w:t xml:space="preserve"> </w:t>
      </w:r>
      <w:r w:rsidR="00AB4AAE">
        <w:t>figures</w:t>
      </w:r>
    </w:p>
    <w:p w14:paraId="4DB10602" w14:textId="02F043E2" w:rsidR="008E2B54" w:rsidRDefault="00EA3D3C" w:rsidP="00D23535">
      <w:pPr>
        <w:pStyle w:val="AuthorList"/>
        <w:spacing w:line="360" w:lineRule="auto"/>
      </w:pPr>
      <w:r w:rsidRPr="00376CC5">
        <w:t>Abstract</w:t>
      </w:r>
    </w:p>
    <w:p w14:paraId="2CFF1826" w14:textId="77777777" w:rsidR="007F4B8E" w:rsidRDefault="00ED1ED0" w:rsidP="00ED1ED0">
      <w:pPr>
        <w:pStyle w:val="NormalWeb"/>
        <w:spacing w:before="0" w:beforeAutospacing="0" w:after="200" w:afterAutospacing="0" w:line="480" w:lineRule="auto"/>
        <w:jc w:val="both"/>
        <w:rPr>
          <w:color w:val="000000"/>
        </w:rPr>
      </w:pPr>
      <w:r w:rsidRPr="00ED1ED0">
        <w:rPr>
          <w:color w:val="000000"/>
        </w:rPr>
        <w:t>Iron (Fe) is an essential micronutrient for phytoplankton, particularly diazotrophs, which are abundant in the Western Tropical South Pacific</w:t>
      </w:r>
      <w:r w:rsidR="00D43800">
        <w:rPr>
          <w:color w:val="000000"/>
        </w:rPr>
        <w:t xml:space="preserve"> Ocean</w:t>
      </w:r>
      <w:r w:rsidRPr="00ED1ED0">
        <w:rPr>
          <w:color w:val="000000"/>
        </w:rPr>
        <w:t xml:space="preserve"> (WTSP). Their success depends on the numerous trace metals, particularly iron, released from shallow hydrothermal vents along the Tonga Arc. This study aimed to explore the impact of hydrothermal fluids on particulate trace metal concentrations and biological activity. To identify the composition of sinking particles across a wide area of the WTSP, we deployed sediment traps at various depths, both close and further west of the Tonga Arc. Seafloor sediments were cored at the</w:t>
      </w:r>
      <w:r w:rsidR="00D43800">
        <w:rPr>
          <w:color w:val="000000"/>
        </w:rPr>
        <w:t>se</w:t>
      </w:r>
      <w:r w:rsidRPr="00ED1ED0">
        <w:rPr>
          <w:color w:val="000000"/>
        </w:rPr>
        <w:t xml:space="preserve"> deployment sites, including at a remote location in the South Pacific Gyre. The sinking particles were composed of a large amount of biological material, indicative of the </w:t>
      </w:r>
      <w:r w:rsidRPr="00ED1ED0">
        <w:rPr>
          <w:color w:val="000000"/>
        </w:rPr>
        <w:lastRenderedPageBreak/>
        <w:t>high productivity of the Lau Basin. A significant portion of this material was lithogenic of hydrothermal origin, as revealed through Al-Fe-Mn tracing. The sinking material showed similar patterns between lithogenic and biogenic fractions, indicating that hydrothermal input within the photic layer triggered surface production. A hydrothermal fingerprint was suggested in the sediments due to the high sedimentation rates and the presence of large, heterogeneous, trace metal-rich particles. The presence of nearby active deep hydrothermal sources was suspected near the Lau Ridge due to the large particle size and the significant enrichment of Fe and Mn. Overall, this study revealed that deep and shallow hydrothermal sources along with submarine volcanism have a significant influence on the biogeochemical signature of particles in the Lau Basin at large spatial and temporal scales.</w:t>
      </w:r>
    </w:p>
    <w:p w14:paraId="514E2A73" w14:textId="3D2F42F4" w:rsidR="007F4B8E" w:rsidRDefault="007F4B8E" w:rsidP="007F4B8E">
      <w:pPr>
        <w:pStyle w:val="AuthorList"/>
        <w:spacing w:line="360" w:lineRule="auto"/>
      </w:pPr>
      <w:r>
        <w:t>Plain Language Summary</w:t>
      </w:r>
    </w:p>
    <w:p w14:paraId="6B916C55" w14:textId="6218817E" w:rsidR="00ED1ED0" w:rsidRDefault="007F4B8E" w:rsidP="00ED1ED0">
      <w:pPr>
        <w:pStyle w:val="NormalWeb"/>
        <w:spacing w:before="0" w:beforeAutospacing="0" w:after="200" w:afterAutospacing="0" w:line="480" w:lineRule="auto"/>
        <w:jc w:val="both"/>
        <w:rPr>
          <w:color w:val="000000"/>
        </w:rPr>
      </w:pPr>
      <w:r w:rsidRPr="007F4B8E">
        <w:rPr>
          <w:color w:val="000000"/>
        </w:rPr>
        <w:t>Iron is an essential micronutrient for phytoplankton growth, especially diazotrophs. In a certain area of the Pacific Ocean, they can obtain the iron they need from material released by hydrothermal vents along the Tonga Arc. The aim of this study was to understand how hydrothermal sources affect the amount of iron and other materials released into the water column and their influence on phytoplankton. We collected sinking particles and seafloor sediments and examined their chemical composition. The sinking material consisted of a large amount of biological material, indicative of the high productivity of the area. A large part of the particles collected were minerals from hydrothermal vents. These biological and metallic materials displayed similar export patterns, indicating the role of hydrothermal sources in driving surface ocean productivity. Seafloor sediments were also influenced by hydrothermalism, as suggested by their high metal contents, high sedimentation rates and large, heterogeneous particle size. In addition, an undiscovered hydrothermal source was potentially identified near the Lau Ridge based on these data. Overall, this study revealed the significant impact of hydrothermalism on the biogeochemical signature of the particules in the Lau Basin at large spatial and temporal scales.</w:t>
      </w:r>
      <w:r w:rsidR="00ED1ED0">
        <w:rPr>
          <w:color w:val="000000"/>
        </w:rPr>
        <w:br w:type="page"/>
      </w:r>
    </w:p>
    <w:p w14:paraId="57F6A29A" w14:textId="35E7E87C" w:rsidR="00EA3D3C" w:rsidRDefault="00EA3D3C" w:rsidP="000D1D1D">
      <w:pPr>
        <w:pStyle w:val="Titre1"/>
      </w:pPr>
      <w:r w:rsidRPr="00376CC5">
        <w:lastRenderedPageBreak/>
        <w:t>Introduction</w:t>
      </w:r>
    </w:p>
    <w:p w14:paraId="1CCEA74E" w14:textId="3210FE08" w:rsidR="000B04BA" w:rsidRDefault="000B04BA" w:rsidP="00D23535">
      <w:pPr>
        <w:spacing w:line="480" w:lineRule="auto"/>
        <w:jc w:val="both"/>
      </w:pPr>
      <w:r>
        <w:t xml:space="preserve">The Western Tropical South Pacific (WTSP) Ocean (160 °E to 160 °W) has been identified as a hotspot </w:t>
      </w:r>
      <w:r w:rsidR="005F7097">
        <w:t>for</w:t>
      </w:r>
      <w:r>
        <w:t xml:space="preserve"> dinitrogen (N</w:t>
      </w:r>
      <w:r w:rsidRPr="000B04BA">
        <w:rPr>
          <w:vertAlign w:val="subscript"/>
        </w:rPr>
        <w:t>2</w:t>
      </w:r>
      <w:r>
        <w:t xml:space="preserve">) fixation by diazotroph organisms </w:t>
      </w:r>
      <w:r>
        <w:fldChar w:fldCharType="begin"/>
      </w:r>
      <w:r>
        <w:instrText xml:space="preserve"> ADDIN ZOTERO_ITEM CSL_CITATION {"citationID":"S0M3b6lR","properties":{"formattedCitation":"(Bonnet et al., 2017)","plainCitation":"(Bonnet et al., 2017)","noteIndex":0},"citationItems":[{"id":98,"uris":["http://zotero.org/users/local/01lnVYoF/items/ZEDBWJD8"],"itemData":{"id":98,"type":"article-journal","container-title":"Proceedings of the National Academy of Sciences","DOI":"10.1073/pnas.1619514114","ISSN":"0027-8424, 1091-6490","issue":"14","journalAbbreviation":"Proc Natl Acad Sci USA","language":"en","page":"E2800-E2801","source":"DOI.org (Crossref)","title":"Hot spot of N &lt;sub&gt;2&lt;/sub&gt; fixation in the western tropical South Pacific pleads for a spatial decoupling between N &lt;sub&gt;2&lt;/sub&gt; fixation and denitrification","volume":"114","author":[{"family":"Bonnet","given":"Sophie"},{"family":"Caffin","given":"Mathieu"},{"family":"Berthelot","given":"Hugo"},{"family":"Moutin","given":"Thierry"}],"issued":{"date-parts":[["2017",4,4]]}}}],"schema":"https://github.com/citation-style-language/schema/raw/master/csl-citation.json"} </w:instrText>
      </w:r>
      <w:r>
        <w:fldChar w:fldCharType="separate"/>
      </w:r>
      <w:r w:rsidRPr="000B04BA">
        <w:rPr>
          <w:rFonts w:cs="Times New Roman"/>
        </w:rPr>
        <w:t>(Bonnet et al., 2017)</w:t>
      </w:r>
      <w:r>
        <w:fldChar w:fldCharType="end"/>
      </w:r>
      <w:r>
        <w:t>. The success of these species relies on the high</w:t>
      </w:r>
      <w:r w:rsidR="005F7097">
        <w:t xml:space="preserve">, </w:t>
      </w:r>
      <w:r>
        <w:t>non-limiting</w:t>
      </w:r>
      <w:r w:rsidR="00CA4774">
        <w:t xml:space="preserve"> surface</w:t>
      </w:r>
      <w:r>
        <w:t xml:space="preserve"> concentrations of iron (Fe) in the region, as Fe is a major component of the nitrogenase enzyme </w:t>
      </w:r>
      <w:r w:rsidR="005F7097">
        <w:t>that catalyzes</w:t>
      </w:r>
      <w:r>
        <w:t xml:space="preserve"> the N</w:t>
      </w:r>
      <w:r w:rsidRPr="005F7097">
        <w:rPr>
          <w:vertAlign w:val="subscript"/>
        </w:rPr>
        <w:t>2</w:t>
      </w:r>
      <w:r>
        <w:t xml:space="preserve"> fixation process </w:t>
      </w:r>
      <w:r w:rsidR="00CA4774">
        <w:fldChar w:fldCharType="begin"/>
      </w:r>
      <w:r w:rsidR="00CA4774">
        <w:instrText xml:space="preserve"> ADDIN ZOTERO_ITEM CSL_CITATION {"citationID":"MSwzdDB4","properties":{"formattedCitation":"(Raven, 1988)","plainCitation":"(Raven, 1988)","noteIndex":0},"citationItems":[{"id":116,"uris":["http://zotero.org/users/local/01lnVYoF/items/WSDRXVF5"],"itemData":{"id":116,"type":"article-journal","container-title":"New Phytologist","DOI":"10.1111/j.1469-8137.1988.tb04196.x","ISSN":"0028-646X, 1469-8137","issue":"3","journalAbbreviation":"New Phytol","language":"en","page":"279-287","source":"DOI.org (Crossref)","title":"The iron and molybdenum use efficiencies of plant growth with different energy, carbon and nitrogen sources","volume":"109","author":[{"family":"Raven","given":"John A."}],"issued":{"date-parts":[["1988",7]]}}}],"schema":"https://github.com/citation-style-language/schema/raw/master/csl-citation.json"} </w:instrText>
      </w:r>
      <w:r w:rsidR="00CA4774">
        <w:fldChar w:fldCharType="separate"/>
      </w:r>
      <w:r w:rsidR="00CA4774" w:rsidRPr="00CA4774">
        <w:rPr>
          <w:rFonts w:cs="Times New Roman"/>
        </w:rPr>
        <w:t>(Raven, 1988)</w:t>
      </w:r>
      <w:r w:rsidR="00CA4774">
        <w:fldChar w:fldCharType="end"/>
      </w:r>
      <w:r w:rsidR="00CA4774">
        <w:t xml:space="preserve">. Recently, </w:t>
      </w:r>
      <w:r w:rsidR="00CA4774">
        <w:fldChar w:fldCharType="begin"/>
      </w:r>
      <w:r w:rsidR="00C04D3A">
        <w:instrText xml:space="preserve"> ADDIN ZOTERO_ITEM CSL_CITATION {"citationID":"5gQZRwuv","properties":{"formattedCitation":"(Tilliette et al., 2022)","plainCitation":"(Tilliette et al., 2022)","dontUpdate":true,"noteIndex":0},"citationItems":[{"id":819,"uris":["http://zotero.org/users/local/01lnVYoF/items/YIPANZYN"],"itemData":{"id":819,"type":"article-journal","container-title":"Global Biogeochemical Cycles","DOI":"10.1029/2022GB007363","ISSN":"0886-6236, 1944-9224","journalAbbreviation":"Global Biogeochemical Cycles","language":"en","source":"DOI.org (Crossref)","title":"Dissolved iron patterns impacted by shallow hydrothermal sources along a transect through the Tonga‐Kermadec arc","URL":"https://onlinelibrary.wiley.com/doi/10.1029/2022GB007363","author":[{"family":"Tilliette","given":"Chloé"},{"family":"Taillandier","given":"Vincent"},{"family":"Bouruet‐Aubertot","given":"Pascale"},{"family":"Grima","given":"Nicolas"},{"family":"Maes","given":"Christophe"},{"family":"Montanes","given":"Maryline"},{"family":"Sarthou","given":"Géraldine"},{"family":"Vorrath","given":"Maria-Elena"},{"family":"Arnone","given":"Veronica"},{"family":"Bressac","given":"Matthieu"},{"family":"González‐Santana","given":"David"},{"family":"Gazeau","given":"Frédéric"},{"family":"Guieu","given":"Cécile"}],"accessed":{"date-parts":[["2022",7,4]]},"issued":{"date-parts":[["2022",7,4]]}}}],"schema":"https://github.com/citation-style-language/schema/raw/master/csl-citation.json"} </w:instrText>
      </w:r>
      <w:r w:rsidR="00CA4774">
        <w:fldChar w:fldCharType="separate"/>
      </w:r>
      <w:r w:rsidR="00CA4774" w:rsidRPr="00CA4774">
        <w:rPr>
          <w:rFonts w:cs="Times New Roman"/>
        </w:rPr>
        <w:t>Tilliette et al.</w:t>
      </w:r>
      <w:r w:rsidR="00CA4774">
        <w:rPr>
          <w:rFonts w:cs="Times New Roman"/>
        </w:rPr>
        <w:t xml:space="preserve"> (</w:t>
      </w:r>
      <w:r w:rsidR="00CA4774" w:rsidRPr="00CA4774">
        <w:rPr>
          <w:rFonts w:cs="Times New Roman"/>
        </w:rPr>
        <w:t>2022)</w:t>
      </w:r>
      <w:r w:rsidR="00CA4774">
        <w:fldChar w:fldCharType="end"/>
      </w:r>
      <w:r w:rsidR="00CA4774">
        <w:t xml:space="preserve"> </w:t>
      </w:r>
      <w:r w:rsidR="004729D1">
        <w:rPr>
          <w:color w:val="000000"/>
        </w:rPr>
        <w:t xml:space="preserve">revealed that these high dissolved Fe (DFe) concentrations originate from shallow hydrothermal sources (&lt; 300 m) hosted along the Tonga-Kermadec </w:t>
      </w:r>
      <w:r w:rsidR="002B7E73">
        <w:rPr>
          <w:color w:val="000000"/>
        </w:rPr>
        <w:t>A</w:t>
      </w:r>
      <w:r w:rsidR="004729D1">
        <w:rPr>
          <w:color w:val="000000"/>
        </w:rPr>
        <w:t xml:space="preserve">rc that fertilize </w:t>
      </w:r>
      <w:r w:rsidR="00CA4774">
        <w:t xml:space="preserve">the photic zone of the entire Lau Basin with DFe, forming a productivity patch as large as 360,000 km² </w:t>
      </w:r>
      <w:r w:rsidR="00CA4774">
        <w:fldChar w:fldCharType="begin"/>
      </w:r>
      <w:r w:rsidR="000C69C7">
        <w:instrText xml:space="preserve"> ADDIN ZOTERO_ITEM CSL_CITATION {"citationID":"6wnOVMbj","properties":{"formattedCitation":"(Bonnet et al., in rev.)","plainCitation":"(Bonnet et al., in rev.)","dontUpdate":true,"noteIndex":0},"citationItems":[{"id":647,"uris":["http://zotero.org/users/local/01lnVYoF/items/EC2B7ZIW"],"itemData":{"id":647,"type":"article-journal","abstract":"Iron is an essential nutrient, regulating productivity in ~30% of the ocean. Compared to deep (&gt;2000 m) hydrothermal activity at mid-ocean ridges that provide iron to the ocean’s interior, shallow (&lt;500 m) hydrothermal fluids are likely to influence the surface’s ecosystem. However, their effect is unknown. Here we show that fluids emitted along the Tonga volcanic Arc (South Pacific) have a dramatic impact on iron concentrations in the photic layer through vertical diffusion. This enrichment stimulates biological activity, resulting in an extensive patch of chlorophyll. Diazotroph activity is 2-8 times higher, and carbon export fluxes 2-3 times, compared to adjacent unfertilized waters. Such findings reveal a novel mechanism of natural iron fertilization in the ocean, fueling regional hot spot sinks for atmospheric CO2.","container-title":"Science","title":"Natural iron fertilization by shallow hydrothermal sources fuels diazotroph blooms in the Ocean","author":[{"family":"Bonnet","given":"S."},{"family":"Guieu","given":"C."},{"family":"Taillandier","given":"V."},{"family":"Boulart","given":"C."},{"family":"Bouruet-Aubertot","given":"P."},{"family":"Gazeau","given":"F."},{"family":"Bressac","given":"M."},{"family":"Knapp","given":"A. N."},{"family":"Cuypers","given":"Y."},{"family":"González-Santana","given":"D."},{"family":"Forrer","given":"H. J."},{"family":"Grisoni","given":"J.-M."},{"family":"Grosso","given":"O."},{"family":"Habasque","given":"J."},{"family":"Jardin-Camps","given":"M."},{"family":"Leblond","given":"N."},{"family":"Le Moigne","given":"F."},{"family":"Lebourges-Dhaussy","given":"A."},{"family":"Lory","given":"C."},{"family":"Nunige","given":"S."},{"family":"Pulido-Villena","given":"E."},{"family":"Rizzo","given":"A. L."},{"family":"Sarthou","given":"G."},{"family":"Tilliette","given":"C."}],"issued":{"literal":"in rev."}}}],"schema":"https://github.com/citation-style-language/schema/raw/master/csl-citation.json"} </w:instrText>
      </w:r>
      <w:r w:rsidR="00CA4774">
        <w:fldChar w:fldCharType="separate"/>
      </w:r>
      <w:r w:rsidR="00CA4774" w:rsidRPr="00CA4774">
        <w:rPr>
          <w:rFonts w:cs="Times New Roman"/>
        </w:rPr>
        <w:t>(</w:t>
      </w:r>
      <w:r w:rsidR="000F35E7">
        <w:rPr>
          <w:rFonts w:cs="Times New Roman"/>
        </w:rPr>
        <w:t xml:space="preserve">analogous to the Caspian Sea area; </w:t>
      </w:r>
      <w:r w:rsidR="00CA4774" w:rsidRPr="00CA4774">
        <w:rPr>
          <w:rFonts w:cs="Times New Roman"/>
        </w:rPr>
        <w:t>Bonnet et al., in rev.)</w:t>
      </w:r>
      <w:r w:rsidR="00CA4774">
        <w:fldChar w:fldCharType="end"/>
      </w:r>
      <w:r w:rsidR="00CA4774">
        <w:t xml:space="preserve">. </w:t>
      </w:r>
    </w:p>
    <w:p w14:paraId="01CA4EEB" w14:textId="26F0E6FB" w:rsidR="00CA4774" w:rsidRPr="008A0469" w:rsidRDefault="00CA4774" w:rsidP="00D23535">
      <w:pPr>
        <w:spacing w:line="480" w:lineRule="auto"/>
        <w:jc w:val="both"/>
      </w:pPr>
      <w:r>
        <w:t xml:space="preserve">The Tonga-Kermadec </w:t>
      </w:r>
      <w:r w:rsidR="002B7E73">
        <w:t>A</w:t>
      </w:r>
      <w:r>
        <w:t xml:space="preserve">rc is the most linear, </w:t>
      </w:r>
      <w:r w:rsidR="0013093A">
        <w:t>convergent</w:t>
      </w:r>
      <w:r>
        <w:t xml:space="preserve"> and seismically active subduction zone on Earth </w:t>
      </w:r>
      <w:r>
        <w:fldChar w:fldCharType="begin"/>
      </w:r>
      <w:r>
        <w:instrText xml:space="preserve"> ADDIN ZOTERO_ITEM CSL_CITATION {"citationID":"xMvXO80p","properties":{"formattedCitation":"(Timm et al., 2013)","plainCitation":"(Timm et al., 2013)","noteIndex":0},"citationItems":[{"id":457,"uris":["http://zotero.org/users/local/01lnVYoF/items/Y59E7T9M"],"itemData":{"id":457,"type":"article-journal","container-title":"Nature Communications","DOI":"10.1038/ncomms2702","ISSN":"2041-1723","issue":"1","journalAbbreviation":"Nat Commun","language":"en","page":"1720","source":"DOI.org (Crossref)","title":"Louisville seamount subduction and its implication on mantle flow beneath the central Tonga–Kermadec arc","volume":"4","author":[{"family":"Timm","given":"Christian"},{"family":"Bassett","given":"Daniel"},{"family":"Graham","given":"Ian J."},{"family":"Leybourne","given":"Matthew I."},{"family":"Ronde","given":"Cornel E. J.","non-dropping-particle":"de"},{"family":"Woodhead","given":"Jon"},{"family":"Layton-Matthews","given":"Daniel"},{"family":"Watts","given":"Anthony B."}],"issued":{"date-parts":[["2013",6,26]]}}}],"schema":"https://github.com/citation-style-language/schema/raw/master/csl-citation.json"} </w:instrText>
      </w:r>
      <w:r>
        <w:fldChar w:fldCharType="separate"/>
      </w:r>
      <w:r w:rsidRPr="00CA4774">
        <w:rPr>
          <w:rFonts w:cs="Times New Roman"/>
        </w:rPr>
        <w:t>(Timm et al., 2013)</w:t>
      </w:r>
      <w:r>
        <w:fldChar w:fldCharType="end"/>
      </w:r>
      <w:r>
        <w:t xml:space="preserve"> and consequently exhibits the highest density of submarine volcanoes and associated hydrothermal sources </w:t>
      </w:r>
      <w:r>
        <w:fldChar w:fldCharType="begin"/>
      </w:r>
      <w:r w:rsidR="009A0C77">
        <w:instrText xml:space="preserve"> ADDIN ZOTERO_ITEM CSL_CITATION {"citationID":"bIlfa5cj","properties":{"formattedCitation":"(Massoth et al., 2007; Pelletier et al., 1998; Stoffers et al., 2006)","plainCitation":"(Massoth et al., 2007; Pelletier et al., 1998; Stoffers et al., 2006)","noteIndex":0},"citationItems":[{"id":63,"uris":["http://zotero.org/users/local/01lnVYoF/items/PUBS77XS"],"itemData":{"id":63,"type":"article-journal","container-title":"Geochemistry, Geophysics, Geosystems","DOI":"10.1029/2007GC001675","ISSN":"15252027","issue":"11","journalAbbreviation":"Geochem. Geophys. Geosyst.","language":"en","source":"DOI.org (Crossref)","title":"Multiple hydrothermal sources along the south Tonga arc and Valu Fa Ridge","title-short":"Multiple hydrothermal sources along the south Tonga arc and Valu Fa Ridge","URL":"http://doi.wiley.com/10.1029/2007GC001675","volume":"8","author":[{"family":"Massoth","given":"Gary"},{"family":"Baker","given":"Edward"},{"family":"Worthington","given":"Tim"},{"family":"Lupton","given":"John"},{"family":"Ronde","given":"Cornel","non-dropping-particle":"de"},{"family":"Arculus","given":"Richard"},{"family":"Walker","given":"Sharon"},{"family":"Nakamura","given":"Ko-ichi"},{"family":"Ishibashi","given":"Jun-ichiro"},{"family":"Stoffers","given":"Peter"},{"family":"Resing","given":"Joseph"},{"family":"Greene","given":"Ronald"},{"family":"Lebon","given":"Geoffrey"}],"accessed":{"date-parts":[["2020",4,28]]},"issued":{"date-parts":[["2007",11]]}}},{"id":88,"uris":["http://zotero.org/users/local/01lnVYoF/items/Z86BPXWD"],"itemData":{"id":88,"type":"article-journal","container-title":"Earth and Planetary Science Letters","DOI":"10.1016/S0012-821X(98)00212-X","ISSN":"0012821X","issue":"1-2","journalAbbreviation":"Earth and Planetary Science Letters","language":"en","page":"263-276","source":"DOI.org (Crossref)","title":"Current tectonics of the Tonga–New Hebrides region","volume":"164","author":[{"family":"Pelletier","given":"Bernard"},{"family":"Calmant","given":"Stephane"},{"family":"Pillet","given":"Robert"}],"issued":{"date-parts":[["1998",12]]}}},{"id":70,"uris":["http://zotero.org/users/local/01lnVYoF/items/E5VGNVME"],"itemData":{"id":70,"type":"article-journal","container-title":"Geology","DOI":"10.1130/G22227.1","ISSN":"0091-7613","issue":"6","journalAbbreviation":"Geol","language":"en","page":"453","source":"DOI.org (Crossref)","title":"Submarine volcanoes and high-temperature hydrothermal venting on the Tonga arc, southwest Pacific","volume":"34","author":[{"family":"Stoffers","given":"Peter"},{"family":"Worthington","given":"Tim J."},{"family":"Schwarz-Schampera","given":"Ulrich"},{"family":"Hannington","given":"Mark D."},{"family":"Massoth","given":"Gary J."},{"family":"Hekinian","given":"Roger"},{"family":"Schmidt","given":"Mark"},{"family":"Lundsten","given":"Lonny J."},{"family":"Evans","given":"Leigh J."},{"family":"Vaiomo'unga","given":"Rennie"},{"family":"Kerby","given":"Terry"}],"issued":{"date-parts":[["2006"]]}}}],"schema":"https://github.com/citation-style-language/schema/raw/master/csl-citation.json"} </w:instrText>
      </w:r>
      <w:r>
        <w:fldChar w:fldCharType="separate"/>
      </w:r>
      <w:r w:rsidR="009A0C77" w:rsidRPr="009A0C77">
        <w:rPr>
          <w:rFonts w:cs="Times New Roman"/>
        </w:rPr>
        <w:t>(Massoth et al., 2007; Pelletier et al., 1998; Stoffers et al., 2006)</w:t>
      </w:r>
      <w:r>
        <w:fldChar w:fldCharType="end"/>
      </w:r>
      <w:r w:rsidRPr="009A27B0">
        <w:t xml:space="preserve">. </w:t>
      </w:r>
      <w:r w:rsidRPr="00CA4774">
        <w:t>Such systems release extensive plumes enriched in numerous chemical s</w:t>
      </w:r>
      <w:r>
        <w:t>pecies relative to</w:t>
      </w:r>
      <w:r w:rsidR="004729D1">
        <w:t xml:space="preserve"> </w:t>
      </w:r>
      <w:r w:rsidR="009473FA">
        <w:t xml:space="preserve">the </w:t>
      </w:r>
      <w:r w:rsidR="004729D1">
        <w:t>overlying</w:t>
      </w:r>
      <w:r>
        <w:t xml:space="preserve"> water column </w:t>
      </w:r>
      <w:r>
        <w:fldChar w:fldCharType="begin"/>
      </w:r>
      <w:r>
        <w:instrText xml:space="preserve"> ADDIN ZOTERO_ITEM CSL_CITATION {"citationID":"gJHm16Us","properties":{"formattedCitation":"(Dick et al., 2013; Gonz\\uc0\\u225{}lez-Vega et al., 2020; Lilley et al., 2013)","plainCitation":"(Dick et al., 2013; González-Vega et al., 2020; Lilley et al., 2013)","noteIndex":0},"citationItems":[{"id":147,"uris":["http://zotero.org/users/local/01lnVYoF/items/7EKG3BN9"],"itemData":{"id":147,"type":"article-journal","container-title":"Frontiers in Microbiology","DOI":"10.3389/fmicb.2013.00124","ISSN":"1664-302X","journalAbbreviation":"Front. Microbiol.","source":"DOI.org (Crossref)","title":"The microbiology of deep-sea hydrothermal vent plumes: ecological and biogeographic linkages to seafloor and water column habitats","title-short":"The microbiology of deep-sea hydrothermal vent plumes","URL":"http://journal.frontiersin.org/article/10.3389/fmicb.2013.00124/abstract","volume":"4","author":[{"family":"Dick","given":"Gregory J."},{"family":"Anantharaman","given":"Karthik"},{"family":"Baker","given":"Brett J."},{"family":"Li","given":"Meng"},{"family":"Reed","given":"Daniel C."},{"family":"Sheik","given":"Cody S."}],"accessed":{"date-parts":[["2020",5,8]]},"issued":{"date-parts":[["2013"]]}}},{"id":114,"uris":["http://zotero.org/users/local/01lnVYoF/items/G7NU7TDR"],"itemData":{"id":114,"type":"article-journal","container-title":"Frontiers in Marine Science","DOI":"10.3389/fmars.2019.00829","ISSN":"2296-7745","journalAbbreviation":"Front. Mar. Sci.","page":"829","source":"DOI.org (Crossref)","title":"Significant Release of Dissolved Inorganic Nutrients From the Shallow Submarine Volcano Tagoro (Canary Islands) Based on Seven-Year Monitoring","volume":"6","author":[{"family":"González-Vega","given":"Alba"},{"family":"Fraile-Nuez","given":"Eugenio"},{"family":"Santana-Casiano","given":"J. Magdalena"},{"family":"González-Dávila","given":"Melchor"},{"family":"Escánez-Pérez","given":"José"},{"family":"Gómez-Ballesteros","given":"María"},{"family":"Tello","given":"Olvido"},{"family":"Arrieta","given":"Jesús M."}],"issued":{"date-parts":[["2020",1,21]]}}},{"id":4,"uris":["http://zotero.org/users/local/01lnVYoF/items/5H3DCMH4"],"itemData":{"id":4,"type":"chapter","abstract":"This chapter contains sections titled: Dissolved Constituents Utilized as Tracers Elemental Chemistry of Hydrothermal Particles Bacterial Activity within Plumes Organic Carbon Production within Plumes Zookanicton Activity Associated with Plumes Rlijnietracers of Vent F1eld Variability","container-title":"Seafloor Hydrothermal Systems: Physical, Chemical, Biological, and Geological Interactions","ISBN":"978-1-118-66399-8","language":"en","license":"Copyright 1995 by the American Geophysical Union.","note":"DOI: 10.1029/GM091p0369","page":"369-391","publisher":"American Geophysical Union (AGU)","source":"Wiley Online Library","title":"Chemical and Biochemical Transformations in Hydrothermal Plumes","URL":"https://agupubs.onlinelibrary.wiley.com/doi/abs/10.1029/GM091p0369","author":[{"family":"Lilley","given":"Marvin D."},{"family":"Feely","given":"Richard A."},{"family":"Trefry","given":"John H."}],"accessed":{"date-parts":[["2019",10,7]]},"issued":{"date-parts":[["2013"]]}}}],"schema":"https://github.com/citation-style-language/schema/raw/master/csl-citation.json"} </w:instrText>
      </w:r>
      <w:r>
        <w:fldChar w:fldCharType="separate"/>
      </w:r>
      <w:r w:rsidRPr="00CA4774">
        <w:rPr>
          <w:rFonts w:cs="Times New Roman"/>
          <w:szCs w:val="24"/>
        </w:rPr>
        <w:t>(Dick et al., 2013; González-Vega et al., 2020; Lilley et al., 2013)</w:t>
      </w:r>
      <w:r>
        <w:fldChar w:fldCharType="end"/>
      </w:r>
      <w:r>
        <w:t xml:space="preserve"> including gases </w:t>
      </w:r>
      <w:r w:rsidR="00EA4D3D">
        <w:t>(e.g., H</w:t>
      </w:r>
      <w:r w:rsidR="00EA4D3D" w:rsidRPr="00EA4D3D">
        <w:rPr>
          <w:vertAlign w:val="subscript"/>
        </w:rPr>
        <w:t>2</w:t>
      </w:r>
      <w:r w:rsidR="00EA4D3D">
        <w:t>S</w:t>
      </w:r>
      <w:r w:rsidR="004729D1">
        <w:t xml:space="preserve"> – hydrogen sulfide</w:t>
      </w:r>
      <w:r w:rsidR="00EA4D3D">
        <w:t>, CO</w:t>
      </w:r>
      <w:r w:rsidR="00EA4D3D" w:rsidRPr="00EA4D3D">
        <w:rPr>
          <w:vertAlign w:val="subscript"/>
        </w:rPr>
        <w:t>2</w:t>
      </w:r>
      <w:r w:rsidR="004729D1">
        <w:rPr>
          <w:vertAlign w:val="subscript"/>
        </w:rPr>
        <w:t xml:space="preserve"> </w:t>
      </w:r>
      <w:r w:rsidR="004729D1">
        <w:t>– carbon dioxide</w:t>
      </w:r>
      <w:r w:rsidR="00EA4D3D">
        <w:t>, CH</w:t>
      </w:r>
      <w:r w:rsidR="00EA4D3D" w:rsidRPr="00EA4D3D">
        <w:rPr>
          <w:vertAlign w:val="subscript"/>
        </w:rPr>
        <w:t>4</w:t>
      </w:r>
      <w:r w:rsidR="004729D1">
        <w:rPr>
          <w:vertAlign w:val="subscript"/>
        </w:rPr>
        <w:t xml:space="preserve"> </w:t>
      </w:r>
      <w:r w:rsidR="004729D1">
        <w:t>– methane</w:t>
      </w:r>
      <w:r w:rsidR="00EA4D3D">
        <w:t xml:space="preserve">), macronutrients </w:t>
      </w:r>
      <w:r w:rsidR="00BA56B2">
        <w:t>and</w:t>
      </w:r>
      <w:r w:rsidR="00EA4D3D">
        <w:t xml:space="preserve"> dissolved and particulate trace metals (e.g., Fe, Mn</w:t>
      </w:r>
      <w:r w:rsidR="00CA5B23">
        <w:t xml:space="preserve"> – manganese</w:t>
      </w:r>
      <w:r w:rsidR="00EA4D3D">
        <w:t>, Cu</w:t>
      </w:r>
      <w:r w:rsidR="00CA5B23">
        <w:t xml:space="preserve"> – copper</w:t>
      </w:r>
      <w:r w:rsidR="00EA4D3D">
        <w:t>, Zn</w:t>
      </w:r>
      <w:r w:rsidR="00CA5B23">
        <w:t xml:space="preserve"> – zinc</w:t>
      </w:r>
      <w:r w:rsidR="00EA4D3D">
        <w:t>, Pb</w:t>
      </w:r>
      <w:r w:rsidR="00CA5B23">
        <w:t xml:space="preserve"> – lead</w:t>
      </w:r>
      <w:r w:rsidR="00EA4D3D">
        <w:t>, Ni</w:t>
      </w:r>
      <w:r w:rsidR="00CA5B23">
        <w:t xml:space="preserve"> – nickel</w:t>
      </w:r>
      <w:r w:rsidR="00EA4D3D">
        <w:t xml:space="preserve">). In the Lau Basin, most of these plumes originate from sources located at depth (&gt; 1000 m; </w:t>
      </w:r>
      <w:r w:rsidR="00EA4D3D">
        <w:fldChar w:fldCharType="begin"/>
      </w:r>
      <w:r w:rsidR="00C04BF6">
        <w:instrText xml:space="preserve"> ADDIN ZOTERO_ITEM CSL_CITATION {"citationID":"YzOtj0qa","properties":{"formattedCitation":"(Beaulieu and Szafra\\uc0\\u324{}ski, 2020; Lupton et al., 2004; Massoth et al., 2007)","plainCitation":"(Beaulieu and Szafrański, 2020; Lupton et al., 2004; Massoth et al., 2007)","dontUpdate":true,"noteIndex":0},"citationItems":[{"id":1542,"uris":["http://zotero.org/users/local/01lnVYoF/items/EB8ZBT98"],"itemData":{"id":1542,"type":"document","abstract":"The purpose of the InterRidge Global Database of Active Submarine Hydrothermal Vent Fields, hereafter referred to as the \"InterRidge Vents Database,\" is to provide a comprehensive list of active submarine hydrothermal vent fields for use in academic research, education, and marine policy. This dataset includes a data table (flat file) and a map representing the InterRidge Vents Database Version 3.4. Version 3.4 was completed on 25 March 2020 with a total of 721 vent fields, with 666 confirmed or inferred active and 55 inactive (please note: the database is not comprehensive for inactive vent fields). The number of known active vent fields increased by 134 in the past decade since the publication of InterRidge Vents Database Version 2.1 (Beaulieu et al., 2013, doi:10.1002/2013GC004998).The contents of the InterRidge Vents Database were derived principally from the open literature. The database includes a vocabulary of vent field names and information that may be useful in mapping, including position (latitude, longitude), depth, region, tectonic setting, national jurisdiction, and ocean. Additional information includes names of individual vent sites within vent fields, spreading rate for those vent fields at spreading centers, maximum temperature or temperature category (high or low) for confirmed active vent fields, notes on site description and biology for some of the vent fields, year discovered, and references.The data table was exported from the online database at https://vents-data.interridge.org/ on 2020-03-25; several columns were removed with script available at https://github.com/sbeaulieu/vents-Drupal. We also provide a text file with definitions for the column headers in the data table.The map is provided in several formats and shows locations of all vent fields in Version 3.4 (downloaded from the online database on 2019-12-24) with bathymetry from NOAA ETOPO1. The map was created by Jyun-Nai Wu (University of California San Diego).The InterRidge Vents Database is supported by the InterRidge program for international cooperation in ocean floor studies. For Version 3.4, S. Beaulieu was supported by U.S. National Science Foundation awards #1558904 and #1829773.","language":"en","license":"Creative Commons Attribution Non Commercial Share Alike 4.0 International","note":"dimensions: 20 data points\nmedium: text/tab-separated-values\npage: 20 data points\ntype: dataset\nDOI: 10.1594/PANGAEA.917894","publisher":"PANGAEA - Data Publisher for Earth &amp; Environmental Science","source":"DOI.org (Datacite)","title":"InterRidge Global Database of Active Submarine Hydrothermal Vent Fields Version 3.4","URL":"https://doi.pangaea.de/10.1594/PANGAEA.917894","author":[{"family":"Beaulieu","given":"Stace E."},{"family":"Szafrański","given":"Kamil M."}],"accessed":{"date-parts":[["2022",12,5]]},"issued":{"date-parts":[["2020"]]}}},{"id":400,"uris":["http://zotero.org/users/local/01lnVYoF/items/6G9TAFE7"],"itemData":{"id":400,"type":"article-journal","container-title":"Geochemistry, Geophysics, Geosystems","DOI":"10.1029/2003GC000607","ISSN":"15252027","issue":"1","journalAbbreviation":"Geochem. Geophys. Geosyst.","language":"en","source":"DOI.org (Crossref)","title":"Evidence for an extensive hydrothermal plume in the Tonga-Fiji region of the South Pacific","title-short":"Evidence for an extensive hydrothermal plume in the Tonga-Fiji region of the South Pacific","URL":"http://doi.wiley.com/10.1029/2003GC000607","volume":"5","author":[{"family":"Lupton","given":"John E."},{"family":"Pyle","given":"Douglas G."},{"family":"Jenkins","given":"William J."},{"family":"Greene","given":"Ronald"},{"family":"Evans","given":"Leigh"}],"accessed":{"date-parts":[["2021",11,29]]},"issued":{"date-parts":[["2004",1]]}}},{"id":63,"uris":["http://zotero.org/users/local/01lnVYoF/items/PUBS77XS"],"itemData":{"id":63,"type":"article-journal","container-title":"Geochemistry, Geophysics, Geosystems","DOI":"10.1029/2007GC001675","ISSN":"15252027","issue":"11","journalAbbreviation":"Geochem. Geophys. Geosyst.","language":"en","source":"DOI.org (Crossref)","title":"Multiple hydrothermal sources along the south Tonga arc and Valu Fa Ridge","title-short":"Multiple hydrothermal sources along the south Tonga arc and Valu Fa Ridge","URL":"http://doi.wiley.com/10.1029/2007GC001675","volume":"8","author":[{"family":"Massoth","given":"Gary"},{"family":"Baker","given":"Edward"},{"family":"Worthington","given":"Tim"},{"family":"Lupton","given":"John"},{"family":"Ronde","given":"Cornel","non-dropping-particle":"de"},{"family":"Arculus","given":"Richard"},{"family":"Walker","given":"Sharon"},{"family":"Nakamura","given":"Ko-ichi"},{"family":"Ishibashi","given":"Jun-ichiro"},{"family":"Stoffers","given":"Peter"},{"family":"Resing","given":"Joseph"},{"family":"Greene","given":"Ronald"},{"family":"Lebon","given":"Geoffrey"}],"accessed":{"date-parts":[["2020",4,28]]},"issued":{"date-parts":[["2007",11]]}}}],"schema":"https://github.com/citation-style-language/schema/raw/master/csl-citation.json"} </w:instrText>
      </w:r>
      <w:r w:rsidR="00EA4D3D">
        <w:fldChar w:fldCharType="separate"/>
      </w:r>
      <w:r w:rsidR="00BA56B2" w:rsidRPr="00BA56B2">
        <w:rPr>
          <w:rFonts w:cs="Times New Roman"/>
          <w:szCs w:val="24"/>
        </w:rPr>
        <w:t>Beaulieu and Szafrański, 2020; Lupton et al., 2004; Massoth et al., 2007)</w:t>
      </w:r>
      <w:r w:rsidR="00EA4D3D">
        <w:fldChar w:fldCharType="end"/>
      </w:r>
      <w:r w:rsidR="00EA4D3D">
        <w:t xml:space="preserve">, but shallower active sources (&lt; 500 m) have also been identified </w:t>
      </w:r>
      <w:r w:rsidR="00EA4D3D">
        <w:fldChar w:fldCharType="begin"/>
      </w:r>
      <w:r w:rsidR="00A77DD2">
        <w:instrText xml:space="preserve"> ADDIN ZOTERO_ITEM CSL_CITATION {"citationID":"uLHrGLaY","properties":{"formattedCitation":"(Beaulieu and Szafra\\uc0\\u324{}ski, 2020; Guieu et al., 2018; Massoth et al., 2007)","plainCitation":"(Beaulieu and Szafrański, 2020; Guieu et al., 2018; Massoth et al., 2007)","noteIndex":0},"citationItems":[{"id":1542,"uris":["http://zotero.org/users/local/01lnVYoF/items/EB8ZBT98"],"itemData":{"id":1542,"type":"document","abstract":"The purpose of the InterRidge Global Database of Active Submarine Hydrothermal Vent Fields, hereafter referred to as the \"InterRidge Vents Database,\" is to provide a comprehensive list of active submarine hydrothermal vent fields for use in academic research, education, and marine policy. This dataset includes a data table (flat file) and a map representing the InterRidge Vents Database Version 3.4. Version 3.4 was completed on 25 March 2020 with a total of 721 vent fields, with 666 confirmed or inferred active and 55 inactive (please note: the database is not comprehensive for inactive vent fields). The number of known active vent fields increased by 134 in the past decade since the publication of InterRidge Vents Database Version 2.1 (Beaulieu et al., 2013, doi:10.1002/2013GC004998).The contents of the InterRidge Vents Database were derived principally from the open literature. The database includes a vocabulary of vent field names and information that may be useful in mapping, including position (latitude, longitude), depth, region, tectonic setting, national jurisdiction, and ocean. Additional information includes names of individual vent sites within vent fields, spreading rate for those vent fields at spreading centers, maximum temperature or temperature category (high or low) for confirmed active vent fields, notes on site description and biology for some of the vent fields, year discovered, and references.The data table was exported from the online database at https://vents-data.interridge.org/ on 2020-03-25; several columns were removed with script available at https://github.com/sbeaulieu/vents-Drupal. We also provide a text file with definitions for the column headers in the data table.The map is provided in several formats and shows locations of all vent fields in Version 3.4 (downloaded from the online database on 2019-12-24) with bathymetry from NOAA ETOPO1. The map was created by Jyun-Nai Wu (University of California San Diego).The InterRidge Vents Database is supported by the InterRidge program for international cooperation in ocean floor studies. For Version 3.4, S. Beaulieu was supported by U.S. National Science Foundation awards #1558904 and #1829773.","language":"en","license":"Creative Commons Attribution Non Commercial Share Alike 4.0 International","note":"dimensions: 20 data points\nmedium: text/tab-separated-values\npage: 20 data points\ntype: dataset\nDOI: 10.1594/PANGAEA.917894","publisher":"PANGAEA - Data Publisher for Earth &amp; Environmental Science","source":"DOI.org (Datacite)","title":"InterRidge Global Database of Active Submarine Hydrothermal Vent Fields Version 3.4","URL":"https://doi.pangaea.de/10.1594/PANGAEA.917894","author":[{"family":"Beaulieu","given":"Stace E."},{"family":"Szafrański","given":"Kamil M."}],"accessed":{"date-parts":[["2022",12,5]]},"issued":{"date-parts":[["2020"]]}}},{"id":13,"uris":["http://zotero.org/users/local/01lnVYoF/items/KFZLG3U9"],"itemData":{"id":13,"type":"article-journal","abstract":"In the Western Tropical South Pacific, patches of high chlorophyll concentrations linked to the occurrence of N2-fixing organisms are found in the vicinity of volcanic islands. The survival of these organisms relies on a high bioavailable iron supply whose origin and fluxes remain unknown. Here, we measured high dissolved iron (DFe) concentrations (up to 66 nM) in the euphotic layer, extending zonally over 10 degrees longitude (174 E−175 W) at </w:instrText>
      </w:r>
      <w:r w:rsidR="00A77DD2">
        <w:rPr>
          <w:rFonts w:ascii="Cambria Math" w:hAnsi="Cambria Math" w:cs="Cambria Math"/>
        </w:rPr>
        <w:instrText>∼</w:instrText>
      </w:r>
      <w:r w:rsidR="00A77DD2">
        <w:instrText>20</w:instrText>
      </w:r>
      <w:r w:rsidR="00A77DD2">
        <w:rPr>
          <w:rFonts w:cs="Times New Roman"/>
        </w:rPr>
        <w:instrText>°</w:instrText>
      </w:r>
      <w:r w:rsidR="00A77DD2">
        <w:instrText xml:space="preserve">S latitude. DFe atmospheric fluxes were at the lower end of reported values of the remote ocean and could not explain the high DFe concentrations measured in the water column in the vicinity of Tonga. We argue that the high DFe concentrations may be sustained by a submarine source, also characterized by freshwater input and recorded as salinity anomalies by Argo float in situ measurements and atlas data. The observed negative salinity anomalies are reproduced by simulations from a general ocean circulation model. Submarine iron sources reaching the euphotic layer may impact nitrogen fixation across the whole region.","container-title":"Scientific Reports","DOI":"10.1038/s41598-018-27407-z","ISSN":"2045-2322","issue":"1","journalAbbreviation":"Sci Rep","language":"en","license":"2018 The Author(s)","page":"1-9","source":"www.nature.com","title":"Iron from a submarine source impacts the productive layer of the Western Tropical South Pacific (WTSP)","volume":"8","author":[{"family":"Guieu","given":"Cécile"},{"family":"Bonnet","given":"Sophie"},{"family":"Petrenko","given":"Anne"},{"family":"Menkes","given":"Christophe"},{"family":"Chavagnac","given":"Valérie"},{"family":"Desboeufs","given":"Karine"},{"family":"Maes","given":"Christophe"},{"family":"Moutin","given":"Thierry"}],"issued":{"date-parts":[["2018",6,13]]}}},{"id":63,"uris":["http://zotero.org/users/local/01lnVYoF/items/PUBS77XS"],"itemData":{"id":63,"type":"article-journal","container-title":"Geochemistry, Geophysics, Geosystems","DOI":"10.1029/2007GC001675","ISSN":"15252027","issue":"11","journalAbbreviation":"Geochem. Geophys. Geosyst.","language":"en","source":"DOI.org (Crossref)","title":"Multiple hydrothermal sources along the south Tonga arc and Valu Fa Ridge","title-short":"Multiple hydrothermal sources along the south Tonga arc and Valu Fa Ridge","URL":"http://doi.wiley.com/10.1029/2007GC001675","volume":"8","author":[{"family":"Massoth","given":"Gary"},{"family":"Baker","given":"Edward"},{"family":"Worthington","given":"Tim"},{"family":"Lupton","given":"John"},{"family":"Ronde","given":"Cornel","non-dropping-particle":"de"},{"family":"Arculus","given":"Richard"},{"family":"Walker","given":"Sharon"},{"family":"Nakamura","given":"Ko-ichi"},{"family":"Ishibashi","given":"Jun-ichiro"},{"family":"Stoffers","given":"Peter"},{"family":"Resing","given":"Joseph"},{"family":"Greene","given":"Ronald"},{"family":"Lebon","given":"Geoffrey"}],"accessed":{"date-parts":[["2020",4,28]]},"issued":{"date-parts":[["2007",11]]}}}],"schema":"https://github.com/citation-style-language/schema/raw/master/csl-citation.json"} </w:instrText>
      </w:r>
      <w:r w:rsidR="00EA4D3D">
        <w:fldChar w:fldCharType="separate"/>
      </w:r>
      <w:r w:rsidR="00A77DD2" w:rsidRPr="00A77DD2">
        <w:rPr>
          <w:rFonts w:cs="Times New Roman"/>
          <w:szCs w:val="24"/>
        </w:rPr>
        <w:t>(Beaulieu and Szafrański, 2020; Guieu et al., 2018; Massoth et al., 2007)</w:t>
      </w:r>
      <w:r w:rsidR="00EA4D3D">
        <w:fldChar w:fldCharType="end"/>
      </w:r>
      <w:r w:rsidR="00EA4D3D">
        <w:t xml:space="preserve">. </w:t>
      </w:r>
      <w:r w:rsidR="00C700EC">
        <w:t>Two</w:t>
      </w:r>
      <w:r w:rsidR="00EA4D3D">
        <w:t xml:space="preserve"> shallow hydrothermal s</w:t>
      </w:r>
      <w:r w:rsidR="00A10334">
        <w:t>it</w:t>
      </w:r>
      <w:r w:rsidR="00EA4D3D">
        <w:t xml:space="preserve">es were investigated as part of the TONGA cruise </w:t>
      </w:r>
      <w:r w:rsidR="00EA4D3D">
        <w:fldChar w:fldCharType="begin"/>
      </w:r>
      <w:r w:rsidR="00EA4D3D">
        <w:instrText xml:space="preserve"> ADDIN ZOTERO_ITEM CSL_CITATION {"citationID":"2zlseVFh","properties":{"formattedCitation":"(Guieu and Bonnet, 2019)","plainCitation":"(Guieu and Bonnet, 2019)","noteIndex":0},"citationItems":[{"id":241,"uris":["http://zotero.org/users/local/01lnVYoF/items/JPJSNLYH"],"itemData":{"id":241,"type":"article-journal","abstract":"Les objectifs de la campagne étaient d'étudier au moins 2 volcans actifs, sièges de sites hydrothermaux peu profonds (&amp;lt; 500 m) pouvant libérer des éléments chimiques capables de fertiliser et/ou d'être toxique pour l'assemblage naturel de l'écosystème présent. Plus précisément, le 1&lt;sup&gt;er&lt;/sup&gt; objectif de la campagne TONGA consistait à caractériser chimiquement et optiquement les fluides hydrothermaux et à comparer la source du fond (fluides hydrothermaux peu profonds) avec la source atmosphérique; le 2&lt;sup&gt;ème&lt;/sup&gt; objectif était lié à l'étude de la dispersion dynamique des fluides à petite échelle et à l'échelle régionale; la troisième tâche consistait à étudier l'impact des sources hydrothermales peu profondes sur l'activité et la diversité biologiques, et la rétroaction vers l'atmosphère via les émissions océaniques d'aérosols primaires et secondaires.Un objectif important était de communiquer pendant la campagne vers le grand public ce qui s'est fait principalement par l'alimentation d'un compte Tweeter (https://twitter.com/tongaproject). Le volet \"Education\" de la campagne a été réalisé en collaboration avec le projet \"Adopt-a-float\" (https://twitter.com/AdoptaFloat) et deux flotteurs ont été \"adoptés\" par des enfants de deux écoles (une à Nouméa et une à Abu Dhabi) et les scientifiques ont pu initier les enfants aux problématiques de l'océan en plusieurs occasions auprès de ces classes.La position des stations d'échantillonnage a été constamment réévaluée pendant la campagne pour atteindre les objectifs : un long transect d'ouest en est (jusqu'aux abysses du gyre) a permis de caractériser les différentes provinces biogéochimiques traversées et un focus dans la région du bassin du Lau a permis d'étudier l'impact des sources hydrothermales peu profondes.Une série de stations courtes et longues a permis de caractériser pleinement les stocks et les flux dans les différentes provinces. Des études de processus à court terme (jusqu'à 10 jours) ont été menées (grâce à des mouillages dérivants et des expériences conduites en minicosmes). Un mouillage fixe déployé dans le bassin de Lau permettra d'étudier l'exportation de carbone et de métaux à l'échelle temporelle annuelle (récupération du mouillage prévue en Nov 2020 sur l'Alis, mission \"Tonga-Recup\"). En plus de l'équipe embarquée à bord du R/V Atalante, plusieurs scientifiques nous ont assisté à terre pour nous conseiller sur les sites actifs potentiels que nous pourrions visiter, sur l'état dynamique de la zone ciblée et aussi spécifiquement sur l'interprétation du relevé acoustique au-dessus des volcans.","DOI":"10.17600/18000884","note":"publisher: Sismer","source":"DOI.org (Datacite)","title":"TONGA cruise 2019, L'Atalante R/V","URL":"https://campagnes.flotteoceanographique.fr/campagnes/18000884/","author":[{"family":"Guieu","given":"Cécile"},{"family":"Bonnet","given":"Sophie"}],"accessed":{"date-parts":[["2020",5,29]]},"issued":{"date-parts":[["2019"]]}}}],"schema":"https://github.com/citation-style-language/schema/raw/master/csl-citation.json"} </w:instrText>
      </w:r>
      <w:r w:rsidR="00EA4D3D">
        <w:fldChar w:fldCharType="separate"/>
      </w:r>
      <w:r w:rsidR="00EA4D3D" w:rsidRPr="00EA4D3D">
        <w:rPr>
          <w:rFonts w:cs="Times New Roman"/>
        </w:rPr>
        <w:t>(Guieu and Bonnet, 2019)</w:t>
      </w:r>
      <w:r w:rsidR="00EA4D3D">
        <w:fldChar w:fldCharType="end"/>
      </w:r>
      <w:r w:rsidR="00EA4D3D">
        <w:t>, revealing an 80-fold enrich</w:t>
      </w:r>
      <w:r w:rsidR="008806E5">
        <w:t>ment of</w:t>
      </w:r>
      <w:r w:rsidR="00EA4D3D">
        <w:t xml:space="preserve"> DFe concentrations </w:t>
      </w:r>
      <w:r w:rsidR="001B291B">
        <w:t xml:space="preserve">(&lt; 0.45 µm) </w:t>
      </w:r>
      <w:r w:rsidR="00EA4D3D">
        <w:t>above the source relative to un</w:t>
      </w:r>
      <w:r w:rsidR="0092120E">
        <w:t>impacted</w:t>
      </w:r>
      <w:r w:rsidR="00EA4D3D">
        <w:t xml:space="preserve"> waters of the WTSP </w:t>
      </w:r>
      <w:r w:rsidR="00EA4D3D">
        <w:fldChar w:fldCharType="begin"/>
      </w:r>
      <w:r w:rsidR="00EA4D3D">
        <w:instrText xml:space="preserve"> ADDIN ZOTERO_ITEM CSL_CITATION {"citationID":"s8On1kIj","properties":{"formattedCitation":"(Tilliette et al., 2022)","plainCitation":"(Tilliette et al., 2022)","noteIndex":0},"citationItems":[{"id":819,"uris":["http://zotero.org/users/local/01lnVYoF/items/YIPANZYN"],"itemData":{"id":819,"type":"article-journal","container-title":"Global Biogeochemical Cycles","DOI":"10.1029/2022GB007363","ISSN":"0886-6236, 1944-9224","journalAbbreviation":"Global Biogeochemical Cycles","language":"en","source":"DOI.org (Crossref)","title":"Dissolved iron patterns impacted by shallow hydrothermal sources along a transect through the Tonga‐Kermadec arc","URL":"https://onlinelibrary.wiley.com/doi/10.1029/2022GB007363","author":[{"family":"Tilliette","given":"Chloé"},{"family":"Taillandier","given":"Vincent"},{"family":"Bouruet‐Aubertot","given":"Pascale"},{"family":"Grima","given":"Nicolas"},{"family":"Maes","given":"Christophe"},{"family":"Montanes","given":"Maryline"},{"family":"Sarthou","given":"Géraldine"},{"family":"Vorrath","given":"Maria-Elena"},{"family":"Arnone","given":"Veronica"},{"family":"Bressac","given":"Matthieu"},{"family":"González‐Santana","given":"David"},{"family":"Gazeau","given":"Frédéric"},{"family":"Guieu","given":"Cécile"}],"accessed":{"date-parts":[["2022",7,4]]},"issued":{"date-parts":[["2022",7,4]]}}}],"schema":"https://github.com/citation-style-language/schema/raw/master/csl-citation.json"} </w:instrText>
      </w:r>
      <w:r w:rsidR="00EA4D3D">
        <w:fldChar w:fldCharType="separate"/>
      </w:r>
      <w:r w:rsidR="00EA4D3D" w:rsidRPr="00EA4D3D">
        <w:rPr>
          <w:rFonts w:cs="Times New Roman"/>
        </w:rPr>
        <w:t>(Tilliette et al., 2022)</w:t>
      </w:r>
      <w:r w:rsidR="00EA4D3D">
        <w:fldChar w:fldCharType="end"/>
      </w:r>
      <w:r w:rsidR="00EA4D3D">
        <w:t>. Despite the</w:t>
      </w:r>
      <w:r w:rsidR="00BA56B2">
        <w:t>ir</w:t>
      </w:r>
      <w:r w:rsidR="00EA4D3D">
        <w:t xml:space="preserve"> decrease toward</w:t>
      </w:r>
      <w:r w:rsidR="00CA5B23">
        <w:t>s</w:t>
      </w:r>
      <w:r w:rsidR="00EA4D3D">
        <w:t xml:space="preserve"> the surface, elevated concentrations (0.6-10 nmol L</w:t>
      </w:r>
      <w:r w:rsidR="00EA4D3D" w:rsidRPr="00EA4D3D">
        <w:rPr>
          <w:vertAlign w:val="superscript"/>
        </w:rPr>
        <w:t>-1</w:t>
      </w:r>
      <w:r w:rsidR="00EA4D3D">
        <w:t>) persisted in the photic layer (0-150 m)</w:t>
      </w:r>
      <w:r w:rsidR="005756F0">
        <w:t xml:space="preserve"> </w:t>
      </w:r>
      <w:r w:rsidR="00CA5B23">
        <w:rPr>
          <w:color w:val="000000"/>
        </w:rPr>
        <w:t>allowing to sustain high rates of primary production</w:t>
      </w:r>
      <w:r w:rsidR="00EA4D3D">
        <w:t xml:space="preserve">. </w:t>
      </w:r>
      <w:r w:rsidR="00C700EC">
        <w:t>A</w:t>
      </w:r>
      <w:r w:rsidR="00EA4D3D">
        <w:t xml:space="preserve">lthough the effects of such </w:t>
      </w:r>
      <w:r w:rsidR="00372151">
        <w:t xml:space="preserve">hydrothermal </w:t>
      </w:r>
      <w:r w:rsidR="00EA4D3D">
        <w:t>fertilization on b</w:t>
      </w:r>
      <w:r w:rsidR="0092120E">
        <w:t xml:space="preserve">iological </w:t>
      </w:r>
      <w:r w:rsidR="0092120E">
        <w:lastRenderedPageBreak/>
        <w:t xml:space="preserve">activity </w:t>
      </w:r>
      <w:r w:rsidR="00EA4D3D">
        <w:t>are beginning to be elucidated</w:t>
      </w:r>
      <w:r w:rsidR="008122D2">
        <w:t xml:space="preserve"> on </w:t>
      </w:r>
      <w:r w:rsidR="00372151">
        <w:t>short temporal scales</w:t>
      </w:r>
      <w:r w:rsidR="008122D2">
        <w:t xml:space="preserve"> (Tilliette et al., in rev.)</w:t>
      </w:r>
      <w:r w:rsidR="00EA4D3D">
        <w:t xml:space="preserve">, </w:t>
      </w:r>
      <w:r w:rsidR="00372151">
        <w:t xml:space="preserve">its effects on the biogeochemical signature of </w:t>
      </w:r>
      <w:r w:rsidR="00372151" w:rsidRPr="008A0469">
        <w:t xml:space="preserve">the exported and sedimented particles on larger temporal and spatial scales remain unclear. </w:t>
      </w:r>
    </w:p>
    <w:p w14:paraId="292AC234" w14:textId="01E65DFE" w:rsidR="00EF5CCB" w:rsidRDefault="00EF5CCB" w:rsidP="00D23535">
      <w:pPr>
        <w:spacing w:line="480" w:lineRule="auto"/>
        <w:jc w:val="both"/>
      </w:pPr>
      <w:r w:rsidRPr="008A0469">
        <w:t xml:space="preserve">Sediment traps are </w:t>
      </w:r>
      <w:r w:rsidR="00C700EC">
        <w:t>classically used</w:t>
      </w:r>
      <w:r w:rsidRPr="008A0469">
        <w:t xml:space="preserve"> to explore biogeochemical cycles in the ocean and </w:t>
      </w:r>
      <w:r w:rsidR="008A0469" w:rsidRPr="008A0469">
        <w:t>since pioneering studies (</w:t>
      </w:r>
      <w:r w:rsidR="008A0469" w:rsidRPr="008A0469">
        <w:fldChar w:fldCharType="begin"/>
      </w:r>
      <w:r w:rsidR="00C04BF6">
        <w:instrText xml:space="preserve"> ADDIN ZOTERO_ITEM CSL_CITATION {"citationID":"YnDK4QWm","properties":{"formattedCitation":"(Deuser, 1987; Deuser and Ross, 1980; Honjo et al., 1992)","plainCitation":"(Deuser, 1987; Deuser and Ross, 1980; Honjo et al., 1992)","dontUpdate":true,"noteIndex":0},"citationItems":[{"id":1125,"uris":["http://zotero.org/users/local/01lnVYoF/items/S7GNADK5"],"itemData":{"id":1125,"type":"article-journal","container-title":"The Journal of Foraminiferal Research","DOI":"10.2113/gsjfr.17.1.14","ISSN":"0096-1191","issue":"1","journalAbbreviation":"The Journal of Foraminiferal Research","language":"en","page":"14-27","source":"DOI.org (Crossref)","title":"Seasonal variations in isotopic composition and deep-water fluxes of the tests of perennially abundant planktonic foraminifera of the Sargasso Sea; results from sediment-trap collections and their paleoceanographic significance","volume":"17","author":[{"family":"Deuser","given":"W. G."}],"issued":{"date-parts":[["1987",1,1]]}}},{"id":1123,"uris":["http://zotero.org/users/local/01lnVYoF/items/8XFZN74G"],"itemData":{"id":1123,"type":"article-journal","container-title":"Nature","DOI":"10.1038/283364a0","ISSN":"0028-0836, 1476-4687","issue":"5745","journalAbbreviation":"Nature","language":"en","page":"364-365","source":"DOI.org (Crossref)","title":"Seasonal change in the flux of organic carbon to the deep Sargasso Sea","volume":"283","author":[{"family":"Deuser","given":"W. G."},{"family":"Ross","given":"E. H."}],"issued":{"date-parts":[["1980",1]]}}},{"id":1101,"uris":["http://zotero.org/users/local/01lnVYoF/items/MQS4EDH9"],"itemData":{"id":1101,"type":"article-journal","abstract":"In order to compare the collection efficiency of settling particles among sediment traps in a variety of design concepts, 28 sediment traps of 11 different designs were deployed at six depths ranging from 665 to 3769 m along five rigid mooring anchored in a sill-protected marginal basin about 3865 m deep for about 4 months from August to November 1979. The traps represented three basic designs: (1) cylinders with an aspect ratio between 2 and 3; (2) funnels with a large opening covered by a baffle with a small grid and (3) open boxes whose openings were covered by a baffle. All but two of these types of participating traps had a mechanism to isolate the collected sample. Monitoring instruments indicate that all moorings provided a stable platform throughout the duration of Sediment Trap Intercomparison Experiment (STIE) with relatively low current velocity at the middle layers and very low velocity at the deep layers. Total mass flux, fluxes of three size fractions after water sieving, carbonate, combustible and noncombustible fractions, organic carbon, nitrogen and other sedimentary constituents in the individual samples were determined and evaluated with regard to the relative consistency in terms of depth and statistical tests on the similarity of the constituents. Under the conditions tested, the trapping efficiency of settling particles between a large funnel trap with baffle and an intermediate-sized cylinder trap was nearly identical considering the laboratory analytical errors. This conclusion might be extended to cylinder traps with diameters as small as 7 cm and a large aspect ratio when deployed rigidly in a low energy ocean environment. A funnel-type trap with a more effective baffle had a higher collecting efficiency than the other traps. Because of mechanical problems, comparison of the box-type traps to the other types was inconclusive.","container-title":"Deep Sea Research Part A. Oceanographic Research Papers","DOI":"10.1016/0198-0149(92)90112-7","ISSN":"0198-0149","issue":"2","journalAbbreviation":"Deep Sea Research Part A. Oceanographic Research Papers","language":"en","page":"333-358","source":"ScienceDirect","title":"A sediment trap intercomparison experiment in the Panama Basin, 1979","volume":"39","author":[{"family":"Honjo","given":"Susumu"},{"family":"Spencer","given":"Derek W."},{"family":"Gardner","given":"Wilford D."}],"issued":{"date-parts":[["1992",2,1]]}}}],"schema":"https://github.com/citation-style-language/schema/raw/master/csl-citation.json"} </w:instrText>
      </w:r>
      <w:r w:rsidR="008A0469" w:rsidRPr="008A0469">
        <w:fldChar w:fldCharType="separate"/>
      </w:r>
      <w:r w:rsidR="002B7E73">
        <w:rPr>
          <w:rFonts w:cs="Times New Roman"/>
        </w:rPr>
        <w:t>e.g.</w:t>
      </w:r>
      <w:r w:rsidR="008A0469" w:rsidRPr="008A0469">
        <w:rPr>
          <w:rFonts w:cs="Times New Roman"/>
        </w:rPr>
        <w:t>, Deuser, 1987; Deuser and Ross, 1980; Honjo et al., 1992)</w:t>
      </w:r>
      <w:r w:rsidR="008A0469" w:rsidRPr="008A0469">
        <w:fldChar w:fldCharType="end"/>
      </w:r>
      <w:r w:rsidR="008A0469" w:rsidRPr="008A0469">
        <w:t xml:space="preserve">, these devices have shown their potential to highlight the variability of the </w:t>
      </w:r>
      <w:r w:rsidR="00687BAB">
        <w:rPr>
          <w:color w:val="000000"/>
        </w:rPr>
        <w:t xml:space="preserve">composition and fluxes </w:t>
      </w:r>
      <w:r w:rsidR="00500FDB">
        <w:rPr>
          <w:color w:val="000000"/>
        </w:rPr>
        <w:t xml:space="preserve">of biological material </w:t>
      </w:r>
      <w:r w:rsidR="00687BAB">
        <w:rPr>
          <w:color w:val="000000"/>
        </w:rPr>
        <w:t>in relation to surface productivity</w:t>
      </w:r>
      <w:r w:rsidR="008A0469">
        <w:t xml:space="preserve">, depth or season. </w:t>
      </w:r>
      <w:r w:rsidR="00344039">
        <w:rPr>
          <w:color w:val="000000"/>
        </w:rPr>
        <w:t>On their descent, in particular in the mesopelagic zone (200-1000 m)</w:t>
      </w:r>
      <w:r w:rsidR="00476BDC">
        <w:rPr>
          <w:color w:val="000000"/>
        </w:rPr>
        <w:t>, biological</w:t>
      </w:r>
      <w:r w:rsidR="00344039">
        <w:rPr>
          <w:color w:val="000000"/>
        </w:rPr>
        <w:t xml:space="preserve"> particles are subjected to intense bacterial remineralization and grazing by zooplankton</w:t>
      </w:r>
      <w:r w:rsidR="00344039">
        <w:t xml:space="preserve"> </w:t>
      </w:r>
      <w:r w:rsidR="00BE34C4">
        <w:fldChar w:fldCharType="begin"/>
      </w:r>
      <w:r w:rsidR="00BE34C4">
        <w:instrText xml:space="preserve"> ADDIN ZOTERO_ITEM CSL_CITATION {"citationID":"8VG5XTBF","properties":{"formattedCitation":"(Boyd and Trull, 2007; Ducklow et al., 2001; Volk and Hoffert, 2013)","plainCitation":"(Boyd and Trull, 2007; Ducklow et al., 2001; Volk and Hoffert, 2013)","noteIndex":0},"citationItems":[{"id":1195,"uris":["http://zotero.org/users/local/01lnVYoF/items/TQGIJH48"],"itemData":{"id":1195,"type":"article-journal","abstract":"We examine progress towards a global view of oceanic export of particulate organic carbon (POC) and other nutrient elements (P, N, Si) from the surface (upper 100m), through the subsurface, to the deep sea (&gt;1000m), focusing on syntheses published since 1999 and on the Joint Global Ocean Flux Study. Food-web structure is important, and surface and subsurface processes contribute similarly to determine the fraction of net primary production (NPP) reaching the deep sea. NPP by large cells generally favours high surface export of POC. Preferential remineralization of P and N (versus C) with depth is common, as is regional variation in subsurface POC flux attenuation. The role of mineral fluxes is complex. Annual mean fluxes of POC and minerals are correlated in global deep sediment trap records, but causality and the relative importance of different minerals depends on the assumptions made. Time-series observations at single sites can oppose the geographic trends, and their large seasonal variability in the contribution of POC to total flux is at odds with mechanistic models for POC transport by minerals. Despite generally positive correlations between biogenic carbonate and POC fluxes, the overall role of carbonate export is to decrease the transfer of carbon dioxide from the atmosphere to the ocean. Both autotrophs and heterotrophs produce minerals, and progress in separating these contributions is required for the deconvolution of mineral ballast and food-web effects. Many recent models suggest global surface POC export of </w:instrText>
      </w:r>
      <w:r w:rsidR="00BE34C4">
        <w:rPr>
          <w:rFonts w:ascii="Cambria Math" w:hAnsi="Cambria Math" w:cs="Cambria Math"/>
        </w:rPr>
        <w:instrText>∼</w:instrText>
      </w:r>
      <w:r w:rsidR="00BE34C4">
        <w:instrText xml:space="preserve">10GTC/yr, despite widely varying biological complexity. This limits the usefulness of their prediction of ecosystem and carbon cycle responses to global change. Progress requires better observations for model validation, and more efforts to relate the models to the observed complexity, rather than to overly simplified global syntheses. We advocate more time-series stations targeting under-studied biogeochemical regions, development of automated in situ tools for study of the subsurface ocean, and increased emphasis on combining ecological and biogeochemical methods.","container-title":"Progress in Oceanography","DOI":"10.1016/j.pocean.2006.10.007","ISSN":"0079-6611","issue":"4","journalAbbreviation":"Progress in Oceanography","language":"en","page":"276-312","source":"ScienceDirect","title":"Understanding the export of biogenic particles in oceanic waters: Is there consensus?","title-short":"Understanding the export of biogenic particles in oceanic waters","volume":"72","author":[{"family":"Boyd","given":"P. W."},{"family":"Trull","given":"T. W."}],"issued":{"date-parts":[["2007",3,1]]}}},{"id":1158,"uris":["http://zotero.org/users/local/01lnVYoF/items/DXHMFEV4"],"itemData":{"id":1158,"type":"article-journal","container-title":"Oceanography","DOI":"10.5670/oceanog.2001.06","ISSN":"10428275","issue":"4","journalAbbreviation":"oceanog","language":"en","page":"50-58","source":"DOI.org (Crossref)","title":"Upper Ocean Carbon Export and the Biological Pump","volume":"14","author":[{"family":"Ducklow","given":"Hugh"},{"family":"Steinberg","given":"Deborah"},{"family":"Buesseler","given":"Ken"}],"issued":{"date-parts":[["2001"]]}}},{"id":215,"uris":["http://zotero.org/users/local/01lnVYoF/items/U5U4AQGC"],"itemData":{"id":215,"type":"chapter","container-title":"Geophysical Monograph Series","event-place":"Washington, D. C.","ISBN":"978-1-118-66432-2","note":"DOI: 10.1029/GM032p0099","page":"99-110","publisher":"American Geophysical Union","publisher-place":"Washington, D. C.","source":"DOI.org (Crossref)","title":"Ocean Carbon Pumps: Analysis of Relative Strengths and Efficiencies in Ocean-Driven Atmospheric CO &lt;sub&gt;2&lt;/sub&gt; Changes","title-short":"Ocean Carbon Pumps","URL":"http://doi.wiley.com/10.1029/GM032p0099","editor":[{"family":"Sundquist","given":"E.T."},{"family":"Broecker","given":"W.S."}],"author":[{"family":"Volk","given":"Tyler"},{"family":"Hoffert","given":"Martin I."}],"accessed":{"date-parts":[["2020",5,15]]},"issued":{"date-parts":[["2013",3,18]]}}}],"schema":"https://github.com/citation-style-language/schema/raw/master/csl-citation.json"} </w:instrText>
      </w:r>
      <w:r w:rsidR="00BE34C4">
        <w:fldChar w:fldCharType="separate"/>
      </w:r>
      <w:r w:rsidR="00BE34C4" w:rsidRPr="006C3E99">
        <w:rPr>
          <w:rFonts w:cs="Times New Roman"/>
        </w:rPr>
        <w:t>(Boyd and Trull, 2007; Ducklow et al., 2001; Volk and Hoffert, 2013)</w:t>
      </w:r>
      <w:r w:rsidR="00BE34C4">
        <w:fldChar w:fldCharType="end"/>
      </w:r>
      <w:r w:rsidR="00BE34C4">
        <w:t xml:space="preserve">. Only a minor proportion of this material will eventually reach the deep-sea (&gt; 1000 m) and an even smaller proportion will be </w:t>
      </w:r>
      <w:r w:rsidR="00C700EC">
        <w:t>buried</w:t>
      </w:r>
      <w:r w:rsidR="00BE34C4">
        <w:t xml:space="preserve"> in seafloor sediments</w:t>
      </w:r>
      <w:r w:rsidR="00476BDC">
        <w:t xml:space="preserve"> </w:t>
      </w:r>
      <w:r w:rsidR="00476BDC">
        <w:rPr>
          <w:rFonts w:eastAsia="Times New Roman" w:cs="Times New Roman"/>
          <w:szCs w:val="24"/>
          <w:lang w:eastAsia="en-GB"/>
        </w:rPr>
        <w:fldChar w:fldCharType="begin"/>
      </w:r>
      <w:r w:rsidR="00476BDC">
        <w:rPr>
          <w:rFonts w:eastAsia="Times New Roman" w:cs="Times New Roman"/>
          <w:szCs w:val="24"/>
          <w:lang w:eastAsia="en-GB"/>
        </w:rPr>
        <w:instrText xml:space="preserve"> ADDIN ZOTERO_ITEM CSL_CITATION {"citationID":"q0h92b3L","properties":{"formattedCitation":"(Berger et al., 1989; H\\uc0\\u252{}neke and Henrich, 2011)","plainCitation":"(Berger et al., 1989; Hüneke and Henrich, 2011)","dontUpdate":true,"noteIndex":0},"citationItems":[{"id":965,"uris":["http://zotero.org/users/local/01lnVYoF/items/P48UB577"],"itemData":{"id":965,"type":"chapter","container-title":"Productivity of the Oceans present and past","event-place":"Berlin","page":"1-34","publisher":"Wiley","publisher-place":"Berlin","title":"Ocean productivity and paleoproductivity - an overview","volume":"44","author":[{"family":"Berger","given":"W. H."},{"family":"Smetacek","given":"V."},{"family":"Wefer","given":"G."}],"issued":{"date-parts":[["1989"]]}}},{"id":875,"uris":["http://zotero.org/users/local/01lnVYoF/items/TKEE8BV7"],"itemData":{"id":875,"type":"chapter","container-title":"Developments in Sedimentology","ISBN":"978-0-444-53000-4","language":"en","note":"DOI: 10.1016/B978-0-444-53000-4.00004-4","page":"215-351","publisher":"Elsevier","source":"DOI.org (Crossref)","title":"Pelagic Sedimentation in Modern and Ancient Oceans","URL":"https://linkinghub.elsevier.com/retrieve/pii/B9780444530004000044","volume":"63","author":[{"family":"Hüneke","given":"Heiko"},{"family":"Henrich","given":"Rüdiger"}],"accessed":{"date-parts":[["2022",8,4]]},"issued":{"date-parts":[["2011"]]}}}],"schema":"https://github.com/citation-style-language/schema/raw/master/csl-citation.json"} </w:instrText>
      </w:r>
      <w:r w:rsidR="00476BDC">
        <w:rPr>
          <w:rFonts w:eastAsia="Times New Roman" w:cs="Times New Roman"/>
          <w:szCs w:val="24"/>
          <w:lang w:eastAsia="en-GB"/>
        </w:rPr>
        <w:fldChar w:fldCharType="separate"/>
      </w:r>
      <w:r w:rsidR="00476BDC" w:rsidRPr="00D64932">
        <w:rPr>
          <w:rFonts w:cs="Times New Roman"/>
          <w:szCs w:val="24"/>
        </w:rPr>
        <w:t>(Berger et al., 1989; Hüneke and Henrich, 2011)</w:t>
      </w:r>
      <w:r w:rsidR="00476BDC">
        <w:rPr>
          <w:rFonts w:eastAsia="Times New Roman" w:cs="Times New Roman"/>
          <w:szCs w:val="24"/>
          <w:lang w:eastAsia="en-GB"/>
        </w:rPr>
        <w:fldChar w:fldCharType="end"/>
      </w:r>
      <w:r w:rsidR="00BE34C4">
        <w:t>.</w:t>
      </w:r>
      <w:r w:rsidR="00D9329B">
        <w:t xml:space="preserve"> </w:t>
      </w:r>
    </w:p>
    <w:p w14:paraId="63489597" w14:textId="3163524B" w:rsidR="00EF57EC" w:rsidRDefault="00224A02" w:rsidP="00224A02">
      <w:pPr>
        <w:spacing w:line="480" w:lineRule="auto"/>
        <w:jc w:val="both"/>
      </w:pPr>
      <w:r>
        <w:t>In th</w:t>
      </w:r>
      <w:r w:rsidR="00436B97">
        <w:t>is</w:t>
      </w:r>
      <w:r>
        <w:t xml:space="preserve"> study, we determined the composition </w:t>
      </w:r>
      <w:r w:rsidR="00687BAB">
        <w:rPr>
          <w:color w:val="000000"/>
        </w:rPr>
        <w:t>(i.e., lithogenic, organic matter, calcium carbonate – CaCO</w:t>
      </w:r>
      <w:r w:rsidR="00687BAB" w:rsidRPr="00687BAB">
        <w:rPr>
          <w:color w:val="000000"/>
          <w:szCs w:val="24"/>
          <w:vertAlign w:val="subscript"/>
        </w:rPr>
        <w:t>3</w:t>
      </w:r>
      <w:r w:rsidR="00687BAB" w:rsidRPr="00687BAB">
        <w:rPr>
          <w:color w:val="000000"/>
          <w:sz w:val="14"/>
          <w:szCs w:val="14"/>
        </w:rPr>
        <w:t xml:space="preserve"> </w:t>
      </w:r>
      <w:r w:rsidR="00687BAB">
        <w:rPr>
          <w:color w:val="000000"/>
        </w:rPr>
        <w:t xml:space="preserve">and </w:t>
      </w:r>
      <w:r w:rsidR="00687BAB" w:rsidRPr="00FD6FDF">
        <w:rPr>
          <w:color w:val="000000"/>
          <w:szCs w:val="24"/>
        </w:rPr>
        <w:t>opal</w:t>
      </w:r>
      <w:r w:rsidR="00687BAB" w:rsidRPr="00FD6FDF">
        <w:rPr>
          <w:color w:val="000000"/>
        </w:rPr>
        <w:t>)</w:t>
      </w:r>
      <w:r w:rsidR="00687BAB">
        <w:t xml:space="preserve"> </w:t>
      </w:r>
      <w:r>
        <w:t>of sinking and sedimented particles at different spatial and temporal scale</w:t>
      </w:r>
      <w:r w:rsidR="0092120E">
        <w:t>s</w:t>
      </w:r>
      <w:r>
        <w:t xml:space="preserve"> over a large area of the WTSP, including two sites located along the Tonga Arc</w:t>
      </w:r>
      <w:r w:rsidR="006D0BC3">
        <w:t>.</w:t>
      </w:r>
      <w:r w:rsidR="0045654A">
        <w:rPr>
          <w:color w:val="000000"/>
        </w:rPr>
        <w:t> </w:t>
      </w:r>
      <w:r w:rsidR="006D0404">
        <w:rPr>
          <w:color w:val="000000"/>
        </w:rPr>
        <w:t>The aim was to better understand how hydrothermal activity influences this region, both in terms of hydrothermally-derived trace metal concentrations and their influence on biological activity, and how volcanic activity impacts the footprint of metal particles.</w:t>
      </w:r>
    </w:p>
    <w:p w14:paraId="147195C9" w14:textId="77777777" w:rsidR="00BB6402" w:rsidRDefault="00BB6402" w:rsidP="00BB6402">
      <w:pPr>
        <w:pStyle w:val="Titre1"/>
      </w:pPr>
      <w:r>
        <w:t>Material and methods</w:t>
      </w:r>
    </w:p>
    <w:p w14:paraId="010091FE" w14:textId="63BE5F2C" w:rsidR="00BB6402" w:rsidRDefault="00BB6402" w:rsidP="00224A02">
      <w:pPr>
        <w:spacing w:line="480" w:lineRule="auto"/>
        <w:jc w:val="both"/>
      </w:pPr>
      <w:r>
        <w:t>This study was conducted as part of the TONGA cruise (</w:t>
      </w:r>
      <w:r w:rsidR="006D0404">
        <w:t xml:space="preserve">GEOTRACES </w:t>
      </w:r>
      <w:r>
        <w:t xml:space="preserve">GPpr14; </w:t>
      </w:r>
      <w:r>
        <w:fldChar w:fldCharType="begin"/>
      </w:r>
      <w:r>
        <w:instrText xml:space="preserve"> ADDIN ZOTERO_ITEM CSL_CITATION {"citationID":"IBncxo16","properties":{"formattedCitation":"(Guieu and Bonnet, 2019)","plainCitation":"(Guieu and Bonnet, 2019)","dontUpdate":true,"noteIndex":0},"citationItems":[{"id":241,"uris":["http://zotero.org/users/local/01lnVYoF/items/JPJSNLYH"],"itemData":{"id":241,"type":"article-journal","abstract":"Les objectifs de la campagne étaient d'étudier au moins 2 volcans actifs, sièges de sites hydrothermaux peu profonds (&amp;lt; 500 m) pouvant libérer des éléments chimiques capables de fertiliser et/ou d'être toxique pour l'assemblage naturel de l'écosystème présent. Plus précisément, le 1&lt;sup&gt;er&lt;/sup&gt; objectif de la campagne TONGA consistait à caractériser chimiquement et optiquement les fluides hydrothermaux et à comparer la source du fond (fluides hydrothermaux peu profonds) avec la source atmosphérique; le 2&lt;sup&gt;ème&lt;/sup&gt; objectif était lié à l'étude de la dispersion dynamique des fluides à petite échelle et à l'échelle régionale; la troisième tâche consistait à étudier l'impact des sources hydrothermales peu profondes sur l'activité et la diversité biologiques, et la rétroaction vers l'atmosphère via les émissions océaniques d'aérosols primaires et secondaires.Un objectif important était de communiquer pendant la campagne vers le grand public ce qui s'est fait principalement par l'alimentation d'un compte Tweeter (https://twitter.com/tongaproject). Le volet \"Education\" de la campagne a été réalisé en collaboration avec le projet \"Adopt-a-float\" (https://twitter.com/AdoptaFloat) et deux flotteurs ont été \"adoptés\" par des enfants de deux écoles (une à Nouméa et une à Abu Dhabi) et les scientifiques ont pu initier les enfants aux problématiques de l'océan en plusieurs occasions auprès de ces classes.La position des stations d'échantillonnage a été constamment réévaluée pendant la campagne pour atteindre les objectifs : un long transect d'ouest en est (jusqu'aux abysses du gyre) a permis de caractériser les différentes provinces biogéochimiques traversées et un focus dans la région du bassin du Lau a permis d'étudier l'impact des sources hydrothermales peu profondes.Une série de stations courtes et longues a permis de caractériser pleinement les stocks et les flux dans les différentes provinces. Des études de processus à court terme (jusqu'à 10 jours) ont été menées (grâce à des mouillages dérivants et des expériences conduites en minicosmes). Un mouillage fixe déployé dans le bassin de Lau permettra d'étudier l'exportation de carbone et de métaux à l'échelle temporelle annuelle (récupération du mouillage prévue en Nov 2020 sur l'Alis, mission \"Tonga-Recup\"). En plus de l'équipe embarquée à bord du R/V Atalante, plusieurs scientifiques nous ont assisté à terre pour nous conseiller sur les sites actifs potentiels que nous pourrions visiter, sur l'état dynamique de la zone ciblée et aussi spécifiquement sur l'interprétation du relevé acoustique au-dessus des volcans.","DOI":"10.17600/18000884","note":"publisher: Sismer","source":"DOI.org (Datacite)","title":"TONGA cruise 2019, L'Atalante R/V","URL":"https://campagnes.flotteoceanographique.fr/campagnes/18000884/","author":[{"family":"Guieu","given":"Cécile"},{"family":"Bonnet","given":"Sophie"}],"accessed":{"date-parts":[["2020",5,29]]},"issued":{"date-parts":[["2019"]]}}}],"schema":"https://github.com/citation-style-language/schema/raw/master/csl-citation.json"} </w:instrText>
      </w:r>
      <w:r>
        <w:fldChar w:fldCharType="separate"/>
      </w:r>
      <w:r w:rsidRPr="005309AC">
        <w:rPr>
          <w:rFonts w:cs="Times New Roman"/>
        </w:rPr>
        <w:t>Guieu and Bonnet, 2019)</w:t>
      </w:r>
      <w:r>
        <w:fldChar w:fldCharType="end"/>
      </w:r>
      <w:r>
        <w:t xml:space="preserve"> onboard the R/V L’Atalante from October 31 to December 5, 2019, along a 6100 km-long transect crossing the Lau Basin (</w:t>
      </w:r>
      <w:r w:rsidRPr="005309AC">
        <w:rPr>
          <w:i/>
          <w:iCs/>
        </w:rPr>
        <w:t>Fig. 1</w:t>
      </w:r>
      <w:r>
        <w:t xml:space="preserve">). </w:t>
      </w:r>
      <w:r>
        <w:rPr>
          <w:color w:val="000000"/>
        </w:rPr>
        <w:t>Two shallow hydrothermal sources were identified at depths of 200 and 300 m, respectively</w:t>
      </w:r>
      <w:r>
        <w:t xml:space="preserve"> </w:t>
      </w:r>
      <w:r>
        <w:fldChar w:fldCharType="begin"/>
      </w:r>
      <w:r>
        <w:instrText xml:space="preserve"> ADDIN ZOTERO_ITEM CSL_CITATION {"citationID":"33qfLDWz","properties":{"formattedCitation":"(Tilliette et al., 2022)","plainCitation":"(Tilliette et al., 2022)","noteIndex":0},"citationItems":[{"id":819,"uris":["http://zotero.org/users/local/01lnVYoF/items/YIPANZYN"],"itemData":{"id":819,"type":"article-journal","container-title":"Global Biogeochemical Cycles","DOI":"10.1029/2022GB007363","ISSN":"0886-6236, 1944-9224","journalAbbreviation":"Global Biogeochemical Cycles","language":"en","source":"DOI.org (Crossref)","title":"Dissolved iron patterns impacted by shallow hydrothermal sources along a transect through the Tonga‐Kermadec arc","URL":"https://onlinelibrary.wiley.com/doi/10.1029/2022GB007363","author":[{"family":"Tilliette","given":"Chloé"},{"family":"Taillandier","given":"Vincent"},{"family":"Bouruet‐Aubertot","given":"Pascale"},{"family":"Grima","given":"Nicolas"},{"family":"Maes","given":"Christophe"},{"family":"Montanes","given":"Maryline"},{"family":"Sarthou","given":"Géraldine"},{"family":"Vorrath","given":"Maria-Elena"},{"family":"Arnone","given":"Veronica"},{"family":"Bressac","given":"Matthieu"},{"family":"González‐Santana","given":"David"},{"family":"Gazeau","given":"Frédéric"},{"family":"Guieu","given":"Cécile"}],"accessed":{"date-parts":[["2022",7,4]]},"issued":{"date-parts":[["2022",7,4]]}}}],"schema":"https://github.com/citation-style-language/schema/raw/master/csl-citation.json"} </w:instrText>
      </w:r>
      <w:r>
        <w:fldChar w:fldCharType="separate"/>
      </w:r>
      <w:r w:rsidRPr="00986804">
        <w:rPr>
          <w:rFonts w:cs="Times New Roman"/>
        </w:rPr>
        <w:t>(Tilliette et al., 2022)</w:t>
      </w:r>
      <w:r>
        <w:fldChar w:fldCharType="end"/>
      </w:r>
      <w:r>
        <w:t xml:space="preserve">. </w:t>
      </w:r>
      <w:r>
        <w:rPr>
          <w:color w:val="000000"/>
        </w:rPr>
        <w:t xml:space="preserve">Mooring lines were deployed west of these </w:t>
      </w:r>
      <w:r>
        <w:rPr>
          <w:color w:val="000000"/>
        </w:rPr>
        <w:lastRenderedPageBreak/>
        <w:t>sources (~15 km</w:t>
      </w:r>
      <w:r w:rsidR="00436B97">
        <w:rPr>
          <w:color w:val="000000"/>
        </w:rPr>
        <w:t>; stations 5 and 10</w:t>
      </w:r>
      <w:r>
        <w:rPr>
          <w:color w:val="000000"/>
        </w:rPr>
        <w:t xml:space="preserve">) along the main current direction once the seafloor </w:t>
      </w:r>
      <w:r w:rsidR="002D329C">
        <w:rPr>
          <w:color w:val="000000"/>
        </w:rPr>
        <w:t>reached</w:t>
      </w:r>
      <w:r>
        <w:rPr>
          <w:color w:val="000000"/>
        </w:rPr>
        <w:t xml:space="preserve"> ~2000 m.</w:t>
      </w:r>
    </w:p>
    <w:p w14:paraId="683ED400" w14:textId="77777777" w:rsidR="004925B0" w:rsidRDefault="004925B0" w:rsidP="004925B0">
      <w:pPr>
        <w:jc w:val="center"/>
      </w:pPr>
      <w:r>
        <w:rPr>
          <w:noProof/>
        </w:rPr>
        <w:drawing>
          <wp:inline distT="0" distB="0" distL="0" distR="0" wp14:anchorId="41CED148" wp14:editId="363F975D">
            <wp:extent cx="6208395" cy="6374765"/>
            <wp:effectExtent l="0" t="0" r="1905" b="698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08395" cy="6374765"/>
                    </a:xfrm>
                    <a:prstGeom prst="rect">
                      <a:avLst/>
                    </a:prstGeom>
                  </pic:spPr>
                </pic:pic>
              </a:graphicData>
            </a:graphic>
          </wp:inline>
        </w:drawing>
      </w:r>
    </w:p>
    <w:p w14:paraId="4C3F6B6B" w14:textId="196669A9" w:rsidR="004925B0" w:rsidRPr="004925B0" w:rsidRDefault="004925B0" w:rsidP="004925B0">
      <w:pPr>
        <w:spacing w:line="360" w:lineRule="auto"/>
        <w:jc w:val="both"/>
        <w:rPr>
          <w:sz w:val="21"/>
          <w:szCs w:val="20"/>
        </w:rPr>
      </w:pPr>
      <w:r w:rsidRPr="00F16E47">
        <w:rPr>
          <w:b/>
          <w:bCs/>
          <w:i/>
          <w:iCs/>
          <w:sz w:val="21"/>
          <w:szCs w:val="20"/>
        </w:rPr>
        <w:t>Figure 1</w:t>
      </w:r>
      <w:r w:rsidRPr="005309AC">
        <w:rPr>
          <w:sz w:val="21"/>
          <w:szCs w:val="20"/>
        </w:rPr>
        <w:t>.</w:t>
      </w:r>
      <w:r>
        <w:rPr>
          <w:sz w:val="21"/>
          <w:szCs w:val="20"/>
        </w:rPr>
        <w:t xml:space="preserve"> </w:t>
      </w:r>
      <w:bookmarkStart w:id="1" w:name="_Hlk125557324"/>
      <w:r w:rsidRPr="00794814">
        <w:rPr>
          <w:b/>
          <w:bCs/>
          <w:sz w:val="21"/>
          <w:szCs w:val="20"/>
        </w:rPr>
        <w:t>(a)</w:t>
      </w:r>
      <w:r>
        <w:rPr>
          <w:sz w:val="21"/>
          <w:szCs w:val="20"/>
        </w:rPr>
        <w:t xml:space="preserve"> </w:t>
      </w:r>
      <w:r>
        <w:rPr>
          <w:color w:val="000000"/>
          <w:sz w:val="21"/>
          <w:szCs w:val="21"/>
        </w:rPr>
        <w:t>Cruise transect superimposed on surface chlorophyll-</w:t>
      </w:r>
      <w:r>
        <w:rPr>
          <w:i/>
          <w:iCs/>
          <w:color w:val="000000"/>
          <w:sz w:val="21"/>
          <w:szCs w:val="21"/>
        </w:rPr>
        <w:t>a</w:t>
      </w:r>
      <w:r>
        <w:rPr>
          <w:color w:val="000000"/>
          <w:sz w:val="21"/>
          <w:szCs w:val="21"/>
        </w:rPr>
        <w:t xml:space="preserve"> concentrations (mg m</w:t>
      </w:r>
      <w:r>
        <w:rPr>
          <w:color w:val="000000"/>
          <w:sz w:val="13"/>
          <w:szCs w:val="13"/>
          <w:vertAlign w:val="superscript"/>
        </w:rPr>
        <w:t>-3</w:t>
      </w:r>
      <w:r>
        <w:rPr>
          <w:color w:val="000000"/>
          <w:sz w:val="21"/>
          <w:szCs w:val="21"/>
        </w:rPr>
        <w:t>). Different oceanic regions were occupied during the cruise: the South Pacific gyre (station 8; sediment coring only) and the Lau Basin (stations 5 and 10), where a drifting mooring line was deployed for 5 and 4 days, respectively, as well as station 12 where a fixed mooring line was deployed for one year.</w:t>
      </w:r>
      <w:r>
        <w:rPr>
          <w:sz w:val="21"/>
          <w:szCs w:val="20"/>
        </w:rPr>
        <w:t xml:space="preserve"> Sediments were cored at each of these stations. </w:t>
      </w:r>
      <w:r>
        <w:rPr>
          <w:color w:val="000000"/>
          <w:sz w:val="21"/>
          <w:szCs w:val="21"/>
        </w:rPr>
        <w:t>Chlorophyll-</w:t>
      </w:r>
      <w:r>
        <w:rPr>
          <w:i/>
          <w:iCs/>
          <w:color w:val="000000"/>
          <w:sz w:val="21"/>
          <w:szCs w:val="21"/>
        </w:rPr>
        <w:t>a</w:t>
      </w:r>
      <w:r>
        <w:rPr>
          <w:color w:val="000000"/>
          <w:sz w:val="21"/>
          <w:szCs w:val="21"/>
        </w:rPr>
        <w:t xml:space="preserve"> concentrations were derived from satellite images acquired during the respective period of occupancy: 5 November </w:t>
      </w:r>
      <w:r>
        <w:rPr>
          <w:color w:val="000000"/>
          <w:sz w:val="21"/>
          <w:szCs w:val="21"/>
        </w:rPr>
        <w:lastRenderedPageBreak/>
        <w:t>2019 for the western part of the transect, 15 November for the southeastern part, and 29 November for the northeastern part.</w:t>
      </w:r>
      <w:r>
        <w:rPr>
          <w:sz w:val="21"/>
          <w:szCs w:val="20"/>
        </w:rPr>
        <w:t xml:space="preserve"> </w:t>
      </w:r>
      <w:r w:rsidRPr="001C24E9">
        <w:rPr>
          <w:b/>
          <w:bCs/>
          <w:sz w:val="21"/>
          <w:szCs w:val="20"/>
        </w:rPr>
        <w:t>(b)</w:t>
      </w:r>
      <w:r>
        <w:rPr>
          <w:sz w:val="21"/>
          <w:szCs w:val="20"/>
        </w:rPr>
        <w:t xml:space="preserve"> </w:t>
      </w:r>
      <w:r w:rsidR="00542A5A" w:rsidRPr="00542A5A">
        <w:rPr>
          <w:sz w:val="21"/>
          <w:szCs w:val="20"/>
        </w:rPr>
        <w:t xml:space="preserve">Bathymetry along the cruise transect and instrumentation deployed at each station: sediment traps (cones) and sediment coring (cylinders). </w:t>
      </w:r>
      <w:bookmarkEnd w:id="1"/>
    </w:p>
    <w:p w14:paraId="377E5392" w14:textId="77777777" w:rsidR="000D1D1D" w:rsidRDefault="000D1D1D" w:rsidP="000D1D1D">
      <w:pPr>
        <w:pStyle w:val="Titre2"/>
      </w:pPr>
      <w:r>
        <w:t>Fieldwork</w:t>
      </w:r>
    </w:p>
    <w:p w14:paraId="137F467D" w14:textId="74D89EAD" w:rsidR="000D1D1D" w:rsidRDefault="000D1D1D" w:rsidP="00D23535">
      <w:pPr>
        <w:spacing w:line="480" w:lineRule="auto"/>
        <w:jc w:val="both"/>
      </w:pPr>
      <w:bookmarkStart w:id="2" w:name="_Hlk125557518"/>
      <w:r>
        <w:t xml:space="preserve">At </w:t>
      </w:r>
      <w:r w:rsidR="000A275C">
        <w:t>stations 5 and 10</w:t>
      </w:r>
      <w:r>
        <w:t>, drifting conical sediment traps with a collection area of 1 m² (PPS-5, Technicap, France) were deployed at 200 and 1000 m</w:t>
      </w:r>
      <w:r w:rsidR="00986804">
        <w:t xml:space="preserve"> </w:t>
      </w:r>
      <w:r w:rsidR="00986804">
        <w:rPr>
          <w:color w:val="000000"/>
        </w:rPr>
        <w:t>on a surface-tethered drifter</w:t>
      </w:r>
      <w:r>
        <w:t xml:space="preserve">. Settling particles were collected at 24-h intervals for 5 days at </w:t>
      </w:r>
      <w:r w:rsidR="004E5ACE">
        <w:t>s</w:t>
      </w:r>
      <w:r>
        <w:t xml:space="preserve">tation 5 (21°9.14’ S, 175°44.42’ W; November 10-14, 2019), and at 23-h intervals for 4 days at </w:t>
      </w:r>
      <w:r w:rsidR="004E5ACE">
        <w:t>s</w:t>
      </w:r>
      <w:r>
        <w:t xml:space="preserve">tation 10 (19°24.54’ S, 175°7.34’ W; November 24-27, 2019). </w:t>
      </w:r>
      <w:r w:rsidR="000A275C">
        <w:rPr>
          <w:color w:val="000000"/>
        </w:rPr>
        <w:t>Unfortunately, due to a malfunction of the PPS-5 plate motor, no samples were collected at 200 m at station 5.</w:t>
      </w:r>
      <w:r w:rsidR="000A275C">
        <w:t xml:space="preserve"> At station 12 (20°42.41’ S, 177°52.13’ W), t</w:t>
      </w:r>
      <w:r>
        <w:t>wo PPS-5 were</w:t>
      </w:r>
      <w:r w:rsidR="00593415">
        <w:t xml:space="preserve"> </w:t>
      </w:r>
      <w:r>
        <w:t xml:space="preserve">deployed at 200 and 1000 m on a fixed mooring line for one year (November 2019 to October 2020, sampling interval: 14 days). The fixed </w:t>
      </w:r>
      <w:r w:rsidR="000A275C">
        <w:t xml:space="preserve">mooring </w:t>
      </w:r>
      <w:r>
        <w:t xml:space="preserve">line was equipped with two inclinometers (NKE S2IP) and two current meters (Nortek Aquadopp) placed at 222 and 1030 m. The angles and velocities at both depths are shown in </w:t>
      </w:r>
      <w:r w:rsidRPr="00974C33">
        <w:rPr>
          <w:i/>
          <w:iCs/>
        </w:rPr>
        <w:t>Fig</w:t>
      </w:r>
      <w:r>
        <w:rPr>
          <w:i/>
          <w:iCs/>
        </w:rPr>
        <w:t>.</w:t>
      </w:r>
      <w:r w:rsidRPr="00974C33">
        <w:rPr>
          <w:i/>
          <w:iCs/>
        </w:rPr>
        <w:t xml:space="preserve"> S1</w:t>
      </w:r>
      <w:r>
        <w:t xml:space="preserve">. </w:t>
      </w:r>
      <w:r w:rsidR="00986804">
        <w:t>E</w:t>
      </w:r>
      <w:r>
        <w:t>ach collection cup was</w:t>
      </w:r>
      <w:r w:rsidR="00986804">
        <w:t xml:space="preserve"> filled with</w:t>
      </w:r>
      <w:r>
        <w:t xml:space="preserve"> a 5% buffered formaldehyde solution prepared with</w:t>
      </w:r>
      <w:r w:rsidR="0098663C">
        <w:t xml:space="preserve"> filtered</w:t>
      </w:r>
      <w:r>
        <w:t xml:space="preserve"> </w:t>
      </w:r>
      <w:r w:rsidRPr="00974C33">
        <w:rPr>
          <w:i/>
          <w:iCs/>
        </w:rPr>
        <w:t>in-situ</w:t>
      </w:r>
      <w:r>
        <w:t xml:space="preserve"> seawater to prevent microbial degradation and swimmer grazing. After trap recovery, the cups were stored in the dark at 4 °C. </w:t>
      </w:r>
    </w:p>
    <w:p w14:paraId="62692DCF" w14:textId="769A0EE5" w:rsidR="00715A29" w:rsidRPr="007D36B1" w:rsidRDefault="00E72E15" w:rsidP="007D36B1">
      <w:pPr>
        <w:pStyle w:val="NormalWeb"/>
        <w:spacing w:before="120" w:beforeAutospacing="0" w:after="240" w:afterAutospacing="0" w:line="480" w:lineRule="auto"/>
        <w:jc w:val="both"/>
        <w:rPr>
          <w:color w:val="000000"/>
          <w:lang w:eastAsia="ja-JP"/>
        </w:rPr>
      </w:pPr>
      <w:r>
        <w:t xml:space="preserve">Sediment cores were collected using a MC-8/100 multi-corer (Oktopus GmbH, Kiel, Germany) at the </w:t>
      </w:r>
      <w:r w:rsidR="006E67D1">
        <w:t>mooring</w:t>
      </w:r>
      <w:r>
        <w:t xml:space="preserve"> positions and </w:t>
      </w:r>
      <w:r w:rsidR="00317F36">
        <w:t>at the</w:t>
      </w:r>
      <w:r>
        <w:t xml:space="preserve"> deep-sea reference site (</w:t>
      </w:r>
      <w:r w:rsidR="00A24788">
        <w:t>s</w:t>
      </w:r>
      <w:r w:rsidR="00317F36">
        <w:t xml:space="preserve">tation 8; </w:t>
      </w:r>
      <w:r>
        <w:t xml:space="preserve">20°23.33’ S, 166°25.4’ W; </w:t>
      </w:r>
      <w:r w:rsidRPr="00E76017">
        <w:rPr>
          <w:i/>
          <w:iCs/>
        </w:rPr>
        <w:t>Fi</w:t>
      </w:r>
      <w:r>
        <w:rPr>
          <w:i/>
          <w:iCs/>
        </w:rPr>
        <w:t>g.</w:t>
      </w:r>
      <w:r w:rsidRPr="00E76017">
        <w:rPr>
          <w:i/>
          <w:iCs/>
        </w:rPr>
        <w:t xml:space="preserve"> 1</w:t>
      </w:r>
      <w:r>
        <w:t xml:space="preserve">). The seafloor depth for each core is specified in </w:t>
      </w:r>
      <w:r w:rsidRPr="00E76017">
        <w:rPr>
          <w:i/>
          <w:iCs/>
        </w:rPr>
        <w:t>Table 1</w:t>
      </w:r>
      <w:r>
        <w:t xml:space="preserve">. </w:t>
      </w:r>
      <w:r w:rsidR="008F40F1" w:rsidRPr="008F40F1">
        <w:rPr>
          <w:color w:val="000000"/>
          <w:lang w:eastAsia="ja-JP"/>
        </w:rPr>
        <w:t xml:space="preserve">Immediately after collection, the first 16 cm </w:t>
      </w:r>
      <w:r w:rsidR="008019F3">
        <w:rPr>
          <w:color w:val="000000"/>
          <w:lang w:eastAsia="ja-JP"/>
        </w:rPr>
        <w:t xml:space="preserve">of collected </w:t>
      </w:r>
      <w:r w:rsidR="008F40F1" w:rsidRPr="008F40F1">
        <w:rPr>
          <w:color w:val="000000"/>
          <w:lang w:eastAsia="ja-JP"/>
        </w:rPr>
        <w:t xml:space="preserve">cores were sliced </w:t>
      </w:r>
      <w:r w:rsidR="008019F3">
        <w:rPr>
          <w:color w:val="000000"/>
          <w:lang w:eastAsia="ja-JP"/>
        </w:rPr>
        <w:t xml:space="preserve">into </w:t>
      </w:r>
      <w:r w:rsidR="008F40F1" w:rsidRPr="008F40F1">
        <w:rPr>
          <w:color w:val="000000"/>
          <w:lang w:eastAsia="ja-JP"/>
        </w:rPr>
        <w:t>1 to 5 cm</w:t>
      </w:r>
      <w:r w:rsidR="008019F3">
        <w:rPr>
          <w:color w:val="000000"/>
          <w:lang w:eastAsia="ja-JP"/>
        </w:rPr>
        <w:t xml:space="preserve"> slices, depending on the stations</w:t>
      </w:r>
      <w:r w:rsidR="00B20DF1">
        <w:rPr>
          <w:color w:val="000000"/>
          <w:lang w:eastAsia="ja-JP"/>
        </w:rPr>
        <w:t xml:space="preserve"> </w:t>
      </w:r>
      <w:r w:rsidR="008019F3">
        <w:rPr>
          <w:color w:val="000000"/>
          <w:lang w:eastAsia="ja-JP"/>
        </w:rPr>
        <w:t>(</w:t>
      </w:r>
      <w:r w:rsidR="00B20DF1">
        <w:rPr>
          <w:color w:val="000000"/>
          <w:lang w:eastAsia="ja-JP"/>
        </w:rPr>
        <w:t>see</w:t>
      </w:r>
      <w:r w:rsidR="008F40F1" w:rsidRPr="008F40F1">
        <w:rPr>
          <w:color w:val="000000"/>
          <w:lang w:eastAsia="ja-JP"/>
        </w:rPr>
        <w:t xml:space="preserve"> </w:t>
      </w:r>
      <w:r w:rsidR="008F40F1" w:rsidRPr="008F40F1">
        <w:rPr>
          <w:i/>
          <w:iCs/>
          <w:color w:val="000000"/>
          <w:lang w:eastAsia="ja-JP"/>
        </w:rPr>
        <w:t>Fig. 3</w:t>
      </w:r>
      <w:r w:rsidR="008F40F1" w:rsidRPr="008F40F1">
        <w:rPr>
          <w:color w:val="000000"/>
          <w:lang w:eastAsia="ja-JP"/>
        </w:rPr>
        <w:t>) and frozen at -20 °C.</w:t>
      </w:r>
      <w:r w:rsidR="004D7A2F">
        <w:rPr>
          <w:color w:val="000000"/>
          <w:lang w:eastAsia="ja-JP"/>
        </w:rPr>
        <w:t xml:space="preserve"> </w:t>
      </w:r>
      <w:bookmarkEnd w:id="2"/>
      <w:r w:rsidR="007D36B1">
        <w:rPr>
          <w:color w:val="000000"/>
          <w:lang w:eastAsia="ja-JP"/>
        </w:rPr>
        <w:br w:type="page"/>
      </w:r>
    </w:p>
    <w:p w14:paraId="36C38929" w14:textId="2824C2D7" w:rsidR="00E72E15" w:rsidRDefault="00E72E15" w:rsidP="00E72E15">
      <w:pPr>
        <w:jc w:val="both"/>
        <w:rPr>
          <w:sz w:val="21"/>
          <w:szCs w:val="21"/>
        </w:rPr>
      </w:pPr>
      <w:r w:rsidRPr="00455BD0">
        <w:rPr>
          <w:b/>
          <w:bCs/>
          <w:i/>
          <w:iCs/>
          <w:sz w:val="21"/>
          <w:szCs w:val="21"/>
        </w:rPr>
        <w:lastRenderedPageBreak/>
        <w:t>Table 1</w:t>
      </w:r>
      <w:r w:rsidRPr="00455BD0">
        <w:rPr>
          <w:sz w:val="21"/>
          <w:szCs w:val="21"/>
        </w:rPr>
        <w:t>.</w:t>
      </w:r>
      <w:r>
        <w:rPr>
          <w:sz w:val="21"/>
          <w:szCs w:val="21"/>
        </w:rPr>
        <w:t xml:space="preserve"> </w:t>
      </w:r>
      <w:bookmarkStart w:id="3" w:name="_Hlk125557742"/>
      <w:r>
        <w:rPr>
          <w:sz w:val="21"/>
          <w:szCs w:val="21"/>
        </w:rPr>
        <w:t>Composition (</w:t>
      </w:r>
      <w:r w:rsidR="00131195">
        <w:rPr>
          <w:sz w:val="21"/>
          <w:szCs w:val="21"/>
        </w:rPr>
        <w:t>wt.%</w:t>
      </w:r>
      <w:r w:rsidR="005756F0">
        <w:rPr>
          <w:sz w:val="21"/>
          <w:szCs w:val="21"/>
        </w:rPr>
        <w:t xml:space="preserve"> </w:t>
      </w:r>
      <w:r w:rsidR="005756F0">
        <w:t xml:space="preserve">– </w:t>
      </w:r>
      <w:r w:rsidR="005756F0">
        <w:rPr>
          <w:sz w:val="21"/>
          <w:szCs w:val="21"/>
        </w:rPr>
        <w:t>percentage by weight</w:t>
      </w:r>
      <w:r>
        <w:rPr>
          <w:sz w:val="21"/>
          <w:szCs w:val="21"/>
        </w:rPr>
        <w:t xml:space="preserve">) and </w:t>
      </w:r>
      <w:r w:rsidR="00506461">
        <w:rPr>
          <w:sz w:val="21"/>
          <w:szCs w:val="21"/>
        </w:rPr>
        <w:t>sedimentati</w:t>
      </w:r>
      <w:r>
        <w:rPr>
          <w:sz w:val="21"/>
          <w:szCs w:val="21"/>
        </w:rPr>
        <w:t>on rate of seafloor sediments at each station.</w:t>
      </w:r>
    </w:p>
    <w:tbl>
      <w:tblPr>
        <w:tblW w:w="9090" w:type="dxa"/>
        <w:jc w:val="center"/>
        <w:tblLook w:val="04A0" w:firstRow="1" w:lastRow="0" w:firstColumn="1" w:lastColumn="0" w:noHBand="0" w:noVBand="1"/>
      </w:tblPr>
      <w:tblGrid>
        <w:gridCol w:w="1160"/>
        <w:gridCol w:w="880"/>
        <w:gridCol w:w="1200"/>
        <w:gridCol w:w="990"/>
        <w:gridCol w:w="1620"/>
        <w:gridCol w:w="1170"/>
        <w:gridCol w:w="2070"/>
      </w:tblGrid>
      <w:tr w:rsidR="00AA0CCC" w:rsidRPr="00AA0CCC" w14:paraId="30E9CD5D" w14:textId="77777777" w:rsidTr="00783842">
        <w:trPr>
          <w:trHeight w:val="340"/>
          <w:jc w:val="center"/>
        </w:trPr>
        <w:tc>
          <w:tcPr>
            <w:tcW w:w="1160" w:type="dxa"/>
            <w:tcBorders>
              <w:top w:val="single" w:sz="8" w:space="0" w:color="auto"/>
              <w:left w:val="nil"/>
              <w:bottom w:val="nil"/>
              <w:right w:val="nil"/>
            </w:tcBorders>
            <w:shd w:val="clear" w:color="000000" w:fill="FFFFFF"/>
            <w:noWrap/>
            <w:vAlign w:val="center"/>
            <w:hideMark/>
          </w:tcPr>
          <w:bookmarkEnd w:id="3"/>
          <w:p w14:paraId="0C9A558B"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Station</w:t>
            </w:r>
          </w:p>
        </w:tc>
        <w:tc>
          <w:tcPr>
            <w:tcW w:w="880" w:type="dxa"/>
            <w:tcBorders>
              <w:top w:val="single" w:sz="8" w:space="0" w:color="auto"/>
              <w:left w:val="nil"/>
              <w:bottom w:val="nil"/>
              <w:right w:val="nil"/>
            </w:tcBorders>
            <w:shd w:val="clear" w:color="000000" w:fill="FFFFFF"/>
            <w:noWrap/>
            <w:vAlign w:val="center"/>
            <w:hideMark/>
          </w:tcPr>
          <w:p w14:paraId="17D06381"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Depth</w:t>
            </w:r>
          </w:p>
        </w:tc>
        <w:tc>
          <w:tcPr>
            <w:tcW w:w="1200" w:type="dxa"/>
            <w:tcBorders>
              <w:top w:val="single" w:sz="8" w:space="0" w:color="auto"/>
              <w:left w:val="nil"/>
              <w:bottom w:val="nil"/>
              <w:right w:val="nil"/>
            </w:tcBorders>
            <w:shd w:val="clear" w:color="000000" w:fill="FFFFFF"/>
            <w:noWrap/>
            <w:vAlign w:val="center"/>
            <w:hideMark/>
          </w:tcPr>
          <w:p w14:paraId="30861392"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CaCO</w:t>
            </w:r>
            <w:r w:rsidRPr="00AA0CCC">
              <w:rPr>
                <w:rFonts w:eastAsia="Times New Roman" w:cs="Times New Roman"/>
                <w:color w:val="000000"/>
                <w:sz w:val="22"/>
                <w:vertAlign w:val="subscript"/>
                <w:lang w:eastAsia="ja-JP"/>
              </w:rPr>
              <w:t>3</w:t>
            </w:r>
          </w:p>
        </w:tc>
        <w:tc>
          <w:tcPr>
            <w:tcW w:w="990" w:type="dxa"/>
            <w:tcBorders>
              <w:top w:val="single" w:sz="8" w:space="0" w:color="auto"/>
              <w:left w:val="nil"/>
              <w:bottom w:val="nil"/>
              <w:right w:val="nil"/>
            </w:tcBorders>
            <w:shd w:val="clear" w:color="000000" w:fill="FFFFFF"/>
            <w:noWrap/>
            <w:vAlign w:val="center"/>
            <w:hideMark/>
          </w:tcPr>
          <w:p w14:paraId="22A99B5D"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Opal</w:t>
            </w:r>
          </w:p>
        </w:tc>
        <w:tc>
          <w:tcPr>
            <w:tcW w:w="1620" w:type="dxa"/>
            <w:tcBorders>
              <w:top w:val="single" w:sz="8" w:space="0" w:color="auto"/>
              <w:left w:val="nil"/>
              <w:bottom w:val="nil"/>
              <w:right w:val="nil"/>
            </w:tcBorders>
            <w:shd w:val="clear" w:color="000000" w:fill="FFFFFF"/>
            <w:noWrap/>
            <w:vAlign w:val="center"/>
            <w:hideMark/>
          </w:tcPr>
          <w:p w14:paraId="5FB9F1A9"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Organic matter</w:t>
            </w:r>
          </w:p>
        </w:tc>
        <w:tc>
          <w:tcPr>
            <w:tcW w:w="1170" w:type="dxa"/>
            <w:tcBorders>
              <w:top w:val="single" w:sz="8" w:space="0" w:color="auto"/>
              <w:left w:val="nil"/>
              <w:bottom w:val="nil"/>
              <w:right w:val="nil"/>
            </w:tcBorders>
            <w:shd w:val="clear" w:color="000000" w:fill="FFFFFF"/>
            <w:noWrap/>
            <w:vAlign w:val="center"/>
            <w:hideMark/>
          </w:tcPr>
          <w:p w14:paraId="7B78C70B"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Lithogenic</w:t>
            </w:r>
          </w:p>
        </w:tc>
        <w:tc>
          <w:tcPr>
            <w:tcW w:w="2070" w:type="dxa"/>
            <w:tcBorders>
              <w:top w:val="single" w:sz="8" w:space="0" w:color="auto"/>
              <w:left w:val="nil"/>
              <w:bottom w:val="nil"/>
              <w:right w:val="nil"/>
            </w:tcBorders>
            <w:shd w:val="clear" w:color="000000" w:fill="FFFFFF"/>
            <w:noWrap/>
            <w:vAlign w:val="center"/>
            <w:hideMark/>
          </w:tcPr>
          <w:p w14:paraId="6378EB5A" w14:textId="11247E31" w:rsidR="00AA0CCC" w:rsidRPr="00AA0CCC" w:rsidRDefault="00506461" w:rsidP="00AA0CCC">
            <w:pPr>
              <w:spacing w:before="0" w:after="0"/>
              <w:jc w:val="center"/>
              <w:rPr>
                <w:rFonts w:eastAsia="Times New Roman" w:cs="Times New Roman"/>
                <w:color w:val="000000"/>
                <w:sz w:val="22"/>
                <w:lang w:eastAsia="ja-JP"/>
              </w:rPr>
            </w:pPr>
            <w:r>
              <w:rPr>
                <w:rFonts w:eastAsia="Times New Roman" w:cs="Times New Roman"/>
                <w:color w:val="000000"/>
                <w:sz w:val="22"/>
                <w:lang w:eastAsia="ja-JP"/>
              </w:rPr>
              <w:t>Sedimentation</w:t>
            </w:r>
            <w:r w:rsidR="00AA0CCC" w:rsidRPr="00AA0CCC">
              <w:rPr>
                <w:rFonts w:eastAsia="Times New Roman" w:cs="Times New Roman"/>
                <w:color w:val="000000"/>
                <w:sz w:val="22"/>
                <w:lang w:eastAsia="ja-JP"/>
              </w:rPr>
              <w:t xml:space="preserve"> rates</w:t>
            </w:r>
          </w:p>
        </w:tc>
      </w:tr>
      <w:tr w:rsidR="00AA0CCC" w:rsidRPr="00AA0CCC" w14:paraId="622EBD15" w14:textId="77777777" w:rsidTr="00783842">
        <w:trPr>
          <w:trHeight w:val="330"/>
          <w:jc w:val="center"/>
        </w:trPr>
        <w:tc>
          <w:tcPr>
            <w:tcW w:w="1160" w:type="dxa"/>
            <w:tcBorders>
              <w:top w:val="nil"/>
              <w:left w:val="nil"/>
              <w:bottom w:val="single" w:sz="8" w:space="0" w:color="auto"/>
              <w:right w:val="nil"/>
            </w:tcBorders>
            <w:shd w:val="clear" w:color="000000" w:fill="FFFFFF"/>
            <w:noWrap/>
            <w:vAlign w:val="center"/>
            <w:hideMark/>
          </w:tcPr>
          <w:p w14:paraId="14783152"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w:t>
            </w:r>
          </w:p>
        </w:tc>
        <w:tc>
          <w:tcPr>
            <w:tcW w:w="880" w:type="dxa"/>
            <w:tcBorders>
              <w:top w:val="nil"/>
              <w:left w:val="nil"/>
              <w:bottom w:val="single" w:sz="8" w:space="0" w:color="auto"/>
              <w:right w:val="nil"/>
            </w:tcBorders>
            <w:shd w:val="clear" w:color="000000" w:fill="FFFFFF"/>
            <w:noWrap/>
            <w:vAlign w:val="center"/>
            <w:hideMark/>
          </w:tcPr>
          <w:p w14:paraId="6208C3AB" w14:textId="77777777" w:rsidR="00AA0CCC" w:rsidRPr="00AA0CCC" w:rsidRDefault="00AA0CCC" w:rsidP="00AA0CCC">
            <w:pPr>
              <w:spacing w:before="0" w:after="0"/>
              <w:jc w:val="center"/>
              <w:rPr>
                <w:rFonts w:eastAsia="Times New Roman" w:cs="Times New Roman"/>
                <w:i/>
                <w:iCs/>
                <w:color w:val="000000"/>
                <w:sz w:val="22"/>
                <w:lang w:eastAsia="ja-JP"/>
              </w:rPr>
            </w:pPr>
            <w:r w:rsidRPr="00AA0CCC">
              <w:rPr>
                <w:rFonts w:eastAsia="Times New Roman" w:cs="Times New Roman"/>
                <w:i/>
                <w:iCs/>
                <w:color w:val="000000"/>
                <w:sz w:val="22"/>
                <w:lang w:eastAsia="ja-JP"/>
              </w:rPr>
              <w:t>m</w:t>
            </w:r>
          </w:p>
        </w:tc>
        <w:tc>
          <w:tcPr>
            <w:tcW w:w="4980" w:type="dxa"/>
            <w:gridSpan w:val="4"/>
            <w:tcBorders>
              <w:top w:val="nil"/>
              <w:left w:val="nil"/>
              <w:bottom w:val="single" w:sz="8" w:space="0" w:color="auto"/>
              <w:right w:val="nil"/>
            </w:tcBorders>
            <w:shd w:val="clear" w:color="000000" w:fill="FFFFFF"/>
            <w:noWrap/>
            <w:vAlign w:val="center"/>
            <w:hideMark/>
          </w:tcPr>
          <w:p w14:paraId="05476FC2" w14:textId="77777777" w:rsidR="00AA0CCC" w:rsidRPr="00AA0CCC" w:rsidRDefault="00AA0CCC" w:rsidP="00AA0CCC">
            <w:pPr>
              <w:spacing w:before="0" w:after="0"/>
              <w:jc w:val="center"/>
              <w:rPr>
                <w:rFonts w:eastAsia="Times New Roman" w:cs="Times New Roman"/>
                <w:i/>
                <w:iCs/>
                <w:color w:val="000000"/>
                <w:sz w:val="22"/>
                <w:lang w:eastAsia="ja-JP"/>
              </w:rPr>
            </w:pPr>
            <w:r w:rsidRPr="00AA0CCC">
              <w:rPr>
                <w:rFonts w:eastAsia="Times New Roman" w:cs="Times New Roman"/>
                <w:i/>
                <w:iCs/>
                <w:color w:val="000000"/>
                <w:sz w:val="22"/>
                <w:lang w:eastAsia="ja-JP"/>
              </w:rPr>
              <w:t>wt.%</w:t>
            </w:r>
          </w:p>
        </w:tc>
        <w:tc>
          <w:tcPr>
            <w:tcW w:w="2070" w:type="dxa"/>
            <w:tcBorders>
              <w:top w:val="nil"/>
              <w:left w:val="nil"/>
              <w:bottom w:val="single" w:sz="8" w:space="0" w:color="auto"/>
              <w:right w:val="nil"/>
            </w:tcBorders>
            <w:shd w:val="clear" w:color="000000" w:fill="FFFFFF"/>
            <w:noWrap/>
            <w:vAlign w:val="center"/>
            <w:hideMark/>
          </w:tcPr>
          <w:p w14:paraId="209729E3" w14:textId="77777777" w:rsidR="00AA0CCC" w:rsidRPr="00AA0CCC" w:rsidRDefault="00AA0CCC" w:rsidP="00AA0CCC">
            <w:pPr>
              <w:spacing w:before="0" w:after="0"/>
              <w:jc w:val="center"/>
              <w:rPr>
                <w:rFonts w:eastAsia="Times New Roman" w:cs="Times New Roman"/>
                <w:i/>
                <w:iCs/>
                <w:color w:val="000000"/>
                <w:sz w:val="22"/>
                <w:lang w:eastAsia="ja-JP"/>
              </w:rPr>
            </w:pPr>
            <w:r w:rsidRPr="00AA0CCC">
              <w:rPr>
                <w:rFonts w:eastAsia="Times New Roman" w:cs="Times New Roman"/>
                <w:i/>
                <w:iCs/>
                <w:color w:val="000000"/>
                <w:sz w:val="22"/>
                <w:lang w:eastAsia="ja-JP"/>
              </w:rPr>
              <w:t>cm kyr</w:t>
            </w:r>
            <w:r w:rsidRPr="00AA0CCC">
              <w:rPr>
                <w:rFonts w:eastAsia="Times New Roman" w:cs="Times New Roman"/>
                <w:i/>
                <w:iCs/>
                <w:color w:val="000000"/>
                <w:sz w:val="22"/>
                <w:vertAlign w:val="superscript"/>
                <w:lang w:eastAsia="ja-JP"/>
              </w:rPr>
              <w:t>-1</w:t>
            </w:r>
          </w:p>
        </w:tc>
      </w:tr>
      <w:tr w:rsidR="00AA0CCC" w:rsidRPr="00AA0CCC" w14:paraId="1ADDBEA1" w14:textId="77777777" w:rsidTr="00783842">
        <w:trPr>
          <w:trHeight w:val="290"/>
          <w:jc w:val="center"/>
        </w:trPr>
        <w:tc>
          <w:tcPr>
            <w:tcW w:w="1160" w:type="dxa"/>
            <w:tcBorders>
              <w:top w:val="nil"/>
              <w:left w:val="nil"/>
              <w:bottom w:val="nil"/>
              <w:right w:val="nil"/>
            </w:tcBorders>
            <w:shd w:val="clear" w:color="000000" w:fill="FFFFFF"/>
            <w:noWrap/>
            <w:vAlign w:val="center"/>
            <w:hideMark/>
          </w:tcPr>
          <w:p w14:paraId="3618C3BE"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Station 5</w:t>
            </w:r>
          </w:p>
        </w:tc>
        <w:tc>
          <w:tcPr>
            <w:tcW w:w="880" w:type="dxa"/>
            <w:tcBorders>
              <w:top w:val="nil"/>
              <w:left w:val="nil"/>
              <w:bottom w:val="nil"/>
              <w:right w:val="nil"/>
            </w:tcBorders>
            <w:shd w:val="clear" w:color="000000" w:fill="FFFFFF"/>
            <w:noWrap/>
            <w:vAlign w:val="center"/>
            <w:hideMark/>
          </w:tcPr>
          <w:p w14:paraId="6F1A2630"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2140</w:t>
            </w:r>
          </w:p>
        </w:tc>
        <w:tc>
          <w:tcPr>
            <w:tcW w:w="1200" w:type="dxa"/>
            <w:tcBorders>
              <w:top w:val="nil"/>
              <w:left w:val="nil"/>
              <w:bottom w:val="nil"/>
              <w:right w:val="nil"/>
            </w:tcBorders>
            <w:shd w:val="clear" w:color="000000" w:fill="FFFFFF"/>
            <w:noWrap/>
            <w:vAlign w:val="center"/>
            <w:hideMark/>
          </w:tcPr>
          <w:p w14:paraId="5937FB4B"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2 ± 1</w:t>
            </w:r>
          </w:p>
        </w:tc>
        <w:tc>
          <w:tcPr>
            <w:tcW w:w="990" w:type="dxa"/>
            <w:tcBorders>
              <w:top w:val="nil"/>
              <w:left w:val="nil"/>
              <w:bottom w:val="nil"/>
              <w:right w:val="nil"/>
            </w:tcBorders>
            <w:shd w:val="clear" w:color="000000" w:fill="FFFFFF"/>
            <w:noWrap/>
            <w:vAlign w:val="center"/>
            <w:hideMark/>
          </w:tcPr>
          <w:p w14:paraId="53B04FD3"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9 ± 1</w:t>
            </w:r>
          </w:p>
        </w:tc>
        <w:tc>
          <w:tcPr>
            <w:tcW w:w="1620" w:type="dxa"/>
            <w:tcBorders>
              <w:top w:val="nil"/>
              <w:left w:val="nil"/>
              <w:bottom w:val="nil"/>
              <w:right w:val="nil"/>
            </w:tcBorders>
            <w:shd w:val="clear" w:color="000000" w:fill="FFFFFF"/>
            <w:noWrap/>
            <w:vAlign w:val="center"/>
            <w:hideMark/>
          </w:tcPr>
          <w:p w14:paraId="2DF33ADA"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0.1 ± 0.03</w:t>
            </w:r>
          </w:p>
        </w:tc>
        <w:tc>
          <w:tcPr>
            <w:tcW w:w="1170" w:type="dxa"/>
            <w:tcBorders>
              <w:top w:val="nil"/>
              <w:left w:val="nil"/>
              <w:bottom w:val="nil"/>
              <w:right w:val="nil"/>
            </w:tcBorders>
            <w:shd w:val="clear" w:color="000000" w:fill="FFFFFF"/>
            <w:noWrap/>
            <w:vAlign w:val="center"/>
            <w:hideMark/>
          </w:tcPr>
          <w:p w14:paraId="672597EE"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90 ± 1</w:t>
            </w:r>
          </w:p>
        </w:tc>
        <w:tc>
          <w:tcPr>
            <w:tcW w:w="2070" w:type="dxa"/>
            <w:tcBorders>
              <w:top w:val="nil"/>
              <w:left w:val="nil"/>
              <w:bottom w:val="nil"/>
              <w:right w:val="nil"/>
            </w:tcBorders>
            <w:shd w:val="clear" w:color="000000" w:fill="FFFFFF"/>
            <w:noWrap/>
            <w:vAlign w:val="center"/>
            <w:hideMark/>
          </w:tcPr>
          <w:p w14:paraId="28428464"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58 ± 10</w:t>
            </w:r>
          </w:p>
        </w:tc>
      </w:tr>
      <w:tr w:rsidR="00AA0CCC" w:rsidRPr="00AA0CCC" w14:paraId="40B022DA" w14:textId="77777777" w:rsidTr="00783842">
        <w:trPr>
          <w:trHeight w:val="290"/>
          <w:jc w:val="center"/>
        </w:trPr>
        <w:tc>
          <w:tcPr>
            <w:tcW w:w="1160" w:type="dxa"/>
            <w:tcBorders>
              <w:top w:val="nil"/>
              <w:left w:val="nil"/>
              <w:bottom w:val="nil"/>
              <w:right w:val="nil"/>
            </w:tcBorders>
            <w:shd w:val="clear" w:color="000000" w:fill="FFFFFF"/>
            <w:noWrap/>
            <w:vAlign w:val="center"/>
            <w:hideMark/>
          </w:tcPr>
          <w:p w14:paraId="47E6F935"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Station 10</w:t>
            </w:r>
          </w:p>
        </w:tc>
        <w:tc>
          <w:tcPr>
            <w:tcW w:w="880" w:type="dxa"/>
            <w:tcBorders>
              <w:top w:val="nil"/>
              <w:left w:val="nil"/>
              <w:bottom w:val="nil"/>
              <w:right w:val="nil"/>
            </w:tcBorders>
            <w:shd w:val="clear" w:color="000000" w:fill="FFFFFF"/>
            <w:noWrap/>
            <w:vAlign w:val="center"/>
            <w:hideMark/>
          </w:tcPr>
          <w:p w14:paraId="02F3547A"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1930</w:t>
            </w:r>
          </w:p>
        </w:tc>
        <w:tc>
          <w:tcPr>
            <w:tcW w:w="1200" w:type="dxa"/>
            <w:tcBorders>
              <w:top w:val="nil"/>
              <w:left w:val="nil"/>
              <w:bottom w:val="nil"/>
              <w:right w:val="nil"/>
            </w:tcBorders>
            <w:shd w:val="clear" w:color="000000" w:fill="FFFFFF"/>
            <w:noWrap/>
            <w:vAlign w:val="center"/>
            <w:hideMark/>
          </w:tcPr>
          <w:p w14:paraId="4BFC8737"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4 ± 1</w:t>
            </w:r>
          </w:p>
        </w:tc>
        <w:tc>
          <w:tcPr>
            <w:tcW w:w="990" w:type="dxa"/>
            <w:tcBorders>
              <w:top w:val="nil"/>
              <w:left w:val="nil"/>
              <w:bottom w:val="nil"/>
              <w:right w:val="nil"/>
            </w:tcBorders>
            <w:shd w:val="clear" w:color="000000" w:fill="FFFFFF"/>
            <w:noWrap/>
            <w:vAlign w:val="center"/>
            <w:hideMark/>
          </w:tcPr>
          <w:p w14:paraId="31DC19FB"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7 ± 1</w:t>
            </w:r>
          </w:p>
        </w:tc>
        <w:tc>
          <w:tcPr>
            <w:tcW w:w="1620" w:type="dxa"/>
            <w:tcBorders>
              <w:top w:val="nil"/>
              <w:left w:val="nil"/>
              <w:bottom w:val="nil"/>
              <w:right w:val="nil"/>
            </w:tcBorders>
            <w:shd w:val="clear" w:color="000000" w:fill="FFFFFF"/>
            <w:noWrap/>
            <w:vAlign w:val="center"/>
            <w:hideMark/>
          </w:tcPr>
          <w:p w14:paraId="63DD8A39"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0.1 ± 0.03</w:t>
            </w:r>
          </w:p>
        </w:tc>
        <w:tc>
          <w:tcPr>
            <w:tcW w:w="1170" w:type="dxa"/>
            <w:tcBorders>
              <w:top w:val="nil"/>
              <w:left w:val="nil"/>
              <w:bottom w:val="nil"/>
              <w:right w:val="nil"/>
            </w:tcBorders>
            <w:shd w:val="clear" w:color="000000" w:fill="FFFFFF"/>
            <w:noWrap/>
            <w:vAlign w:val="center"/>
            <w:hideMark/>
          </w:tcPr>
          <w:p w14:paraId="450C96F5"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88 ± 3</w:t>
            </w:r>
          </w:p>
        </w:tc>
        <w:tc>
          <w:tcPr>
            <w:tcW w:w="2070" w:type="dxa"/>
            <w:tcBorders>
              <w:top w:val="nil"/>
              <w:left w:val="nil"/>
              <w:bottom w:val="nil"/>
              <w:right w:val="nil"/>
            </w:tcBorders>
            <w:shd w:val="clear" w:color="000000" w:fill="FFFFFF"/>
            <w:noWrap/>
            <w:vAlign w:val="center"/>
            <w:hideMark/>
          </w:tcPr>
          <w:p w14:paraId="0F07FE36"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47 ± 7</w:t>
            </w:r>
          </w:p>
        </w:tc>
      </w:tr>
      <w:tr w:rsidR="00AA0CCC" w:rsidRPr="00AA0CCC" w14:paraId="1C77AA41" w14:textId="77777777" w:rsidTr="00783842">
        <w:trPr>
          <w:trHeight w:val="290"/>
          <w:jc w:val="center"/>
        </w:trPr>
        <w:tc>
          <w:tcPr>
            <w:tcW w:w="1160" w:type="dxa"/>
            <w:tcBorders>
              <w:top w:val="nil"/>
              <w:left w:val="nil"/>
              <w:bottom w:val="nil"/>
              <w:right w:val="nil"/>
            </w:tcBorders>
            <w:shd w:val="clear" w:color="000000" w:fill="FFFFFF"/>
            <w:noWrap/>
            <w:vAlign w:val="center"/>
            <w:hideMark/>
          </w:tcPr>
          <w:p w14:paraId="4035D8BE"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Station 12</w:t>
            </w:r>
          </w:p>
        </w:tc>
        <w:tc>
          <w:tcPr>
            <w:tcW w:w="880" w:type="dxa"/>
            <w:tcBorders>
              <w:top w:val="nil"/>
              <w:left w:val="nil"/>
              <w:bottom w:val="nil"/>
              <w:right w:val="nil"/>
            </w:tcBorders>
            <w:shd w:val="clear" w:color="000000" w:fill="FFFFFF"/>
            <w:noWrap/>
            <w:vAlign w:val="center"/>
            <w:hideMark/>
          </w:tcPr>
          <w:p w14:paraId="6CC8B8CD"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1940</w:t>
            </w:r>
          </w:p>
        </w:tc>
        <w:tc>
          <w:tcPr>
            <w:tcW w:w="1200" w:type="dxa"/>
            <w:tcBorders>
              <w:top w:val="nil"/>
              <w:left w:val="nil"/>
              <w:bottom w:val="nil"/>
              <w:right w:val="nil"/>
            </w:tcBorders>
            <w:shd w:val="clear" w:color="000000" w:fill="FFFFFF"/>
            <w:noWrap/>
            <w:vAlign w:val="center"/>
            <w:hideMark/>
          </w:tcPr>
          <w:p w14:paraId="6B66911F"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64 ± 1</w:t>
            </w:r>
          </w:p>
        </w:tc>
        <w:tc>
          <w:tcPr>
            <w:tcW w:w="990" w:type="dxa"/>
            <w:tcBorders>
              <w:top w:val="nil"/>
              <w:left w:val="nil"/>
              <w:bottom w:val="nil"/>
              <w:right w:val="nil"/>
            </w:tcBorders>
            <w:shd w:val="clear" w:color="000000" w:fill="FFFFFF"/>
            <w:noWrap/>
            <w:vAlign w:val="center"/>
            <w:hideMark/>
          </w:tcPr>
          <w:p w14:paraId="58DA4DD1"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13 ± 1</w:t>
            </w:r>
          </w:p>
        </w:tc>
        <w:tc>
          <w:tcPr>
            <w:tcW w:w="1620" w:type="dxa"/>
            <w:tcBorders>
              <w:top w:val="nil"/>
              <w:left w:val="nil"/>
              <w:bottom w:val="nil"/>
              <w:right w:val="nil"/>
            </w:tcBorders>
            <w:shd w:val="clear" w:color="000000" w:fill="FFFFFF"/>
            <w:noWrap/>
            <w:vAlign w:val="center"/>
            <w:hideMark/>
          </w:tcPr>
          <w:p w14:paraId="49E838FF"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0.4 ± 0.1</w:t>
            </w:r>
          </w:p>
        </w:tc>
        <w:tc>
          <w:tcPr>
            <w:tcW w:w="1170" w:type="dxa"/>
            <w:tcBorders>
              <w:top w:val="nil"/>
              <w:left w:val="nil"/>
              <w:bottom w:val="nil"/>
              <w:right w:val="nil"/>
            </w:tcBorders>
            <w:shd w:val="clear" w:color="000000" w:fill="FFFFFF"/>
            <w:noWrap/>
            <w:vAlign w:val="center"/>
            <w:hideMark/>
          </w:tcPr>
          <w:p w14:paraId="6CDF61F4"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23 ± 3</w:t>
            </w:r>
          </w:p>
        </w:tc>
        <w:tc>
          <w:tcPr>
            <w:tcW w:w="2070" w:type="dxa"/>
            <w:tcBorders>
              <w:top w:val="nil"/>
              <w:left w:val="nil"/>
              <w:bottom w:val="nil"/>
              <w:right w:val="nil"/>
            </w:tcBorders>
            <w:shd w:val="clear" w:color="000000" w:fill="FFFFFF"/>
            <w:noWrap/>
            <w:vAlign w:val="center"/>
            <w:hideMark/>
          </w:tcPr>
          <w:p w14:paraId="50BDCD3E"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61 ± 6</w:t>
            </w:r>
          </w:p>
        </w:tc>
      </w:tr>
      <w:tr w:rsidR="00AA0CCC" w:rsidRPr="00AA0CCC" w14:paraId="18CA9924" w14:textId="77777777" w:rsidTr="00783842">
        <w:trPr>
          <w:trHeight w:val="300"/>
          <w:jc w:val="center"/>
        </w:trPr>
        <w:tc>
          <w:tcPr>
            <w:tcW w:w="1160" w:type="dxa"/>
            <w:tcBorders>
              <w:top w:val="nil"/>
              <w:left w:val="nil"/>
              <w:bottom w:val="single" w:sz="8" w:space="0" w:color="auto"/>
              <w:right w:val="nil"/>
            </w:tcBorders>
            <w:shd w:val="clear" w:color="000000" w:fill="FFFFFF"/>
            <w:noWrap/>
            <w:vAlign w:val="center"/>
            <w:hideMark/>
          </w:tcPr>
          <w:p w14:paraId="35CB3437"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Station 8</w:t>
            </w:r>
          </w:p>
        </w:tc>
        <w:tc>
          <w:tcPr>
            <w:tcW w:w="880" w:type="dxa"/>
            <w:tcBorders>
              <w:top w:val="nil"/>
              <w:left w:val="nil"/>
              <w:bottom w:val="single" w:sz="8" w:space="0" w:color="auto"/>
              <w:right w:val="nil"/>
            </w:tcBorders>
            <w:shd w:val="clear" w:color="000000" w:fill="FFFFFF"/>
            <w:noWrap/>
            <w:vAlign w:val="center"/>
            <w:hideMark/>
          </w:tcPr>
          <w:p w14:paraId="4F9EE916"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5326</w:t>
            </w:r>
          </w:p>
        </w:tc>
        <w:tc>
          <w:tcPr>
            <w:tcW w:w="1200" w:type="dxa"/>
            <w:tcBorders>
              <w:top w:val="nil"/>
              <w:left w:val="nil"/>
              <w:bottom w:val="single" w:sz="8" w:space="0" w:color="auto"/>
              <w:right w:val="nil"/>
            </w:tcBorders>
            <w:shd w:val="clear" w:color="000000" w:fill="FFFFFF"/>
            <w:noWrap/>
            <w:vAlign w:val="center"/>
            <w:hideMark/>
          </w:tcPr>
          <w:p w14:paraId="1E60D94B"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0.3 ± 0.1</w:t>
            </w:r>
          </w:p>
        </w:tc>
        <w:tc>
          <w:tcPr>
            <w:tcW w:w="990" w:type="dxa"/>
            <w:tcBorders>
              <w:top w:val="nil"/>
              <w:left w:val="nil"/>
              <w:bottom w:val="single" w:sz="8" w:space="0" w:color="auto"/>
              <w:right w:val="nil"/>
            </w:tcBorders>
            <w:shd w:val="clear" w:color="000000" w:fill="FFFFFF"/>
            <w:noWrap/>
            <w:vAlign w:val="center"/>
            <w:hideMark/>
          </w:tcPr>
          <w:p w14:paraId="047CE618"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11 ± 0.1</w:t>
            </w:r>
          </w:p>
        </w:tc>
        <w:tc>
          <w:tcPr>
            <w:tcW w:w="1620" w:type="dxa"/>
            <w:tcBorders>
              <w:top w:val="nil"/>
              <w:left w:val="nil"/>
              <w:bottom w:val="single" w:sz="8" w:space="0" w:color="auto"/>
              <w:right w:val="nil"/>
            </w:tcBorders>
            <w:shd w:val="clear" w:color="000000" w:fill="FFFFFF"/>
            <w:noWrap/>
            <w:vAlign w:val="center"/>
            <w:hideMark/>
          </w:tcPr>
          <w:p w14:paraId="4693E403" w14:textId="77777777"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0.6 ± 0.2</w:t>
            </w:r>
          </w:p>
        </w:tc>
        <w:tc>
          <w:tcPr>
            <w:tcW w:w="1170" w:type="dxa"/>
            <w:tcBorders>
              <w:top w:val="nil"/>
              <w:left w:val="nil"/>
              <w:bottom w:val="single" w:sz="8" w:space="0" w:color="auto"/>
              <w:right w:val="nil"/>
            </w:tcBorders>
            <w:shd w:val="clear" w:color="000000" w:fill="FFFFFF"/>
            <w:noWrap/>
            <w:vAlign w:val="center"/>
            <w:hideMark/>
          </w:tcPr>
          <w:p w14:paraId="329F10E5" w14:textId="095FA743" w:rsidR="00AA0CCC" w:rsidRPr="00AA0CCC" w:rsidRDefault="00AA0CCC" w:rsidP="00AA0CCC">
            <w:pPr>
              <w:spacing w:before="0" w:after="0"/>
              <w:jc w:val="center"/>
              <w:rPr>
                <w:rFonts w:eastAsia="Times New Roman" w:cs="Times New Roman"/>
                <w:color w:val="000000"/>
                <w:sz w:val="22"/>
                <w:lang w:eastAsia="ja-JP"/>
              </w:rPr>
            </w:pPr>
            <w:r w:rsidRPr="00AA0CCC">
              <w:rPr>
                <w:rFonts w:eastAsia="Times New Roman" w:cs="Times New Roman"/>
                <w:color w:val="000000"/>
                <w:sz w:val="22"/>
                <w:lang w:eastAsia="ja-JP"/>
              </w:rPr>
              <w:t>8</w:t>
            </w:r>
            <w:r w:rsidR="0072736B">
              <w:rPr>
                <w:rFonts w:eastAsia="Times New Roman" w:cs="Times New Roman"/>
                <w:color w:val="000000"/>
                <w:sz w:val="22"/>
                <w:lang w:eastAsia="ja-JP"/>
              </w:rPr>
              <w:t>8</w:t>
            </w:r>
            <w:r w:rsidRPr="00AA0CCC">
              <w:rPr>
                <w:rFonts w:eastAsia="Times New Roman" w:cs="Times New Roman"/>
                <w:color w:val="000000"/>
                <w:sz w:val="22"/>
                <w:lang w:eastAsia="ja-JP"/>
              </w:rPr>
              <w:t xml:space="preserve"> ± 2</w:t>
            </w:r>
          </w:p>
        </w:tc>
        <w:tc>
          <w:tcPr>
            <w:tcW w:w="2070" w:type="dxa"/>
            <w:tcBorders>
              <w:top w:val="nil"/>
              <w:left w:val="nil"/>
              <w:bottom w:val="single" w:sz="8" w:space="0" w:color="auto"/>
              <w:right w:val="nil"/>
            </w:tcBorders>
            <w:shd w:val="clear" w:color="000000" w:fill="FFFFFF"/>
            <w:noWrap/>
            <w:vAlign w:val="center"/>
            <w:hideMark/>
          </w:tcPr>
          <w:p w14:paraId="1B57F7D0" w14:textId="6B91DFC7" w:rsidR="00AA0CCC" w:rsidRPr="00AA0CCC" w:rsidRDefault="00783842" w:rsidP="00AA0CCC">
            <w:pPr>
              <w:spacing w:before="0" w:after="0"/>
              <w:jc w:val="center"/>
              <w:rPr>
                <w:rFonts w:eastAsia="Times New Roman" w:cs="Times New Roman"/>
                <w:color w:val="000000"/>
                <w:sz w:val="22"/>
                <w:lang w:eastAsia="ja-JP"/>
              </w:rPr>
            </w:pPr>
            <w:r>
              <w:rPr>
                <w:rFonts w:eastAsia="Times New Roman" w:cs="Times New Roman"/>
                <w:color w:val="000000"/>
                <w:sz w:val="22"/>
                <w:lang w:eastAsia="ja-JP"/>
              </w:rPr>
              <w:t>58*</w:t>
            </w:r>
          </w:p>
        </w:tc>
      </w:tr>
    </w:tbl>
    <w:p w14:paraId="56303CA8" w14:textId="1EA69184" w:rsidR="00AA0CCC" w:rsidRPr="00783842" w:rsidRDefault="00783842" w:rsidP="00E72E15">
      <w:pPr>
        <w:jc w:val="both"/>
        <w:rPr>
          <w:rFonts w:eastAsia="Times New Roman" w:cs="Times New Roman"/>
          <w:szCs w:val="24"/>
          <w:lang w:eastAsia="ja-JP"/>
        </w:rPr>
      </w:pPr>
      <w:bookmarkStart w:id="4" w:name="_Hlk125557806"/>
      <w:r w:rsidRPr="00783842">
        <w:rPr>
          <w:rFonts w:eastAsia="Times New Roman" w:cs="Times New Roman"/>
          <w:i/>
          <w:iCs/>
          <w:color w:val="000000"/>
          <w:sz w:val="21"/>
          <w:szCs w:val="21"/>
          <w:lang w:eastAsia="ja-JP"/>
        </w:rPr>
        <w:t>Note</w:t>
      </w:r>
      <w:r w:rsidRPr="00783842">
        <w:rPr>
          <w:rFonts w:eastAsia="Times New Roman" w:cs="Times New Roman"/>
          <w:color w:val="000000"/>
          <w:sz w:val="21"/>
          <w:szCs w:val="21"/>
          <w:lang w:eastAsia="ja-JP"/>
        </w:rPr>
        <w:t>. Due to Ra</w:t>
      </w:r>
      <w:r w:rsidR="00FE22A1">
        <w:rPr>
          <w:rFonts w:eastAsia="Times New Roman" w:cs="Times New Roman"/>
          <w:color w:val="000000"/>
          <w:sz w:val="21"/>
          <w:szCs w:val="21"/>
          <w:lang w:eastAsia="ja-JP"/>
        </w:rPr>
        <w:t xml:space="preserve"> enrichment</w:t>
      </w:r>
      <w:r w:rsidRPr="00783842">
        <w:rPr>
          <w:rFonts w:eastAsia="Times New Roman" w:cs="Times New Roman"/>
          <w:color w:val="000000"/>
          <w:sz w:val="21"/>
          <w:szCs w:val="21"/>
          <w:lang w:eastAsia="ja-JP"/>
        </w:rPr>
        <w:t xml:space="preserve"> of probable hydrothermal origin at station 8, the estimated sedimentation rate has been given as an indication only (see section 3.4). </w:t>
      </w:r>
    </w:p>
    <w:bookmarkEnd w:id="4"/>
    <w:p w14:paraId="5E83F6C4" w14:textId="39FBC0CF" w:rsidR="00715B72" w:rsidRDefault="00715B72" w:rsidP="000D1D1D">
      <w:pPr>
        <w:pStyle w:val="Titre2"/>
      </w:pPr>
      <w:r>
        <w:t>Laboratory work</w:t>
      </w:r>
    </w:p>
    <w:p w14:paraId="0A20A809" w14:textId="6ACD61B5" w:rsidR="001B46FD" w:rsidRPr="001B46FD" w:rsidRDefault="001B46FD" w:rsidP="001B46FD">
      <w:pPr>
        <w:pStyle w:val="Titre3"/>
        <w:rPr>
          <w:b w:val="0"/>
          <w:bCs/>
          <w:i/>
          <w:iCs/>
        </w:rPr>
      </w:pPr>
      <w:r>
        <w:rPr>
          <w:b w:val="0"/>
          <w:bCs/>
          <w:i/>
          <w:iCs/>
        </w:rPr>
        <w:t>Elemental composition of sinking material and seafloor sediments</w:t>
      </w:r>
    </w:p>
    <w:p w14:paraId="4DA1F433" w14:textId="26466820" w:rsidR="00F339A4" w:rsidRPr="003E1E7B" w:rsidRDefault="00F339A4" w:rsidP="00D23535">
      <w:pPr>
        <w:spacing w:line="480" w:lineRule="auto"/>
        <w:jc w:val="both"/>
        <w:rPr>
          <w:rFonts w:cs="Times New Roman"/>
        </w:rPr>
      </w:pPr>
      <w:bookmarkStart w:id="5" w:name="_Hlk125557907"/>
      <w:r>
        <w:t>Sediment trap samples</w:t>
      </w:r>
      <w:r w:rsidR="004C60A5">
        <w:t xml:space="preserve"> were processed by the “Cellule </w:t>
      </w:r>
      <w:proofErr w:type="spellStart"/>
      <w:r w:rsidR="004C60A5">
        <w:t>Pièges</w:t>
      </w:r>
      <w:proofErr w:type="spellEnd"/>
      <w:r w:rsidR="004C60A5">
        <w:t>” (INSU-CNRS</w:t>
      </w:r>
      <w:r w:rsidR="00715A29">
        <w:t xml:space="preserve">: </w:t>
      </w:r>
      <w:hyperlink r:id="rId11" w:history="1">
        <w:r w:rsidR="005756F0" w:rsidRPr="00CB6847">
          <w:rPr>
            <w:rStyle w:val="Lienhypertexte"/>
          </w:rPr>
          <w:t>https://www.imev-mer.fr/web/?p=526</w:t>
        </w:r>
      </w:hyperlink>
      <w:r w:rsidR="005756F0">
        <w:rPr>
          <w:color w:val="000000"/>
        </w:rPr>
        <w:t xml:space="preserve">). </w:t>
      </w:r>
      <w:r w:rsidR="004C60A5">
        <w:t xml:space="preserve">For each sediment trap cup, swimmers were carefully removed with Teflon tweezers under a </w:t>
      </w:r>
      <w:r>
        <w:t>stereo</w:t>
      </w:r>
      <w:r w:rsidR="004C60A5">
        <w:t>microscope (L</w:t>
      </w:r>
      <w:r w:rsidR="008C7132">
        <w:t>eica</w:t>
      </w:r>
      <w:r w:rsidR="004C60A5">
        <w:t xml:space="preserve"> W</w:t>
      </w:r>
      <w:r w:rsidR="008C7132">
        <w:t>ild</w:t>
      </w:r>
      <w:r w:rsidR="004C60A5">
        <w:t xml:space="preserve"> MZ8). Any visible material attached to the swimmers was removed whe</w:t>
      </w:r>
      <w:r w:rsidR="001C4C07">
        <w:t>n</w:t>
      </w:r>
      <w:r w:rsidR="004C60A5">
        <w:t xml:space="preserve">ever possible, to avoid biasing particle flux. </w:t>
      </w:r>
      <w:r w:rsidR="005756F0">
        <w:rPr>
          <w:color w:val="000000"/>
        </w:rPr>
        <w:t>Samples were</w:t>
      </w:r>
      <w:r w:rsidR="007D36B1">
        <w:rPr>
          <w:color w:val="000000"/>
        </w:rPr>
        <w:t xml:space="preserve"> then</w:t>
      </w:r>
      <w:r w:rsidR="005756F0">
        <w:rPr>
          <w:color w:val="000000"/>
        </w:rPr>
        <w:t xml:space="preserve"> rinsed three times with 50 mL of MilliQ water to remove salts and lyophilized </w:t>
      </w:r>
      <w:r w:rsidR="00F72D6B">
        <w:rPr>
          <w:color w:val="000000"/>
        </w:rPr>
        <w:t>for seven days</w:t>
      </w:r>
      <w:r w:rsidR="005756F0">
        <w:rPr>
          <w:color w:val="000000"/>
        </w:rPr>
        <w:t xml:space="preserve">. The total weight (wt) of each sample was measured on a Sartorius precision </w:t>
      </w:r>
      <w:r w:rsidR="005756F0" w:rsidRPr="003E1E7B">
        <w:rPr>
          <w:rFonts w:cs="Times New Roman"/>
          <w:color w:val="000000"/>
        </w:rPr>
        <w:t>balance</w:t>
      </w:r>
      <w:r w:rsidR="001B291B" w:rsidRPr="003E1E7B">
        <w:rPr>
          <w:rFonts w:cs="Times New Roman"/>
          <w:color w:val="000000"/>
        </w:rPr>
        <w:t xml:space="preserve"> </w:t>
      </w:r>
      <w:r w:rsidR="003E1E7B">
        <w:rPr>
          <w:rFonts w:cs="Times New Roman"/>
          <w:color w:val="000000"/>
        </w:rPr>
        <w:t>(</w:t>
      </w:r>
      <w:r w:rsidR="001B291B" w:rsidRPr="003E1E7B">
        <w:rPr>
          <w:rFonts w:cs="Times New Roman"/>
          <w:color w:val="000000"/>
        </w:rPr>
        <w:t>±</w:t>
      </w:r>
      <w:r w:rsidR="003E1E7B">
        <w:rPr>
          <w:rFonts w:cs="Times New Roman"/>
          <w:color w:val="000000"/>
        </w:rPr>
        <w:t xml:space="preserve"> 0.01 mg)</w:t>
      </w:r>
      <w:r w:rsidR="005756F0" w:rsidRPr="003E1E7B">
        <w:rPr>
          <w:rFonts w:cs="Times New Roman"/>
          <w:color w:val="000000"/>
        </w:rPr>
        <w:t>.</w:t>
      </w:r>
    </w:p>
    <w:p w14:paraId="78A5C9AD" w14:textId="52F89D14" w:rsidR="001B7942" w:rsidRDefault="001B7942" w:rsidP="00D23535">
      <w:pPr>
        <w:spacing w:line="480" w:lineRule="auto"/>
        <w:jc w:val="both"/>
        <w:rPr>
          <w:color w:val="000000"/>
        </w:rPr>
      </w:pPr>
      <w:r>
        <w:rPr>
          <w:color w:val="000000"/>
        </w:rPr>
        <w:t xml:space="preserve">Seafloor sediment samples were thawed at room temperature and lyophilized for </w:t>
      </w:r>
      <w:r w:rsidR="00F72D6B">
        <w:rPr>
          <w:color w:val="000000"/>
        </w:rPr>
        <w:t>seven days</w:t>
      </w:r>
      <w:r>
        <w:rPr>
          <w:color w:val="000000"/>
        </w:rPr>
        <w:t>.</w:t>
      </w:r>
    </w:p>
    <w:p w14:paraId="0739D53F" w14:textId="43850DF7" w:rsidR="00FE4B15" w:rsidRDefault="000D698A" w:rsidP="00D23535">
      <w:pPr>
        <w:spacing w:line="480" w:lineRule="auto"/>
        <w:jc w:val="both"/>
      </w:pPr>
      <w:r>
        <w:rPr>
          <w:color w:val="000000"/>
        </w:rPr>
        <w:t>Both seafloor sediments and sediment trap samples</w:t>
      </w:r>
      <w:r>
        <w:t xml:space="preserve"> </w:t>
      </w:r>
      <w:r w:rsidR="00F339A4">
        <w:t>were then split in d</w:t>
      </w:r>
      <w:r w:rsidR="00B839E6">
        <w:t xml:space="preserve">ifferent </w:t>
      </w:r>
      <w:r w:rsidR="00F339A4">
        <w:t xml:space="preserve">pre-weighted </w:t>
      </w:r>
      <w:r w:rsidR="00B839E6">
        <w:t>aliquots</w:t>
      </w:r>
      <w:r w:rsidR="00C04D3A">
        <w:t xml:space="preserve"> </w:t>
      </w:r>
      <w:r w:rsidR="00583D81">
        <w:t xml:space="preserve">(~10-20 mg) </w:t>
      </w:r>
      <w:r w:rsidR="00B839E6">
        <w:t>for various analyses. Total carbon was measured with a CHN elemental analyzer (2400 Series II CHNS/O, Perkin Elmer</w:t>
      </w:r>
      <w:r w:rsidR="009D30EA">
        <w:t>®</w:t>
      </w:r>
      <w:r w:rsidR="00B650EB">
        <w:t xml:space="preserve">; </w:t>
      </w:r>
      <w:r w:rsidR="00B650EB" w:rsidRPr="00B650EB">
        <w:rPr>
          <w:rFonts w:cs="Times New Roman"/>
        </w:rPr>
        <w:t>precision ± 0.3%</w:t>
      </w:r>
      <w:r w:rsidR="00B839E6" w:rsidRPr="00B650EB">
        <w:rPr>
          <w:rFonts w:cs="Times New Roman"/>
        </w:rPr>
        <w:t>).</w:t>
      </w:r>
      <w:r w:rsidR="00B839E6">
        <w:t xml:space="preserve"> Particulate organic carbon (POC) was determined similarly, after</w:t>
      </w:r>
      <w:r w:rsidR="00567307">
        <w:t xml:space="preserve"> particulate</w:t>
      </w:r>
      <w:r w:rsidR="00B839E6">
        <w:t xml:space="preserve"> inorganic carbon</w:t>
      </w:r>
      <w:r w:rsidR="00567307">
        <w:t xml:space="preserve"> (PIC)</w:t>
      </w:r>
      <w:r w:rsidR="00B839E6">
        <w:t xml:space="preserve"> removal by acidification with 2 N hydrochloric acid.</w:t>
      </w:r>
      <w:r w:rsidR="00876FB0">
        <w:t xml:space="preserve"> </w:t>
      </w:r>
      <w:r w:rsidR="00C04D3A">
        <w:t xml:space="preserve">Biogenic (BSi) and lithogenic (LSi) silica measurements were performed </w:t>
      </w:r>
      <w:r w:rsidR="006078B7">
        <w:t>after</w:t>
      </w:r>
      <w:r w:rsidR="00C04D3A">
        <w:t xml:space="preserve"> sodium hydroxide (NaOH)</w:t>
      </w:r>
      <w:r w:rsidR="00071AFD">
        <w:t xml:space="preserve"> </w:t>
      </w:r>
      <w:r w:rsidR="00C04D3A">
        <w:t>and hydrofluoric acid (HF) digestion</w:t>
      </w:r>
      <w:r w:rsidR="00071AFD">
        <w:t xml:space="preserve"> </w:t>
      </w:r>
      <w:r w:rsidR="00C04D3A">
        <w:t xml:space="preserve">following the exact protocol described by </w:t>
      </w:r>
      <w:r w:rsidR="00C04D3A">
        <w:fldChar w:fldCharType="begin"/>
      </w:r>
      <w:r w:rsidR="008F3143">
        <w:instrText xml:space="preserve"> ADDIN ZOTERO_ITEM CSL_CITATION {"citationID":"Wg9MEZsY","properties":{"formattedCitation":"(Mosseri et al., 2005)","plainCitation":"(Mosseri et al., 2005)","dontUpdate":true,"noteIndex":0},"citationItems":[{"id":1387,"uris":["http://zotero.org/users/local/01lnVYoF/items/Q2KUXRYK"],"itemData":{"id":1387,"type":"article-journal","container-title":"Journal of Geophysical Research","DOI":"10.1029/2004JC002615","ISSN":"0148-0227","issue":"C7","journalAbbreviation":"J. Geophys. Res.","language":"en","page":"C07S19","source":"DOI.org (Crossref)","title":"Silica fluxes in the northeast Atlantic frontal zone of Mode Water formation (38°–45°N, 16°–22°W) in 2001–2002","volume":"110","author":[{"family":"Mosseri","given":"Julie"},{"family":"Quéguiner","given":"Bernard"},{"family":"Rimmelin","given":"Peggy"},{"family":"Leblond","given":"Nathalie"},{"family":"Guieu","given":"Cécile"}],"issued":{"date-parts":[["2005"]]}}}],"schema":"https://github.com/citation-style-language/schema/raw/master/csl-citation.json"} </w:instrText>
      </w:r>
      <w:r w:rsidR="00C04D3A">
        <w:fldChar w:fldCharType="separate"/>
      </w:r>
      <w:r w:rsidR="00C04D3A" w:rsidRPr="00C04D3A">
        <w:rPr>
          <w:rFonts w:cs="Times New Roman"/>
        </w:rPr>
        <w:t>Mosseri et al.</w:t>
      </w:r>
      <w:r w:rsidR="00C04D3A">
        <w:rPr>
          <w:rFonts w:cs="Times New Roman"/>
        </w:rPr>
        <w:t xml:space="preserve"> (</w:t>
      </w:r>
      <w:r w:rsidR="00C04D3A" w:rsidRPr="00C04D3A">
        <w:rPr>
          <w:rFonts w:cs="Times New Roman"/>
        </w:rPr>
        <w:t>2005)</w:t>
      </w:r>
      <w:r w:rsidR="00C04D3A">
        <w:fldChar w:fldCharType="end"/>
      </w:r>
      <w:r w:rsidR="008019F3">
        <w:t xml:space="preserve"> and adapted from </w:t>
      </w:r>
      <w:r w:rsidR="008019F3">
        <w:fldChar w:fldCharType="begin"/>
      </w:r>
      <w:r w:rsidR="00E34A06">
        <w:instrText xml:space="preserve"> ADDIN ZOTERO_ITEM CSL_CITATION {"citationID":"MUYbX2yD","properties":{"formattedCitation":"(Brzezinski and Nelson, 1995)","plainCitation":"(Brzezinski and Nelson, 1995)","dontUpdate":true,"noteIndex":0},"citationItems":[{"id":1386,"uris":["http://zotero.org/users/local/01lnVYoF/items/QECJDZYK"],"itemData":{"id":1386,"type":"article-journal","container-title":"Deep Sea Research Part I: Oceanographic Research Papers","DOI":"10.1016/0967-0637(95)93592-3","ISSN":"09670637","issue":"7","journalAbbreviation":"Deep Sea Research Part I: Oceanographic Research Papers","language":"en","page":"1215-1237","source":"DOI.org (Crossref)","title":"The annual silica cycle in the Sargasso Sea near Bermuda","volume":"42","author":[{"family":"Brzezinski","given":"Mark A."},{"family":"Nelson","given":"David M."}],"issued":{"date-parts":[["1995",7]]}}}],"schema":"https://github.com/citation-style-language/schema/raw/master/csl-citation.json"} </w:instrText>
      </w:r>
      <w:r w:rsidR="008019F3">
        <w:fldChar w:fldCharType="separate"/>
      </w:r>
      <w:r w:rsidR="008019F3" w:rsidRPr="008019F3">
        <w:rPr>
          <w:rFonts w:cs="Times New Roman"/>
        </w:rPr>
        <w:t>Brzezinski and Nelson</w:t>
      </w:r>
      <w:r w:rsidR="008019F3">
        <w:rPr>
          <w:rFonts w:cs="Times New Roman"/>
        </w:rPr>
        <w:t xml:space="preserve"> (</w:t>
      </w:r>
      <w:r w:rsidR="008019F3" w:rsidRPr="008019F3">
        <w:rPr>
          <w:rFonts w:cs="Times New Roman"/>
        </w:rPr>
        <w:t>1995)</w:t>
      </w:r>
      <w:r w:rsidR="008019F3">
        <w:fldChar w:fldCharType="end"/>
      </w:r>
      <w:r w:rsidR="00C04D3A">
        <w:t xml:space="preserve">. </w:t>
      </w:r>
      <w:r w:rsidR="00583D81">
        <w:t>For each aliquot</w:t>
      </w:r>
      <w:r w:rsidR="00C04D3A">
        <w:t>, BSi was initially dissolved by NaOH digestion</w:t>
      </w:r>
      <w:r w:rsidR="00583D81">
        <w:t xml:space="preserve"> at 95 °C</w:t>
      </w:r>
      <w:r w:rsidR="004319F6">
        <w:t xml:space="preserve"> for 5 h</w:t>
      </w:r>
      <w:r w:rsidR="00C04D3A">
        <w:t xml:space="preserve">. LSi was then extracted </w:t>
      </w:r>
      <w:r w:rsidR="00567307">
        <w:t xml:space="preserve">from the same aliquot </w:t>
      </w:r>
      <w:r w:rsidR="00C04D3A">
        <w:t>by HF digestion</w:t>
      </w:r>
      <w:r w:rsidR="00583D81">
        <w:t xml:space="preserve"> at room temperature</w:t>
      </w:r>
      <w:r w:rsidR="0043662E">
        <w:t xml:space="preserve"> for 48 h</w:t>
      </w:r>
      <w:r w:rsidR="00C04D3A">
        <w:t>. For both digests, the dissolved silicic acid</w:t>
      </w:r>
      <w:r w:rsidR="007D36B1">
        <w:t xml:space="preserve"> (DSi)</w:t>
      </w:r>
      <w:r w:rsidR="00C04D3A">
        <w:t xml:space="preserve"> </w:t>
      </w:r>
      <w:r w:rsidR="00C04D3A">
        <w:lastRenderedPageBreak/>
        <w:t xml:space="preserve">concentrations of the resulting solutions were analyzed according to </w:t>
      </w:r>
      <w:r w:rsidR="00C04D3A">
        <w:fldChar w:fldCharType="begin"/>
      </w:r>
      <w:r w:rsidR="008F3143">
        <w:instrText xml:space="preserve"> ADDIN ZOTERO_ITEM CSL_CITATION {"citationID":"DYaMp0Mz","properties":{"formattedCitation":"(Nelson et al., 1989)","plainCitation":"(Nelson et al., 1989)","dontUpdate":true,"noteIndex":0},"citationItems":[{"id":1389,"uris":["http://zotero.org/users/local/01lnVYoF/items/7GTBSSR7"],"itemData":{"id":1389,"type":"article-journal","container-title":"Deep Sea Research Part A. Oceanographic Research Papers","DOI":"10.1016/0198-0149(89)90133-7","ISSN":"01980149","issue":"2","journalAbbreviation":"Deep Sea Research Part A. Oceanographic Research Papers","language":"en","page":"191-209","source":"DOI.org (Crossref)","title":"Particulate matter and nutrient distributions in the ice-edge zone of the Weddell Sea: relationship to hydrography during late summer","title-short":"Particulate matter and nutrient distributions in the ice-edge zone of the Weddell Sea","volume":"36","author":[{"family":"Nelson","given":"David M."},{"family":"Smith","given":"Walker O."},{"family":"Muench","given":"Robin D."},{"family":"Gordon","given":"Louis I."},{"family":"Sullivan","given":"Cornelius W."},{"family":"Husby","given":"David M."}],"issued":{"date-parts":[["1989",2]]}}}],"schema":"https://github.com/citation-style-language/schema/raw/master/csl-citation.json"} </w:instrText>
      </w:r>
      <w:r w:rsidR="00C04D3A">
        <w:fldChar w:fldCharType="separate"/>
      </w:r>
      <w:r w:rsidR="00C04D3A" w:rsidRPr="00C04D3A">
        <w:rPr>
          <w:rFonts w:cs="Times New Roman"/>
        </w:rPr>
        <w:t>Nelson et al.</w:t>
      </w:r>
      <w:r w:rsidR="00C04D3A">
        <w:rPr>
          <w:rFonts w:cs="Times New Roman"/>
        </w:rPr>
        <w:t xml:space="preserve"> (</w:t>
      </w:r>
      <w:r w:rsidR="00C04D3A" w:rsidRPr="00C04D3A">
        <w:rPr>
          <w:rFonts w:cs="Times New Roman"/>
        </w:rPr>
        <w:t>1989)</w:t>
      </w:r>
      <w:r w:rsidR="00C04D3A">
        <w:fldChar w:fldCharType="end"/>
      </w:r>
      <w:r w:rsidR="00C04D3A">
        <w:t xml:space="preserve"> with a UV-Vis spectrophotometer</w:t>
      </w:r>
      <w:r w:rsidR="00071AFD">
        <w:t xml:space="preserve"> (</w:t>
      </w:r>
      <w:proofErr w:type="spellStart"/>
      <w:r w:rsidR="00071AFD" w:rsidRPr="00583D81">
        <w:rPr>
          <w:rFonts w:cs="Times New Roman"/>
          <w:szCs w:val="24"/>
        </w:rPr>
        <w:t>Analytikjena</w:t>
      </w:r>
      <w:proofErr w:type="spellEnd"/>
      <w:r w:rsidR="00071AFD" w:rsidRPr="00583D81">
        <w:rPr>
          <w:rFonts w:cs="Times New Roman"/>
          <w:szCs w:val="24"/>
        </w:rPr>
        <w:t>® Spector 250 plus)</w:t>
      </w:r>
      <w:r w:rsidR="00C04D3A">
        <w:t>.</w:t>
      </w:r>
      <w:r w:rsidR="002D3E90">
        <w:t xml:space="preserve"> </w:t>
      </w:r>
      <w:r w:rsidR="007D36B1">
        <w:t>DSi</w:t>
      </w:r>
      <w:r w:rsidR="002D3E90">
        <w:t xml:space="preserve"> concentrations were also measured in the supernatant of </w:t>
      </w:r>
      <w:r w:rsidR="002D3E90" w:rsidRPr="00B56422">
        <w:rPr>
          <w:rFonts w:cs="Times New Roman"/>
        </w:rPr>
        <w:t xml:space="preserve">each trap cup to account for BSi dissolution during trap deployment and were added to the BSi value determined by digestion </w:t>
      </w:r>
      <w:r w:rsidR="002D3E90" w:rsidRPr="00B56422">
        <w:rPr>
          <w:rFonts w:cs="Times New Roman"/>
        </w:rPr>
        <w:fldChar w:fldCharType="begin"/>
      </w:r>
      <w:r w:rsidR="002D3E90" w:rsidRPr="00B56422">
        <w:rPr>
          <w:rFonts w:cs="Times New Roman"/>
        </w:rPr>
        <w:instrText xml:space="preserve"> ADDIN ZOTERO_ITEM CSL_CITATION {"citationID":"4KXcICXt","properties":{"formattedCitation":"(Hurd, 1972; Nelson et al., 1995; Nelson and Brzezinski, 1997)","plainCitation":"(Hurd, 1972; Nelson et al., 1995; Nelson and Brzezinski, 1997)","noteIndex":0},"citationItems":[{"id":1216,"uris":["http://zotero.org/users/local/01lnVYoF/items/UQBDUGVF"],"itemData":{"id":1216,"type":"article-journal","abstract":"The rate of solution of a single biogenic opal test is a function of solution temperature, degree of saturation, available surface area of the test and any coating or protective layer the test may have. Grazing has both adverse and beneficial effects on test preservation; solution of opal within the first few tens of centimeters of the sediment is significant; below 1000 m water depth where temperature and dissolved silicate changes are small, the relative solution rates for the world's oceans should be within 10 to 12% of one another.","container-title":"Earth and Planetary Science Letters","DOI":"10.1016/0012-821X(72)90040-4","ISSN":"0012-821X","issue":"4","journalAbbreviation":"Earth and Planetary Science Letters","language":"en","page":"411-417","source":"ScienceDirect","title":"Factors affecting solution rate of biogenic opal in seawater","volume":"15","author":[{"family":"Hurd","given":"David C."}],"issued":{"date-parts":[["1972",8,1]]}}},{"id":1222,"uris":["http://zotero.org/users/local/01lnVYoF/items/GNYMYSVD"],"itemData":{"id":1222,"type":"article-journal","abstract":"We estimate the global rate of biogenic silica production in the ocean to be between 200 and 280 × 1012 mol Si yr−1. The upper limit is derived from information on the primary productivity of the oceans, the relative contribution of diatoms to primary production and diatom Si/C ratios. The lower limit is derived independently using a multi-compartment model of nutrient transport and biogenic particle flux, and field data on the balance between silica production and dissolution in the upper ocean. Our upper limit is 30–50% lower than several previous estimates, due to new data indicating lower values for both the relative contribution of diatoms to primary productivity and their Si/C ratios. Globally, at least 50% of the silica produced by diatoms in the euphotic zone dissolves in the upper 100 m, resulting in an estimated export of 100–140 × 1012 mol Si yr−l to the deep ocean. Our estimates correspond to a global mean rate of biogenic silica production between 0.6 and 0.8 mol Si m−2 yr−1. Incubation experiments indicate that silica production rates exceed that mean by a factor of 3–12 in coastal areas and are 2–4 times less than the global average in the oligotrophic mid-ocean gyres. The mean silica production rate in waters overlying diatomaceous sediments (approximately 10–12% of the surface area of the oceans) is 0.7–1.2 mol Si m−2 yr−1. That rate is only slightly higher than the global average, indicating that the silica produced in those regions is only 10–25% of the global total. The estimated production of biogenic silica in surface waters of the mid-ocean gyres is approximately equal to that for all major areas of opal sediment accumulation combined. Regional comparison of silica production and accumulation rates suggests a strongly bimodal character in the efficiency of opal preservation in the sea. In waters overlying diatom-rich sediments 15–25% of the silica produced in the surface layer accumulates in the seabed, while virtually none of the silica produced in other areas is preserved. The global burial/production ratio of ˜ 3% is a composite of those two very different systems. The mechanisms leading to more efficient opal preservation in regions of silica accumulation are presently unknown, but they have no simple relationship to primary productivity. Regional differences in opal preservation appear to be controlled by factors such as low surface temperature, selective grazing and aggregate formation, which diminish the rate of silica dissolution in surface waters and/or accelerate its transport to the seafloor.","container-title":"Global Biogeochemical Cycles","DOI":"10.1029/95GB01070","ISSN":"1944-9224","issue":"3","language":"en","note":"_eprint: https://onlinelibrary.wiley.com/doi/pdf/10.1029/95GB01070","page":"359-372","source":"Wiley Online Library","title":"Production and dissolution of biogenic silica in the ocean: Revised global estimates, comparison with regional data and relationship to biogenic sedimentation","title-short":"Production and dissolution of biogenic silica in the ocean","volume":"9","author":[{"family":"Nelson","given":"David M."},{"family":"Tréguer","given":"Paul"},{"family":"Brzezinski","given":"Mark A."},{"family":"Leynaert","given":"Aude"},{"family":"Quéguiner","given":"Bernard"}],"issued":{"date-parts":[["1995"]]}}},{"id":1397,"uris":["http://zotero.org/users/local/01lnVYoF/items/Y9LLIVGI"],"itemData":{"id":1397,"type":"article-journal","container-title":"Limnology and Oceanography","DOI":"10.4319/lo.1997.42.3.0473","ISSN":"00243590","issue":"3","journalAbbreviation":"Limnol. Oceanogr.","language":"en","page":"473-486","source":"DOI.org (Crossref)","title":"Diatom growth and productivity in an oligo-trophic midocean gyre: A 3-yr record from the Sargasso Sea near Bermuda","title-short":"Diatom growth and productivity in an oligo-trophic midocean gyre","volume":"42","author":[{"family":"Nelson","given":"David M."},{"family":"Brzezinski","given":"Mark A."}],"issued":{"date-parts":[["1997",5]]}}}],"schema":"https://github.com/citation-style-language/schema/raw/master/csl-citation.json"} </w:instrText>
      </w:r>
      <w:r w:rsidR="002D3E90" w:rsidRPr="00B56422">
        <w:rPr>
          <w:rFonts w:cs="Times New Roman"/>
        </w:rPr>
        <w:fldChar w:fldCharType="separate"/>
      </w:r>
      <w:r w:rsidR="002D3E90" w:rsidRPr="00B56422">
        <w:rPr>
          <w:rFonts w:cs="Times New Roman"/>
        </w:rPr>
        <w:t>(Hurd, 1972; Nelson et al., 1995; Nelson and Brzezinski, 1997)</w:t>
      </w:r>
      <w:r w:rsidR="002D3E90" w:rsidRPr="00B56422">
        <w:rPr>
          <w:rFonts w:cs="Times New Roman"/>
        </w:rPr>
        <w:fldChar w:fldCharType="end"/>
      </w:r>
      <w:r w:rsidR="002D3E90" w:rsidRPr="00B56422">
        <w:rPr>
          <w:rFonts w:cs="Times New Roman"/>
        </w:rPr>
        <w:t xml:space="preserve">. Several aliquots of certified reference material (GBW: marine sediment, NRCC) were digested and analyzed under the same conditions, allowing validation of Si data. GBW standard analyses averaged 28.5 ± 0.5 wt.% total Si (BSi + </w:t>
      </w:r>
      <w:proofErr w:type="gramStart"/>
      <w:r w:rsidR="002D3E90" w:rsidRPr="00B56422">
        <w:rPr>
          <w:rFonts w:cs="Times New Roman"/>
        </w:rPr>
        <w:t>LSi ;</w:t>
      </w:r>
      <w:proofErr w:type="gramEnd"/>
      <w:r w:rsidR="002D3E90" w:rsidRPr="00B56422">
        <w:rPr>
          <w:rFonts w:cs="Times New Roman"/>
        </w:rPr>
        <w:t xml:space="preserve"> n = 12), which compares well with the community consensus concentrations of 25.2 ± 0.6 wt.%.</w:t>
      </w:r>
      <w:r w:rsidR="00C04D3A" w:rsidRPr="00B56422">
        <w:rPr>
          <w:rFonts w:cs="Times New Roman"/>
        </w:rPr>
        <w:t xml:space="preserve"> </w:t>
      </w:r>
      <w:r w:rsidRPr="00B56422">
        <w:rPr>
          <w:rFonts w:cs="Times New Roman"/>
        </w:rPr>
        <w:t>Al</w:t>
      </w:r>
      <w:r>
        <w:t>, Ca, Cu, Fe, Mn, Ni, Pb, Si and Zn</w:t>
      </w:r>
      <w:r w:rsidR="009D30EA">
        <w:t xml:space="preserve"> concentrations were measured by ICP-OES (Inductively-Coupled Plasma Optical Emission Spectrometry; Perkin-Elmer® Optima-8000) </w:t>
      </w:r>
      <w:r>
        <w:rPr>
          <w:color w:val="000000"/>
        </w:rPr>
        <w:t xml:space="preserve">after acid digestion of ~20 mg particulate aliquots in Teflon vials by successive addition </w:t>
      </w:r>
      <w:r w:rsidR="009D30EA">
        <w:t>of (1) 1 mL of 65% nitric acid (HNO</w:t>
      </w:r>
      <w:r w:rsidR="009D30EA" w:rsidRPr="009D30EA">
        <w:rPr>
          <w:vertAlign w:val="subscript"/>
        </w:rPr>
        <w:t>3</w:t>
      </w:r>
      <w:r w:rsidR="009D30EA" w:rsidRPr="009D30EA">
        <w:rPr>
          <w:vertAlign w:val="superscript"/>
        </w:rPr>
        <w:t>-</w:t>
      </w:r>
      <w:r w:rsidR="009D30EA">
        <w:t>) followed by (2) 500 µL of 65% HNO</w:t>
      </w:r>
      <w:r w:rsidR="009D30EA" w:rsidRPr="009D30EA">
        <w:rPr>
          <w:vertAlign w:val="subscript"/>
        </w:rPr>
        <w:t>3</w:t>
      </w:r>
      <w:r w:rsidR="009D30EA" w:rsidRPr="009D30EA">
        <w:rPr>
          <w:vertAlign w:val="superscript"/>
        </w:rPr>
        <w:t>-</w:t>
      </w:r>
      <w:r w:rsidR="009D30EA">
        <w:t xml:space="preserve"> and 500 µL </w:t>
      </w:r>
      <w:r>
        <w:t>HF</w:t>
      </w:r>
      <w:r w:rsidR="009D30EA">
        <w:t xml:space="preserve">. </w:t>
      </w:r>
      <w:r>
        <w:t xml:space="preserve">At </w:t>
      </w:r>
      <w:r w:rsidR="009D30EA">
        <w:t xml:space="preserve">each step, </w:t>
      </w:r>
      <w:r w:rsidR="00567307">
        <w:t>aliquots</w:t>
      </w:r>
      <w:r w:rsidR="009D30EA">
        <w:t xml:space="preserve"> were heated at 150 °C for 5 h. Several </w:t>
      </w:r>
      <w:r w:rsidR="004319F6">
        <w:t>reagent</w:t>
      </w:r>
      <w:r w:rsidR="009D30EA">
        <w:t xml:space="preserve"> blanks and certified reference material </w:t>
      </w:r>
      <w:r w:rsidR="00820251">
        <w:t>(</w:t>
      </w:r>
      <w:r w:rsidR="00820251" w:rsidRPr="00820251">
        <w:t>GBW)</w:t>
      </w:r>
      <w:r w:rsidR="00820251">
        <w:t xml:space="preserve"> </w:t>
      </w:r>
      <w:r w:rsidR="009D30EA">
        <w:t xml:space="preserve">were digested and analyzed under the same conditions. </w:t>
      </w:r>
      <w:r w:rsidR="001B46FD">
        <w:t>B</w:t>
      </w:r>
      <w:r w:rsidR="009D30EA">
        <w:t xml:space="preserve">lanks were </w:t>
      </w:r>
      <w:r w:rsidR="003905D6">
        <w:t xml:space="preserve">below or </w:t>
      </w:r>
      <w:r w:rsidR="00CC6C2C">
        <w:t>close to</w:t>
      </w:r>
      <w:r w:rsidR="009D30EA">
        <w:t xml:space="preserve"> the detection limits of the instrument</w:t>
      </w:r>
      <w:r w:rsidR="00567307">
        <w:t xml:space="preserve"> and t</w:t>
      </w:r>
      <w:r w:rsidR="009D30EA">
        <w:t>he percent</w:t>
      </w:r>
      <w:r w:rsidR="00567307">
        <w:t>age</w:t>
      </w:r>
      <w:r w:rsidR="009D30EA">
        <w:t xml:space="preserve"> recovery obtained for the certified materials indicated accurate digestion and quantitative analysis for all elements (</w:t>
      </w:r>
      <w:r w:rsidR="009D30EA" w:rsidRPr="009D30EA">
        <w:rPr>
          <w:i/>
          <w:iCs/>
        </w:rPr>
        <w:t>Table S1</w:t>
      </w:r>
      <w:r w:rsidR="009D30EA">
        <w:t>).</w:t>
      </w:r>
    </w:p>
    <w:p w14:paraId="3E67DB8E" w14:textId="68A3B329" w:rsidR="00685103" w:rsidRDefault="00483B50" w:rsidP="00D23535">
      <w:pPr>
        <w:spacing w:line="480" w:lineRule="auto"/>
        <w:jc w:val="both"/>
      </w:pPr>
      <w:r w:rsidRPr="00483B50">
        <w:rPr>
          <w:color w:val="000000"/>
        </w:rPr>
        <w:t>Dry material collected in acrylic traps deployed at 1000 m on the drifting mooring line at Station 10 was filtered onto 0.2 µm polycarbonate filters, rinsed with distilled water and dried at room temperature. Filters were then coated with gold and observed using a Phenom scanning electron microscope at 10 kV</w:t>
      </w:r>
      <w:r w:rsidR="00685103">
        <w:rPr>
          <w:color w:val="000000"/>
        </w:rPr>
        <w:t>.</w:t>
      </w:r>
      <w:r w:rsidR="00B07D59">
        <w:rPr>
          <w:color w:val="000000"/>
        </w:rPr>
        <w:t xml:space="preserve"> </w:t>
      </w:r>
    </w:p>
    <w:p w14:paraId="471447F6" w14:textId="2EA2A21C" w:rsidR="001B46FD" w:rsidRPr="001B46FD" w:rsidRDefault="001B46FD" w:rsidP="001B46FD">
      <w:pPr>
        <w:pStyle w:val="Titre3"/>
        <w:rPr>
          <w:b w:val="0"/>
          <w:bCs/>
          <w:i/>
          <w:iCs/>
        </w:rPr>
      </w:pPr>
      <w:bookmarkStart w:id="6" w:name="_Hlk116999299"/>
      <w:bookmarkEnd w:id="5"/>
      <w:r>
        <w:rPr>
          <w:b w:val="0"/>
          <w:bCs/>
          <w:i/>
          <w:iCs/>
        </w:rPr>
        <w:t>Gr</w:t>
      </w:r>
      <w:r w:rsidR="007B3E8A">
        <w:rPr>
          <w:b w:val="0"/>
          <w:bCs/>
          <w:i/>
          <w:iCs/>
        </w:rPr>
        <w:t>ain</w:t>
      </w:r>
      <w:r w:rsidR="00670FBC">
        <w:rPr>
          <w:b w:val="0"/>
          <w:bCs/>
          <w:i/>
          <w:iCs/>
        </w:rPr>
        <w:t xml:space="preserve"> </w:t>
      </w:r>
      <w:r w:rsidR="007B3E8A">
        <w:rPr>
          <w:b w:val="0"/>
          <w:bCs/>
          <w:i/>
          <w:iCs/>
        </w:rPr>
        <w:t>size distribution</w:t>
      </w:r>
      <w:r>
        <w:rPr>
          <w:b w:val="0"/>
          <w:bCs/>
          <w:i/>
          <w:iCs/>
        </w:rPr>
        <w:t xml:space="preserve"> of seafloor sediments</w:t>
      </w:r>
    </w:p>
    <w:p w14:paraId="48F5187B" w14:textId="55A7A41B" w:rsidR="00525D52" w:rsidRDefault="006078B7" w:rsidP="00D23535">
      <w:pPr>
        <w:spacing w:line="480" w:lineRule="auto"/>
        <w:jc w:val="both"/>
      </w:pPr>
      <w:bookmarkStart w:id="7" w:name="_Hlk125558137"/>
      <w:r w:rsidRPr="004319F6">
        <w:rPr>
          <w:color w:val="000000"/>
        </w:rPr>
        <w:t xml:space="preserve">Grain size </w:t>
      </w:r>
      <w:r w:rsidR="00436B97">
        <w:rPr>
          <w:color w:val="000000"/>
        </w:rPr>
        <w:t>of</w:t>
      </w:r>
      <w:r w:rsidRPr="004319F6">
        <w:rPr>
          <w:color w:val="000000"/>
        </w:rPr>
        <w:t xml:space="preserve"> sediments was determined at the Centre de Formation et de Recherche sur les </w:t>
      </w:r>
      <w:proofErr w:type="spellStart"/>
      <w:r w:rsidRPr="004319F6">
        <w:rPr>
          <w:color w:val="000000"/>
        </w:rPr>
        <w:t>Environnements</w:t>
      </w:r>
      <w:proofErr w:type="spellEnd"/>
      <w:r w:rsidRPr="004319F6">
        <w:rPr>
          <w:color w:val="000000"/>
        </w:rPr>
        <w:t xml:space="preserve"> </w:t>
      </w:r>
      <w:proofErr w:type="spellStart"/>
      <w:r w:rsidRPr="004319F6">
        <w:rPr>
          <w:color w:val="000000"/>
        </w:rPr>
        <w:t>Méditerranéens</w:t>
      </w:r>
      <w:proofErr w:type="spellEnd"/>
      <w:r w:rsidRPr="004319F6">
        <w:rPr>
          <w:color w:val="000000"/>
        </w:rPr>
        <w:t xml:space="preserve"> (CEFREM; France) laboratory using </w:t>
      </w:r>
      <w:r w:rsidR="004319F6" w:rsidRPr="004319F6">
        <w:rPr>
          <w:color w:val="000000"/>
        </w:rPr>
        <w:t>a Malvern Mastersize</w:t>
      </w:r>
      <w:r w:rsidRPr="004319F6">
        <w:rPr>
          <w:color w:val="000000"/>
        </w:rPr>
        <w:t xml:space="preserve"> </w:t>
      </w:r>
      <w:r w:rsidR="004319F6" w:rsidRPr="004319F6">
        <w:rPr>
          <w:color w:val="000000"/>
        </w:rPr>
        <w:t>3000 laser</w:t>
      </w:r>
      <w:r w:rsidR="00A028D9" w:rsidRPr="004319F6">
        <w:t xml:space="preserve"> </w:t>
      </w:r>
      <w:r w:rsidR="00A028D9" w:rsidRPr="004319F6">
        <w:rPr>
          <w:rFonts w:cs="Times New Roman"/>
        </w:rPr>
        <w:t>granulometer</w:t>
      </w:r>
      <w:r w:rsidR="004319F6" w:rsidRPr="004319F6">
        <w:rPr>
          <w:rFonts w:cs="Times New Roman"/>
        </w:rPr>
        <w:t xml:space="preserve"> (precision ± 3%)</w:t>
      </w:r>
      <w:r w:rsidR="001255FD" w:rsidRPr="004319F6">
        <w:rPr>
          <w:rFonts w:cs="Times New Roman"/>
        </w:rPr>
        <w:t>.</w:t>
      </w:r>
      <w:r w:rsidR="004319F6">
        <w:rPr>
          <w:rFonts w:cs="Times New Roman"/>
        </w:rPr>
        <w:t xml:space="preserve"> Prior to measurement, dry sediments were homogenized, diluted in distilled water in order to achieve the concentration required by the software (i.e., 5-20% obscuration) </w:t>
      </w:r>
      <w:r w:rsidR="004319F6">
        <w:rPr>
          <w:rFonts w:cs="Times New Roman"/>
        </w:rPr>
        <w:lastRenderedPageBreak/>
        <w:t xml:space="preserve">and ultrasonicated for 5 minutes. </w:t>
      </w:r>
      <w:r w:rsidR="00561922" w:rsidRPr="004319F6">
        <w:rPr>
          <w:rFonts w:cs="Times New Roman"/>
        </w:rPr>
        <w:t>Since the</w:t>
      </w:r>
      <w:r w:rsidR="00561922">
        <w:t xml:space="preserve"> number distribution may underestimate the larger particles, a particle size distribution based on a spherical equivalent volume model was used. The size of a particle </w:t>
      </w:r>
      <w:r w:rsidR="008A7C1C">
        <w:t>wa</w:t>
      </w:r>
      <w:r w:rsidR="00561922">
        <w:t>s then represented by the diameter of an equivalent sphere of equal volume.</w:t>
      </w:r>
    </w:p>
    <w:bookmarkEnd w:id="7"/>
    <w:p w14:paraId="570E082B" w14:textId="218218B5" w:rsidR="00525D52" w:rsidRPr="00525D52" w:rsidRDefault="00506461" w:rsidP="00525D52">
      <w:pPr>
        <w:pStyle w:val="Titre3"/>
        <w:rPr>
          <w:b w:val="0"/>
          <w:bCs/>
          <w:i/>
          <w:iCs/>
        </w:rPr>
      </w:pPr>
      <w:r>
        <w:rPr>
          <w:b w:val="0"/>
          <w:bCs/>
          <w:i/>
          <w:iCs/>
        </w:rPr>
        <w:t>Sedimentation</w:t>
      </w:r>
      <w:r w:rsidR="00525D52">
        <w:rPr>
          <w:b w:val="0"/>
          <w:bCs/>
          <w:i/>
          <w:iCs/>
        </w:rPr>
        <w:t xml:space="preserve"> rates of seafloor sediments</w:t>
      </w:r>
    </w:p>
    <w:p w14:paraId="0BA46E58" w14:textId="2D65A289" w:rsidR="004E1EB9" w:rsidRDefault="00116C72" w:rsidP="00D23535">
      <w:pPr>
        <w:spacing w:line="480" w:lineRule="auto"/>
        <w:jc w:val="both"/>
      </w:pPr>
      <w:bookmarkStart w:id="8" w:name="_Hlk125558180"/>
      <w:r>
        <w:t xml:space="preserve">Sedimentation rates were determined using </w:t>
      </w:r>
      <w:r>
        <w:rPr>
          <w:vertAlign w:val="superscript"/>
        </w:rPr>
        <w:t>210</w:t>
      </w:r>
      <w:r>
        <w:t xml:space="preserve">Pb, a natural decay-product of </w:t>
      </w:r>
      <w:r>
        <w:rPr>
          <w:vertAlign w:val="superscript"/>
        </w:rPr>
        <w:t>226</w:t>
      </w:r>
      <w:r>
        <w:t xml:space="preserve">Ra </w:t>
      </w:r>
      <w:r w:rsidR="008A72FE">
        <w:t>with</w:t>
      </w:r>
      <w:r>
        <w:t xml:space="preserve"> a half-life of 22.3 years</w:t>
      </w:r>
      <w:r w:rsidR="00FC129D">
        <w:t>.</w:t>
      </w:r>
      <w:r w:rsidR="00B707A9">
        <w:t xml:space="preserve"> </w:t>
      </w:r>
      <w:r w:rsidR="00FC129D">
        <w:rPr>
          <w:vertAlign w:val="superscript"/>
        </w:rPr>
        <w:t>210</w:t>
      </w:r>
      <w:r w:rsidR="00FC129D">
        <w:t>Pb</w:t>
      </w:r>
      <w:r w:rsidR="00B707A9">
        <w:t xml:space="preserve"> </w:t>
      </w:r>
      <w:r w:rsidR="007A5B79">
        <w:t>d</w:t>
      </w:r>
      <w:r w:rsidR="00B707A9">
        <w:t xml:space="preserve">eposited at the seabed by sedimentation </w:t>
      </w:r>
      <w:r w:rsidR="007A5B79">
        <w:t>is</w:t>
      </w:r>
      <w:r w:rsidR="00B707A9">
        <w:t xml:space="preserve"> referred to as </w:t>
      </w:r>
      <w:r w:rsidR="00B707A9" w:rsidRPr="00B707A9">
        <w:rPr>
          <w:vertAlign w:val="superscript"/>
        </w:rPr>
        <w:t>210</w:t>
      </w:r>
      <w:r w:rsidR="00B707A9">
        <w:t>Pb in excess (</w:t>
      </w:r>
      <w:r w:rsidR="00B707A9" w:rsidRPr="00B707A9">
        <w:rPr>
          <w:vertAlign w:val="superscript"/>
        </w:rPr>
        <w:t>210</w:t>
      </w:r>
      <w:r w:rsidR="00B707A9">
        <w:t>Pb</w:t>
      </w:r>
      <w:r w:rsidR="00B707A9" w:rsidRPr="00B707A9">
        <w:rPr>
          <w:vertAlign w:val="subscript"/>
        </w:rPr>
        <w:t>XS</w:t>
      </w:r>
      <w:r w:rsidR="00B707A9">
        <w:t xml:space="preserve">) </w:t>
      </w:r>
      <w:r w:rsidR="00FC129D">
        <w:t>relative to</w:t>
      </w:r>
      <w:r w:rsidR="00B707A9">
        <w:t xml:space="preserve"> that found within sediment</w:t>
      </w:r>
      <w:r>
        <w:t xml:space="preserve">. </w:t>
      </w:r>
      <w:r w:rsidR="008A0BEE">
        <w:t>Considering</w:t>
      </w:r>
      <w:r>
        <w:t xml:space="preserve"> constant flux and accumulation rate </w:t>
      </w:r>
      <w:r>
        <w:fldChar w:fldCharType="begin"/>
      </w:r>
      <w:r>
        <w:instrText xml:space="preserve"> ADDIN ZOTERO_ITEM CSL_CITATION {"citationID":"AsGkDp5b","properties":{"formattedCitation":"(Robbins and Edgington, 1975)","plainCitation":"(Robbins and Edgington, 1975)","noteIndex":0},"citationItems":[{"id":1393,"uris":["http://zotero.org/users/local/01lnVYoF/items/7QSM7KZQ"],"itemData":{"id":1393,"type":"article-journal","container-title":"Geochimica et Cosmochimica Acta","DOI":"10.1016/0016-7037(75)90198-2","ISSN":"00167037","issue":"3","journalAbbreviation":"Geochimica et Cosmochimica Acta","language":"en","page":"285-304","source":"DOI.org (Crossref)","title":"Determination of recent sedimentation rates in Lake Michigan using Pb-210 and Cs-137","volume":"39","author":[{"family":"Robbins","given":"John A."},{"family":"Edgington","given":"D.N."}],"issued":{"date-parts":[["1975",3]]}}}],"schema":"https://github.com/citation-style-language/schema/raw/master/csl-citation.json"} </w:instrText>
      </w:r>
      <w:r>
        <w:fldChar w:fldCharType="separate"/>
      </w:r>
      <w:r w:rsidRPr="00116C72">
        <w:rPr>
          <w:rFonts w:cs="Times New Roman"/>
        </w:rPr>
        <w:t>(Robbins and Edgington, 1975)</w:t>
      </w:r>
      <w:r>
        <w:fldChar w:fldCharType="end"/>
      </w:r>
      <w:r>
        <w:t xml:space="preserve">, sedimentation rates </w:t>
      </w:r>
      <w:r w:rsidR="00696AD8">
        <w:t>were</w:t>
      </w:r>
      <w:r>
        <w:t xml:space="preserve"> derived from the decrease of </w:t>
      </w:r>
      <w:r>
        <w:rPr>
          <w:vertAlign w:val="superscript"/>
        </w:rPr>
        <w:t>210</w:t>
      </w:r>
      <w:r>
        <w:t>Pb</w:t>
      </w:r>
      <w:r w:rsidR="00B2797C">
        <w:rPr>
          <w:vertAlign w:val="subscript"/>
        </w:rPr>
        <w:t>XS</w:t>
      </w:r>
      <w:r>
        <w:t xml:space="preserve"> activities with depth</w:t>
      </w:r>
      <w:r w:rsidR="004E1EB9">
        <w:t xml:space="preserve"> according to the following formula:</w:t>
      </w:r>
    </w:p>
    <w:p w14:paraId="312348E0" w14:textId="35310E5A" w:rsidR="004E1EB9" w:rsidRPr="003C6FF7" w:rsidRDefault="00B21FD9" w:rsidP="00D23535">
      <w:pPr>
        <w:spacing w:line="480" w:lineRule="auto"/>
        <w:jc w:val="both"/>
        <w:rPr>
          <w:rFonts w:eastAsiaTheme="minorEastAsia"/>
        </w:rPr>
      </w:pPr>
      <m:oMathPara>
        <m:oMath>
          <m:eqArr>
            <m:eqArrPr>
              <m:maxDist m:val="1"/>
              <m:ctrlPr>
                <w:rPr>
                  <w:rFonts w:ascii="Cambria Math" w:hAnsi="Cambria Math"/>
                  <w:i/>
                </w:rPr>
              </m:ctrlPr>
            </m:eqArrPr>
            <m:e>
              <m:d>
                <m:dPr>
                  <m:begChr m:val="["/>
                  <m:endChr m:val="]"/>
                  <m:ctrlPr>
                    <w:rPr>
                      <w:rFonts w:ascii="Cambria Math" w:hAnsi="Cambria Math"/>
                      <w:i/>
                    </w:rPr>
                  </m:ctrlPr>
                </m:dPr>
                <m:e>
                  <m:sSub>
                    <m:sSubPr>
                      <m:ctrlPr>
                        <w:rPr>
                          <w:rFonts w:ascii="Cambria Math" w:hAnsi="Cambria Math"/>
                          <w:i/>
                        </w:rPr>
                      </m:ctrlPr>
                    </m:sSubPr>
                    <m:e>
                      <m:sPre>
                        <m:sPrePr>
                          <m:ctrlPr>
                            <w:rPr>
                              <w:rFonts w:ascii="Cambria Math" w:hAnsi="Cambria Math"/>
                              <w:i/>
                            </w:rPr>
                          </m:ctrlPr>
                        </m:sPrePr>
                        <m:sub>
                          <m:r>
                            <w:rPr>
                              <w:rFonts w:ascii="Cambria Math" w:hAnsi="Cambria Math"/>
                            </w:rPr>
                            <m:t xml:space="preserve"> </m:t>
                          </m:r>
                        </m:sub>
                        <m:sup>
                          <m:r>
                            <w:rPr>
                              <w:rFonts w:ascii="Cambria Math" w:hAnsi="Cambria Math"/>
                            </w:rPr>
                            <m:t>210</m:t>
                          </m:r>
                        </m:sup>
                        <m:e>
                          <m:r>
                            <w:rPr>
                              <w:rFonts w:ascii="Cambria Math" w:hAnsi="Cambria Math"/>
                            </w:rPr>
                            <m:t>Pb</m:t>
                          </m:r>
                        </m:e>
                      </m:sPre>
                    </m:e>
                    <m:sub>
                      <m:r>
                        <w:rPr>
                          <w:rFonts w:ascii="Cambria Math" w:hAnsi="Cambria Math"/>
                        </w:rPr>
                        <m:t>XS</m:t>
                      </m:r>
                    </m:sub>
                  </m:sSub>
                </m:e>
              </m:d>
              <m:sSub>
                <m:sSubPr>
                  <m:ctrlPr>
                    <w:rPr>
                      <w:rFonts w:ascii="Cambria Math" w:hAnsi="Cambria Math"/>
                      <w:i/>
                    </w:rPr>
                  </m:ctrlPr>
                </m:sSubPr>
                <m:e>
                  <m:r>
                    <w:rPr>
                      <w:rFonts w:ascii="Cambria Math" w:hAnsi="Cambria Math"/>
                    </w:rPr>
                    <m:t xml:space="preserve"> </m:t>
                  </m:r>
                </m:e>
                <m:sub>
                  <m:r>
                    <w:rPr>
                      <w:rFonts w:ascii="Cambria Math" w:hAnsi="Cambria Math"/>
                    </w:rPr>
                    <m:t>z</m:t>
                  </m:r>
                </m:sub>
              </m:sSub>
              <m:r>
                <w:rPr>
                  <w:rFonts w:ascii="Cambria Math" w:hAnsi="Cambria Math"/>
                </w:rPr>
                <m:t xml:space="preserve">= </m:t>
              </m:r>
              <m:d>
                <m:dPr>
                  <m:begChr m:val="["/>
                  <m:endChr m:val="]"/>
                  <m:ctrlPr>
                    <w:rPr>
                      <w:rFonts w:ascii="Cambria Math" w:hAnsi="Cambria Math"/>
                      <w:i/>
                    </w:rPr>
                  </m:ctrlPr>
                </m:dPr>
                <m:e>
                  <m:sSub>
                    <m:sSubPr>
                      <m:ctrlPr>
                        <w:rPr>
                          <w:rFonts w:ascii="Cambria Math" w:hAnsi="Cambria Math"/>
                          <w:i/>
                        </w:rPr>
                      </m:ctrlPr>
                    </m:sSubPr>
                    <m:e>
                      <m:sPre>
                        <m:sPrePr>
                          <m:ctrlPr>
                            <w:rPr>
                              <w:rFonts w:ascii="Cambria Math" w:hAnsi="Cambria Math"/>
                              <w:i/>
                            </w:rPr>
                          </m:ctrlPr>
                        </m:sPrePr>
                        <m:sub>
                          <m:r>
                            <w:rPr>
                              <w:rFonts w:ascii="Cambria Math" w:hAnsi="Cambria Math"/>
                            </w:rPr>
                            <m:t xml:space="preserve"> </m:t>
                          </m:r>
                        </m:sub>
                        <m:sup>
                          <m:r>
                            <w:rPr>
                              <w:rFonts w:ascii="Cambria Math" w:hAnsi="Cambria Math"/>
                            </w:rPr>
                            <m:t>210</m:t>
                          </m:r>
                        </m:sup>
                        <m:e>
                          <m:r>
                            <w:rPr>
                              <w:rFonts w:ascii="Cambria Math" w:hAnsi="Cambria Math"/>
                            </w:rPr>
                            <m:t>Pb</m:t>
                          </m:r>
                        </m:e>
                      </m:sPre>
                    </m:e>
                    <m:sub>
                      <m:r>
                        <w:rPr>
                          <w:rFonts w:ascii="Cambria Math" w:hAnsi="Cambria Math"/>
                        </w:rPr>
                        <m:t>XS</m:t>
                      </m:r>
                    </m:sub>
                  </m:sSub>
                </m:e>
              </m:d>
              <m:sSub>
                <m:sSubPr>
                  <m:ctrlPr>
                    <w:rPr>
                      <w:rFonts w:ascii="Cambria Math" w:hAnsi="Cambria Math"/>
                      <w:i/>
                    </w:rPr>
                  </m:ctrlPr>
                </m:sSubPr>
                <m:e>
                  <m:r>
                    <w:rPr>
                      <w:rFonts w:ascii="Cambria Math" w:hAnsi="Cambria Math"/>
                    </w:rPr>
                    <m:t xml:space="preserve"> </m:t>
                  </m:r>
                </m:e>
                <m:sub>
                  <m:r>
                    <w:rPr>
                      <w:rFonts w:ascii="Cambria Math" w:hAnsi="Cambria Math"/>
                    </w:rPr>
                    <m:t>0</m:t>
                  </m:r>
                </m:sub>
              </m:sSub>
              <m:r>
                <w:rPr>
                  <w:rFonts w:ascii="Cambria Math" w:hAnsi="Cambria Math"/>
                </w:rPr>
                <m:t xml:space="preserve">* </m:t>
              </m:r>
              <m:sSup>
                <m:sSupPr>
                  <m:ctrlPr>
                    <w:rPr>
                      <w:rFonts w:ascii="Cambria Math" w:hAnsi="Cambria Math"/>
                      <w:i/>
                    </w:rPr>
                  </m:ctrlPr>
                </m:sSupPr>
                <m:e>
                  <m:r>
                    <w:rPr>
                      <w:rFonts w:ascii="Cambria Math" w:hAnsi="Cambria Math"/>
                    </w:rPr>
                    <m:t>e</m:t>
                  </m:r>
                </m:e>
                <m:sup>
                  <m:d>
                    <m:dPr>
                      <m:ctrlPr>
                        <w:rPr>
                          <w:rFonts w:ascii="Cambria Math" w:hAnsi="Cambria Math"/>
                          <w:i/>
                        </w:rPr>
                      </m:ctrlPr>
                    </m:dPr>
                    <m:e>
                      <m:r>
                        <w:rPr>
                          <w:rFonts w:ascii="Cambria Math" w:hAnsi="Cambria Math"/>
                        </w:rPr>
                        <m:t>-z</m:t>
                      </m:r>
                      <m:f>
                        <m:fPr>
                          <m:ctrlPr>
                            <w:rPr>
                              <w:rFonts w:ascii="Cambria Math" w:hAnsi="Cambria Math"/>
                              <w:i/>
                            </w:rPr>
                          </m:ctrlPr>
                        </m:fPr>
                        <m:num>
                          <m:r>
                            <w:rPr>
                              <w:rFonts w:ascii="Cambria Math" w:hAnsi="Cambria Math"/>
                            </w:rPr>
                            <m:t>λ</m:t>
                          </m:r>
                        </m:num>
                        <m:den>
                          <m:r>
                            <w:rPr>
                              <w:rFonts w:ascii="Cambria Math" w:hAnsi="Cambria Math"/>
                            </w:rPr>
                            <m:t>SAR</m:t>
                          </m:r>
                        </m:den>
                      </m:f>
                    </m:e>
                  </m:d>
                </m:sup>
              </m:sSup>
              <m:r>
                <w:rPr>
                  <w:rFonts w:ascii="Cambria Math" w:hAnsi="Cambria Math"/>
                </w:rPr>
                <m:t xml:space="preserve"> #</m:t>
              </m:r>
              <m:d>
                <m:dPr>
                  <m:ctrlPr>
                    <w:rPr>
                      <w:rFonts w:ascii="Cambria Math" w:hAnsi="Cambria Math"/>
                      <w:i/>
                    </w:rPr>
                  </m:ctrlPr>
                </m:dPr>
                <m:e>
                  <m:r>
                    <w:rPr>
                      <w:rFonts w:ascii="Cambria Math" w:hAnsi="Cambria Math"/>
                    </w:rPr>
                    <m:t>1</m:t>
                  </m:r>
                </m:e>
              </m:d>
            </m:e>
          </m:eqArr>
        </m:oMath>
      </m:oMathPara>
    </w:p>
    <w:p w14:paraId="427E96E5" w14:textId="7CFCEC11" w:rsidR="00C343DA" w:rsidRDefault="004E1EB9" w:rsidP="00D23535">
      <w:pPr>
        <w:spacing w:line="480" w:lineRule="auto"/>
        <w:jc w:val="both"/>
      </w:pPr>
      <w:r>
        <w:t>with [</w:t>
      </w:r>
      <w:r w:rsidRPr="001255FD">
        <w:rPr>
          <w:vertAlign w:val="superscript"/>
        </w:rPr>
        <w:t>210</w:t>
      </w:r>
      <w:r>
        <w:t>Pb</w:t>
      </w:r>
      <w:r w:rsidR="00B2797C">
        <w:rPr>
          <w:vertAlign w:val="subscript"/>
        </w:rPr>
        <w:t>XS</w:t>
      </w:r>
      <w:r>
        <w:t>]</w:t>
      </w:r>
      <w:r w:rsidR="00B80BBB">
        <w:t xml:space="preserve"> </w:t>
      </w:r>
      <w:r w:rsidRPr="001255FD">
        <w:rPr>
          <w:vertAlign w:val="subscript"/>
        </w:rPr>
        <w:t>0</w:t>
      </w:r>
      <w:r>
        <w:t xml:space="preserve"> and [</w:t>
      </w:r>
      <w:r w:rsidRPr="001255FD">
        <w:rPr>
          <w:vertAlign w:val="superscript"/>
        </w:rPr>
        <w:t>210</w:t>
      </w:r>
      <w:r>
        <w:t>Pb</w:t>
      </w:r>
      <w:r w:rsidR="00B2797C">
        <w:rPr>
          <w:vertAlign w:val="subscript"/>
        </w:rPr>
        <w:t>XS</w:t>
      </w:r>
      <w:r>
        <w:t>]</w:t>
      </w:r>
      <w:r w:rsidR="00B80BBB">
        <w:t xml:space="preserve"> </w:t>
      </w:r>
      <w:r w:rsidRPr="001255FD">
        <w:rPr>
          <w:vertAlign w:val="subscript"/>
        </w:rPr>
        <w:t>z</w:t>
      </w:r>
      <w:r>
        <w:t xml:space="preserve">; the excess </w:t>
      </w:r>
      <w:r w:rsidRPr="001255FD">
        <w:rPr>
          <w:vertAlign w:val="superscript"/>
        </w:rPr>
        <w:t>210</w:t>
      </w:r>
      <w:r>
        <w:t xml:space="preserve">Pb </w:t>
      </w:r>
      <w:r w:rsidR="00696AD8">
        <w:t xml:space="preserve">activities </w:t>
      </w:r>
      <w:r>
        <w:t xml:space="preserve">at the water-sediment interface and at depth </w:t>
      </w:r>
      <w:r w:rsidRPr="001255FD">
        <w:rPr>
          <w:i/>
          <w:iCs/>
        </w:rPr>
        <w:t>z</w:t>
      </w:r>
      <w:r>
        <w:t xml:space="preserve">, respectively; </w:t>
      </w:r>
      <w:r w:rsidR="001255FD" w:rsidRPr="001255FD">
        <w:t>λ</w:t>
      </w:r>
      <w:r w:rsidR="001255FD">
        <w:t xml:space="preserve">, the nuclide </w:t>
      </w:r>
      <w:r w:rsidR="00696AD8">
        <w:t xml:space="preserve">decay constant </w:t>
      </w:r>
      <w:r w:rsidR="001255FD">
        <w:t xml:space="preserve">and SAR, the sediment accumulation rate. </w:t>
      </w:r>
      <w:r w:rsidR="00116C72">
        <w:t xml:space="preserve">The activities of </w:t>
      </w:r>
      <w:r w:rsidR="00116C72" w:rsidRPr="001255FD">
        <w:rPr>
          <w:vertAlign w:val="superscript"/>
        </w:rPr>
        <w:t>210</w:t>
      </w:r>
      <w:r w:rsidR="00116C72">
        <w:t xml:space="preserve">Pb and </w:t>
      </w:r>
      <w:r w:rsidR="00116C72" w:rsidRPr="001255FD">
        <w:rPr>
          <w:vertAlign w:val="superscript"/>
        </w:rPr>
        <w:t>226</w:t>
      </w:r>
      <w:r w:rsidR="00116C72">
        <w:t xml:space="preserve">Ra were determined </w:t>
      </w:r>
      <w:r w:rsidR="00B80BBB">
        <w:rPr>
          <w:color w:val="000000"/>
        </w:rPr>
        <w:t xml:space="preserve">at the </w:t>
      </w:r>
      <w:proofErr w:type="spellStart"/>
      <w:r w:rsidR="00B80BBB">
        <w:rPr>
          <w:color w:val="000000"/>
        </w:rPr>
        <w:t>Environnements</w:t>
      </w:r>
      <w:proofErr w:type="spellEnd"/>
      <w:r w:rsidR="00B80BBB">
        <w:rPr>
          <w:color w:val="000000"/>
        </w:rPr>
        <w:t xml:space="preserve"> et </w:t>
      </w:r>
      <w:proofErr w:type="spellStart"/>
      <w:r w:rsidR="00B80BBB">
        <w:rPr>
          <w:color w:val="000000"/>
        </w:rPr>
        <w:t>Paléoenvironnements</w:t>
      </w:r>
      <w:proofErr w:type="spellEnd"/>
      <w:r w:rsidR="00B80BBB">
        <w:rPr>
          <w:color w:val="000000"/>
        </w:rPr>
        <w:t xml:space="preserve"> </w:t>
      </w:r>
      <w:proofErr w:type="spellStart"/>
      <w:r w:rsidR="00B80BBB">
        <w:rPr>
          <w:color w:val="000000"/>
        </w:rPr>
        <w:t>Océaniques</w:t>
      </w:r>
      <w:proofErr w:type="spellEnd"/>
      <w:r w:rsidR="00B80BBB">
        <w:rPr>
          <w:color w:val="000000"/>
        </w:rPr>
        <w:t xml:space="preserve"> et </w:t>
      </w:r>
      <w:proofErr w:type="spellStart"/>
      <w:r w:rsidR="00B80BBB">
        <w:rPr>
          <w:color w:val="000000"/>
        </w:rPr>
        <w:t>Continentaux</w:t>
      </w:r>
      <w:proofErr w:type="spellEnd"/>
      <w:r w:rsidR="00B80BBB">
        <w:rPr>
          <w:color w:val="000000"/>
        </w:rPr>
        <w:t xml:space="preserve"> (EPOC; France)</w:t>
      </w:r>
      <w:r w:rsidR="00116C72">
        <w:t xml:space="preserve"> laboratory on dry sediments </w:t>
      </w:r>
      <w:r>
        <w:t>using a low background, high efficiency</w:t>
      </w:r>
      <w:r w:rsidR="00696AD8">
        <w:t xml:space="preserve"> </w:t>
      </w:r>
      <w:r w:rsidR="00B707A9">
        <w:t>well-type gamma spectrometer</w:t>
      </w:r>
      <w:r>
        <w:t xml:space="preserve"> (CANBERRA; </w:t>
      </w:r>
      <w:r>
        <w:fldChar w:fldCharType="begin"/>
      </w:r>
      <w:r w:rsidR="008F3143">
        <w:instrText xml:space="preserve"> ADDIN ZOTERO_ITEM CSL_CITATION {"citationID":"ed5YQLsI","properties":{"formattedCitation":"(Schmidt et al., 2014)","plainCitation":"(Schmidt et al., 2014)","dontUpdate":true,"noteIndex":0},"citationItems":[{"id":1391,"uris":["http://zotero.org/users/local/01lnVYoF/items/AWVKW5RA"],"itemData":{"id":1391,"type":"article-journal","container-title":"Deep Sea Research Part II: Topical Studies in Oceanography","DOI":"10.1016/j.dsr2.2013.06.004","ISSN":"09670645","journalAbbreviation":"Deep Sea Research Part II: Topical Studies in Oceanography","language":"en","page":"134-144","source":"DOI.org (Crossref)","title":"Recent sediment transport and deposition in the Cap-Ferret Canyon, South-East margin of Bay of Biscay","volume":"104","author":[{"family":"Schmidt","given":"Sabine"},{"family":"Howa","given":"Hélène"},{"family":"Diallo","given":"Amy"},{"family":"Martín","given":"Jacobo"},{"family":"Cremer","given":"Michel"},{"family":"Duros","given":"Pauline"},{"family":"Fontanier","given":"Christophe"},{"family":"Deflandre","given":"Bruno"},{"family":"Metzger","given":"Edouard"},{"family":"Mulder","given":"Thierry"}],"issued":{"date-parts":[["2014",6]]}}}],"schema":"https://github.com/citation-style-language/schema/raw/master/csl-citation.json"} </w:instrText>
      </w:r>
      <w:r>
        <w:fldChar w:fldCharType="separate"/>
      </w:r>
      <w:r w:rsidRPr="004E1EB9">
        <w:rPr>
          <w:rFonts w:cs="Times New Roman"/>
        </w:rPr>
        <w:t>Schmidt et al., 2014)</w:t>
      </w:r>
      <w:r>
        <w:fldChar w:fldCharType="end"/>
      </w:r>
      <w:r>
        <w:t xml:space="preserve">. </w:t>
      </w:r>
      <w:bookmarkEnd w:id="6"/>
    </w:p>
    <w:bookmarkEnd w:id="8"/>
    <w:p w14:paraId="4E63E86F" w14:textId="096FBE25" w:rsidR="00F75022" w:rsidRDefault="00E75AA3" w:rsidP="000D1D1D">
      <w:pPr>
        <w:pStyle w:val="Titre2"/>
      </w:pPr>
      <w:r>
        <w:t xml:space="preserve">Composition of the </w:t>
      </w:r>
      <w:r w:rsidR="007367C6">
        <w:t>exported particles and sediments</w:t>
      </w:r>
    </w:p>
    <w:p w14:paraId="189263AB" w14:textId="6F771D68" w:rsidR="00E75AA3" w:rsidRPr="00B8486A" w:rsidRDefault="008A7C1C" w:rsidP="00D23535">
      <w:pPr>
        <w:spacing w:line="480" w:lineRule="auto"/>
        <w:jc w:val="both"/>
        <w:rPr>
          <w:color w:val="000000"/>
        </w:rPr>
      </w:pPr>
      <w:bookmarkStart w:id="9" w:name="_Hlk125558310"/>
      <w:r>
        <w:rPr>
          <w:color w:val="000000"/>
        </w:rPr>
        <w:t>The elemental analyses described above were used to determine the four main fractions of the collected sinking and sedimented material</w:t>
      </w:r>
      <w:r w:rsidR="00791E7C">
        <w:t>: organic matter (OM),</w:t>
      </w:r>
      <w:r w:rsidR="00B8486A">
        <w:t xml:space="preserve"> calcium</w:t>
      </w:r>
      <w:r w:rsidR="00791E7C">
        <w:t xml:space="preserve"> carbonates (CaCO</w:t>
      </w:r>
      <w:r w:rsidR="00791E7C" w:rsidRPr="00791E7C">
        <w:rPr>
          <w:vertAlign w:val="subscript"/>
        </w:rPr>
        <w:t>3</w:t>
      </w:r>
      <w:r w:rsidR="00791E7C">
        <w:t xml:space="preserve">), opal and lithogenic. </w:t>
      </w:r>
      <w:r w:rsidR="0082138E">
        <w:t>The OM fraction was calculated from POC concentrations as 2.199</w:t>
      </w:r>
      <w:r w:rsidR="0082138E" w:rsidRPr="0082138E">
        <w:rPr>
          <w:rFonts w:ascii="Open Sans" w:hAnsi="Open Sans" w:cs="Open Sans"/>
          <w:color w:val="1C1D1E"/>
          <w:shd w:val="clear" w:color="auto" w:fill="FFFFFF"/>
        </w:rPr>
        <w:t xml:space="preserve"> </w:t>
      </w:r>
      <w:r w:rsidR="0082138E">
        <w:rPr>
          <w:rFonts w:ascii="Open Sans" w:hAnsi="Open Sans" w:cs="Open Sans"/>
          <w:color w:val="1C1D1E"/>
          <w:shd w:val="clear" w:color="auto" w:fill="FFFFFF"/>
        </w:rPr>
        <w:t>×</w:t>
      </w:r>
      <w:r w:rsidR="0082138E" w:rsidRPr="0082138E">
        <w:rPr>
          <w:rFonts w:ascii="Open Sans" w:hAnsi="Open Sans" w:cs="Open Sans"/>
          <w:color w:val="1C1D1E"/>
          <w:shd w:val="clear" w:color="auto" w:fill="FFFFFF"/>
        </w:rPr>
        <w:t xml:space="preserve"> </w:t>
      </w:r>
      <w:r w:rsidR="0082138E">
        <w:t xml:space="preserve">POC </w:t>
      </w:r>
      <w:r w:rsidR="0082138E">
        <w:fldChar w:fldCharType="begin"/>
      </w:r>
      <w:r w:rsidR="0082138E">
        <w:instrText xml:space="preserve"> ADDIN ZOTERO_ITEM CSL_CITATION {"citationID":"yjyClWYd","properties":{"formattedCitation":"(Klaas and Archer, 2002)","plainCitation":"(Klaas and Archer, 2002)","noteIndex":0},"citationItems":[{"id":439,"uris":["http://zotero.org/users/local/01lnVYoF/items/VY4P9XGH"],"itemData":{"id":439,"type":"article-journal","container-title":"Global Biogeochemical Cycles","DOI":"10.1029/2001GB001765","ISSN":"08866236","issue":"4","journalAbbreviation":"Global Biogeochem. Cycles","language":"en","page":"63-1-63-14","source":"DOI.org (Crossref)","title":"Association of sinking organic matter with various types of mineral ballast in the deep sea: Implications for the rain ratio","title-short":"Association of sinking organic matter with various types of mineral ballast in the deep sea","volume":"16","author":[{"family":"Klaas","given":"Christine"},{"family":"Archer","given":"David E."}],"issued":{"date-parts":[["2002",12]]}}}],"schema":"https://github.com/citation-style-language/schema/raw/master/csl-citation.json"} </w:instrText>
      </w:r>
      <w:r w:rsidR="0082138E">
        <w:fldChar w:fldCharType="separate"/>
      </w:r>
      <w:r w:rsidR="0082138E" w:rsidRPr="0082138E">
        <w:rPr>
          <w:rFonts w:cs="Times New Roman"/>
        </w:rPr>
        <w:t>(Klaas and Archer, 2002)</w:t>
      </w:r>
      <w:r w:rsidR="0082138E">
        <w:fldChar w:fldCharType="end"/>
      </w:r>
      <w:r w:rsidR="0082138E">
        <w:t>. The CaCO</w:t>
      </w:r>
      <w:r w:rsidR="0082138E" w:rsidRPr="00791E7C">
        <w:rPr>
          <w:vertAlign w:val="subscript"/>
        </w:rPr>
        <w:t>3</w:t>
      </w:r>
      <w:r w:rsidR="0082138E">
        <w:t xml:space="preserve"> fraction was estimated from PIC as CaCO</w:t>
      </w:r>
      <w:r w:rsidR="0082138E" w:rsidRPr="00791E7C">
        <w:rPr>
          <w:vertAlign w:val="subscript"/>
        </w:rPr>
        <w:t>3</w:t>
      </w:r>
      <w:r w:rsidR="0082138E">
        <w:t xml:space="preserve"> = PIC</w:t>
      </w:r>
      <w:r w:rsidR="0082138E" w:rsidRPr="0082138E">
        <w:rPr>
          <w:rFonts w:ascii="Open Sans" w:hAnsi="Open Sans" w:cs="Open Sans"/>
          <w:color w:val="1C1D1E"/>
          <w:shd w:val="clear" w:color="auto" w:fill="FFFFFF"/>
        </w:rPr>
        <w:t xml:space="preserve"> </w:t>
      </w:r>
      <w:bookmarkStart w:id="10" w:name="_Hlk117009920"/>
      <w:r w:rsidR="0082138E">
        <w:rPr>
          <w:rFonts w:ascii="Open Sans" w:hAnsi="Open Sans" w:cs="Open Sans"/>
          <w:color w:val="1C1D1E"/>
          <w:shd w:val="clear" w:color="auto" w:fill="FFFFFF"/>
        </w:rPr>
        <w:t>×</w:t>
      </w:r>
      <w:r w:rsidR="0082138E" w:rsidRPr="0082138E">
        <w:rPr>
          <w:rFonts w:ascii="Open Sans" w:hAnsi="Open Sans" w:cs="Open Sans"/>
          <w:color w:val="1C1D1E"/>
          <w:shd w:val="clear" w:color="auto" w:fill="FFFFFF"/>
        </w:rPr>
        <w:t xml:space="preserve"> </w:t>
      </w:r>
      <w:r w:rsidR="0082138E">
        <w:t>8.33</w:t>
      </w:r>
      <w:bookmarkEnd w:id="10"/>
      <w:r w:rsidR="00EC4A4D">
        <w:t xml:space="preserve"> </w:t>
      </w:r>
      <w:r w:rsidR="00EC4A4D">
        <w:fldChar w:fldCharType="begin"/>
      </w:r>
      <w:r w:rsidR="00EC4A4D">
        <w:instrText xml:space="preserve"> ADDIN ZOTERO_ITEM CSL_CITATION {"citationID":"a7fAK1Do","properties":{"formattedCitation":"(Verardo et al., 1990)","plainCitation":"(Verardo et al., 1990)","noteIndex":0},"citationItems":[{"id":1742,"uris":["http://zotero.org/users/local/01lnVYoF/items/8GQYZCPS"],"itemData":{"id":1742,"type":"article-journal","container-title":"Deep Sea Research Part A. Oceanographic Research Papers","DOI":"10.1016/0198-0149(90)90034-S","ISSN":"01980149","issue":"1","journalAbbreviation":"Deep Sea Research Part A. Oceanographic Research Papers","language":"en","page":"157-165","source":"DOI.org (Crossref)","title":"Determination of organic carbon and nitrogen in marine sediments using the Carlo Erba NA-1500 analyzer","volume":"37","author":[{"family":"Verardo","given":"David J."},{"family":"Froelich","given":"Philip N."},{"family":"McIntyre","given":"Andrew"}],"issued":{"date-parts":[["1990",1]]}}}],"schema":"https://github.com/citation-style-language/schema/raw/master/csl-citation.json"} </w:instrText>
      </w:r>
      <w:r w:rsidR="00EC4A4D">
        <w:fldChar w:fldCharType="separate"/>
      </w:r>
      <w:r w:rsidR="00EC4A4D" w:rsidRPr="00EC4A4D">
        <w:rPr>
          <w:rFonts w:cs="Times New Roman"/>
        </w:rPr>
        <w:t>(Verardo et al., 1990)</w:t>
      </w:r>
      <w:r w:rsidR="00EC4A4D">
        <w:fldChar w:fldCharType="end"/>
      </w:r>
      <w:r w:rsidR="0082138E">
        <w:t xml:space="preserve">. PIC </w:t>
      </w:r>
      <w:r w:rsidR="00B14263">
        <w:t>was</w:t>
      </w:r>
      <w:r w:rsidR="006E05AC">
        <w:t xml:space="preserve"> </w:t>
      </w:r>
      <w:r w:rsidR="0082138E">
        <w:t>preferentially</w:t>
      </w:r>
      <w:r w:rsidR="00BF2E30">
        <w:t xml:space="preserve"> used</w:t>
      </w:r>
      <w:r w:rsidR="00415E36">
        <w:t>,</w:t>
      </w:r>
      <w:r w:rsidR="0082138E">
        <w:t xml:space="preserve"> as the method from Ca tended to overestimate the CaCO</w:t>
      </w:r>
      <w:r w:rsidR="0082138E" w:rsidRPr="00791E7C">
        <w:rPr>
          <w:vertAlign w:val="subscript"/>
        </w:rPr>
        <w:t>3</w:t>
      </w:r>
      <w:r w:rsidR="0082138E">
        <w:t xml:space="preserve"> fraction on some samples</w:t>
      </w:r>
      <w:r w:rsidR="002E2E75">
        <w:t xml:space="preserve"> (&gt; 100 wt.% of total collection weight; </w:t>
      </w:r>
      <w:r w:rsidR="002E2E75" w:rsidRPr="0082138E">
        <w:rPr>
          <w:i/>
          <w:iCs/>
        </w:rPr>
        <w:t>Table S2</w:t>
      </w:r>
      <w:r w:rsidR="002E2E75">
        <w:t>)</w:t>
      </w:r>
      <w:r w:rsidR="00E3529B">
        <w:t xml:space="preserve">, likely due to the presence of </w:t>
      </w:r>
      <w:r w:rsidR="00E3529B">
        <w:lastRenderedPageBreak/>
        <w:t>lithogenic C</w:t>
      </w:r>
      <w:r w:rsidR="002E2E75">
        <w:t>a</w:t>
      </w:r>
      <w:r w:rsidR="0082138E">
        <w:t>. The opal fraction was determined from BSi concentrations as Opal = BSi</w:t>
      </w:r>
      <w:r w:rsidR="0082138E" w:rsidRPr="0082138E">
        <w:rPr>
          <w:rFonts w:ascii="Open Sans" w:hAnsi="Open Sans" w:cs="Open Sans"/>
          <w:color w:val="1C1D1E"/>
          <w:shd w:val="clear" w:color="auto" w:fill="FFFFFF"/>
        </w:rPr>
        <w:t xml:space="preserve"> </w:t>
      </w:r>
      <w:r w:rsidR="0082138E">
        <w:rPr>
          <w:rFonts w:ascii="Open Sans" w:hAnsi="Open Sans" w:cs="Open Sans"/>
          <w:color w:val="1C1D1E"/>
          <w:shd w:val="clear" w:color="auto" w:fill="FFFFFF"/>
        </w:rPr>
        <w:t>×</w:t>
      </w:r>
      <w:r w:rsidR="0082138E" w:rsidRPr="0082138E">
        <w:rPr>
          <w:rFonts w:ascii="Open Sans" w:hAnsi="Open Sans" w:cs="Open Sans"/>
          <w:color w:val="1C1D1E"/>
          <w:shd w:val="clear" w:color="auto" w:fill="FFFFFF"/>
        </w:rPr>
        <w:t xml:space="preserve"> </w:t>
      </w:r>
      <w:r w:rsidR="0082138E">
        <w:t xml:space="preserve">2.4 </w:t>
      </w:r>
      <w:r w:rsidR="0082138E">
        <w:fldChar w:fldCharType="begin"/>
      </w:r>
      <w:r w:rsidR="0082138E">
        <w:instrText xml:space="preserve"> ADDIN ZOTERO_ITEM CSL_CITATION {"citationID":"Ksg0PzSm","properties":{"formattedCitation":"(Mortlock and Froelich, 1989)","plainCitation":"(Mortlock and Froelich, 1989)","noteIndex":0},"citationItems":[{"id":441,"uris":["http://zotero.org/users/local/01lnVYoF/items/AY2VKCN8"],"itemData":{"id":441,"type":"article-journal","container-title":"Deep Sea Research Part A. Oceanographic Research Papers","DOI":"10.1016/0198-0149(89)90092-7","ISSN":"01980149","issue":"9","journalAbbreviation":"Deep Sea Research Part A. Oceanographic Research Papers","language":"en","page":"1415-1426","source":"DOI.org (Crossref)","title":"A simple method for the rapid determination of biogenic opal in pelagic marine sediments","volume":"36","author":[{"family":"Mortlock","given":"Richard A."},{"family":"Froelich","given":"Philip N."}],"issued":{"date-parts":[["1989",9]]}}}],"schema":"https://github.com/citation-style-language/schema/raw/master/csl-citation.json"} </w:instrText>
      </w:r>
      <w:r w:rsidR="0082138E">
        <w:fldChar w:fldCharType="separate"/>
      </w:r>
      <w:r w:rsidR="0082138E" w:rsidRPr="0082138E">
        <w:rPr>
          <w:rFonts w:cs="Times New Roman"/>
        </w:rPr>
        <w:t>(Mortlock and Froelich, 1989)</w:t>
      </w:r>
      <w:r w:rsidR="0082138E">
        <w:fldChar w:fldCharType="end"/>
      </w:r>
      <w:r w:rsidR="0082138E">
        <w:t>. Finally, the lithogenic fraction was determined</w:t>
      </w:r>
      <w:r w:rsidR="006E05AC">
        <w:t xml:space="preserve"> through</w:t>
      </w:r>
      <w:r w:rsidR="0082138E">
        <w:t xml:space="preserve"> the mass balance method </w:t>
      </w:r>
      <w:r w:rsidR="0082138E">
        <w:fldChar w:fldCharType="begin"/>
      </w:r>
      <w:r w:rsidR="0082138E">
        <w:instrText xml:space="preserve"> ADDIN ZOTERO_ITEM CSL_CITATION {"citationID":"A8h2HtgM","properties":{"formattedCitation":"(Wefer and Fischer, 1993)","plainCitation":"(Wefer and Fischer, 1993)","noteIndex":0},"citationItems":[{"id":1372,"uris":["http://zotero.org/users/local/01lnVYoF/items/D8QYRH5Y"],"itemData":{"id":1372,"type":"article-journal","container-title":"Deep Sea Research Part I: Oceanographic Research Papers","DOI":"10.1016/0967-0637(93)90019-Y","ISSN":"09670637","issue":"8","journalAbbreviation":"Deep Sea Research Part I: Oceanographic Research Papers","language":"en","page":"1613-1645","source":"DOI.org (Crossref)","title":"Seasonal patterns of vertical particle flux in equatorial and coastal upwelling areas of the eastern Atlantic","volume":"40","author":[{"family":"Wefer","given":"G."},{"family":"Fischer","given":"G."}],"issued":{"date-parts":[["1993",8]]}}}],"schema":"https://github.com/citation-style-language/schema/raw/master/csl-citation.json"} </w:instrText>
      </w:r>
      <w:r w:rsidR="0082138E">
        <w:fldChar w:fldCharType="separate"/>
      </w:r>
      <w:r w:rsidR="0082138E" w:rsidRPr="0082138E">
        <w:rPr>
          <w:rFonts w:cs="Times New Roman"/>
        </w:rPr>
        <w:t>(Wefer and Fischer, 1993)</w:t>
      </w:r>
      <w:r w:rsidR="0082138E">
        <w:fldChar w:fldCharType="end"/>
      </w:r>
      <w:r w:rsidR="0082138E">
        <w:t xml:space="preserve">, </w:t>
      </w:r>
      <w:r w:rsidR="00B8486A">
        <w:rPr>
          <w:color w:val="000000"/>
        </w:rPr>
        <w:t>by subtracting the sum of the above three fractions from the total collection weight</w:t>
      </w:r>
      <w:r w:rsidR="003C6FF7">
        <w:t>.</w:t>
      </w:r>
      <w:r w:rsidR="00D25424">
        <w:t xml:space="preserve"> This method </w:t>
      </w:r>
      <w:r w:rsidR="002229A9">
        <w:t xml:space="preserve">was preferentially chosen in view of the potential bias </w:t>
      </w:r>
      <w:r w:rsidR="004674B2">
        <w:t>of using</w:t>
      </w:r>
      <w:r w:rsidR="002229A9">
        <w:t xml:space="preserve"> lithogenic tracers (LSi or Al) in this region, as these two elements can be significantly enriched or depleted through volcanic or hydrothermal activity</w:t>
      </w:r>
      <w:r w:rsidR="007367C6">
        <w:t xml:space="preserve">, as discussed </w:t>
      </w:r>
      <w:r w:rsidR="00B8486A">
        <w:t>in section 4.4</w:t>
      </w:r>
      <w:r w:rsidR="002229A9">
        <w:t xml:space="preserve">. </w:t>
      </w:r>
    </w:p>
    <w:bookmarkEnd w:id="9"/>
    <w:p w14:paraId="24BC635C" w14:textId="4F998AFD" w:rsidR="003C6FF7" w:rsidRDefault="00BD23D9" w:rsidP="000D1D1D">
      <w:pPr>
        <w:pStyle w:val="Titre2"/>
      </w:pPr>
      <w:r>
        <w:t>Statistical analysis</w:t>
      </w:r>
    </w:p>
    <w:p w14:paraId="51857485" w14:textId="4F244631" w:rsidR="00425981" w:rsidRPr="00583D81" w:rsidRDefault="00F70341" w:rsidP="00D23535">
      <w:pPr>
        <w:spacing w:line="480" w:lineRule="auto"/>
        <w:jc w:val="both"/>
        <w:rPr>
          <w:rFonts w:eastAsiaTheme="minorEastAsia"/>
        </w:rPr>
      </w:pPr>
      <w:bookmarkStart w:id="11" w:name="_Hlk125558550"/>
      <w:r>
        <w:rPr>
          <w:color w:val="000000"/>
        </w:rPr>
        <w:t>To determine if significant differences could be observed in the fractions of material collected at the different stations</w:t>
      </w:r>
      <w:r w:rsidR="0045666A">
        <w:rPr>
          <w:rFonts w:eastAsiaTheme="minorEastAsia"/>
        </w:rPr>
        <w:t>, a non-parametric Mann-Whitney test was performed. This two-tailed distribution-free test was selected due to the non-normally distributed data, previously determined through a Kolmog</w:t>
      </w:r>
      <w:r>
        <w:rPr>
          <w:rFonts w:eastAsiaTheme="minorEastAsia"/>
        </w:rPr>
        <w:t>o</w:t>
      </w:r>
      <w:r w:rsidR="0045666A">
        <w:rPr>
          <w:rFonts w:eastAsiaTheme="minorEastAsia"/>
        </w:rPr>
        <w:t>rov-Smirnov test. Differences were considered significant at a p-value (</w:t>
      </w:r>
      <w:r w:rsidR="0045666A" w:rsidRPr="0045666A">
        <w:rPr>
          <w:rFonts w:eastAsiaTheme="minorEastAsia"/>
          <w:i/>
          <w:iCs/>
        </w:rPr>
        <w:t>p</w:t>
      </w:r>
      <w:r w:rsidR="00255BBE">
        <w:rPr>
          <w:rFonts w:eastAsiaTheme="minorEastAsia"/>
        </w:rPr>
        <w:t>) &lt;</w:t>
      </w:r>
      <w:r w:rsidR="0045666A">
        <w:rPr>
          <w:rFonts w:eastAsiaTheme="minorEastAsia"/>
        </w:rPr>
        <w:t xml:space="preserve"> 0.05.</w:t>
      </w:r>
    </w:p>
    <w:bookmarkEnd w:id="11"/>
    <w:p w14:paraId="2C951DDB" w14:textId="5AA407F2" w:rsidR="008F23CC" w:rsidRPr="008F23CC" w:rsidRDefault="008F23CC" w:rsidP="000D1D1D">
      <w:pPr>
        <w:pStyle w:val="Titre1"/>
      </w:pPr>
      <w:r>
        <w:t>Results</w:t>
      </w:r>
    </w:p>
    <w:p w14:paraId="774A0819" w14:textId="17A7AB83" w:rsidR="00425981" w:rsidRPr="00425981" w:rsidRDefault="00425981" w:rsidP="000D1D1D">
      <w:pPr>
        <w:pStyle w:val="Titre2"/>
      </w:pPr>
      <w:r w:rsidRPr="00425981">
        <w:t xml:space="preserve">Composition of the </w:t>
      </w:r>
      <w:r w:rsidR="006D0F7F">
        <w:t>sinking</w:t>
      </w:r>
      <w:r w:rsidR="00674A24">
        <w:t xml:space="preserve"> particles </w:t>
      </w:r>
      <w:r w:rsidR="00FC129D">
        <w:t>and</w:t>
      </w:r>
      <w:r w:rsidR="00674A24">
        <w:t xml:space="preserve"> sediments</w:t>
      </w:r>
    </w:p>
    <w:p w14:paraId="1383F2BF" w14:textId="1041327B" w:rsidR="00425981" w:rsidRDefault="00827676" w:rsidP="000D1D1D">
      <w:pPr>
        <w:pStyle w:val="Titre3"/>
        <w:rPr>
          <w:b w:val="0"/>
          <w:bCs/>
          <w:i/>
          <w:iCs/>
        </w:rPr>
      </w:pPr>
      <w:r>
        <w:rPr>
          <w:b w:val="0"/>
          <w:bCs/>
          <w:i/>
          <w:iCs/>
        </w:rPr>
        <w:t>Biogenic particles</w:t>
      </w:r>
    </w:p>
    <w:p w14:paraId="35EE5F99" w14:textId="0E1959A6" w:rsidR="00674A24" w:rsidRPr="007E1300" w:rsidRDefault="00674A24" w:rsidP="007E1300">
      <w:pPr>
        <w:spacing w:line="480" w:lineRule="auto"/>
        <w:jc w:val="both"/>
      </w:pPr>
      <w:bookmarkStart w:id="12" w:name="_Hlk125558596"/>
      <w:r>
        <w:t>Three fractions of the collected material can be used as proxies for biological producti</w:t>
      </w:r>
      <w:r w:rsidR="00827676">
        <w:t>on</w:t>
      </w:r>
      <w:r>
        <w:t>: CaCO</w:t>
      </w:r>
      <w:r w:rsidRPr="00791E7C">
        <w:rPr>
          <w:vertAlign w:val="subscript"/>
        </w:rPr>
        <w:t>3</w:t>
      </w:r>
      <w:r>
        <w:t xml:space="preserve">, opal and OM. </w:t>
      </w:r>
    </w:p>
    <w:p w14:paraId="0BF8810D" w14:textId="25F342C0" w:rsidR="000E3FCA" w:rsidRDefault="007E1300" w:rsidP="00D23535">
      <w:pPr>
        <w:spacing w:line="480" w:lineRule="auto"/>
        <w:jc w:val="both"/>
        <w:rPr>
          <w:rFonts w:cs="Times New Roman"/>
        </w:rPr>
      </w:pPr>
      <w:r w:rsidRPr="007E1300">
        <w:rPr>
          <w:rFonts w:cs="Times New Roman"/>
          <w:i/>
          <w:iCs/>
        </w:rPr>
        <w:t>Exported particles</w:t>
      </w:r>
      <w:r>
        <w:rPr>
          <w:rFonts w:cs="Times New Roman"/>
        </w:rPr>
        <w:t xml:space="preserve">. </w:t>
      </w:r>
      <w:r w:rsidR="005C2B64" w:rsidRPr="00B833A0">
        <w:rPr>
          <w:rFonts w:cs="Times New Roman"/>
        </w:rPr>
        <w:t>CaCO</w:t>
      </w:r>
      <w:r w:rsidR="005C2B64" w:rsidRPr="00B833A0">
        <w:rPr>
          <w:rFonts w:cs="Times New Roman"/>
          <w:vertAlign w:val="subscript"/>
        </w:rPr>
        <w:t>3</w:t>
      </w:r>
      <w:r w:rsidR="005C2B64" w:rsidRPr="00B833A0">
        <w:rPr>
          <w:rFonts w:cs="Times New Roman"/>
        </w:rPr>
        <w:t xml:space="preserve"> was the most </w:t>
      </w:r>
      <w:r w:rsidR="00B833A0">
        <w:rPr>
          <w:rFonts w:cs="Times New Roman"/>
        </w:rPr>
        <w:t xml:space="preserve">abundant </w:t>
      </w:r>
      <w:r w:rsidR="000E3FCA">
        <w:rPr>
          <w:rFonts w:cs="Times New Roman"/>
        </w:rPr>
        <w:t>biogenic component</w:t>
      </w:r>
      <w:r w:rsidR="00674A24">
        <w:rPr>
          <w:rFonts w:cs="Times New Roman"/>
        </w:rPr>
        <w:t xml:space="preserve"> of the exported material</w:t>
      </w:r>
      <w:r w:rsidR="00E37050">
        <w:rPr>
          <w:rFonts w:cs="Times New Roman"/>
        </w:rPr>
        <w:t xml:space="preserve"> (</w:t>
      </w:r>
      <w:r w:rsidR="004D4F6E">
        <w:rPr>
          <w:color w:val="000000"/>
        </w:rPr>
        <w:t>on average over stations and depths: 52-58 wt.%</w:t>
      </w:r>
      <w:r w:rsidR="007B355B">
        <w:rPr>
          <w:color w:val="000000"/>
        </w:rPr>
        <w:t xml:space="preserve">; </w:t>
      </w:r>
      <w:r w:rsidR="007B355B">
        <w:rPr>
          <w:i/>
          <w:iCs/>
          <w:color w:val="000000"/>
        </w:rPr>
        <w:t>Fig. S2</w:t>
      </w:r>
      <w:r w:rsidR="00E37050">
        <w:rPr>
          <w:rFonts w:cs="Times New Roman"/>
        </w:rPr>
        <w:t>)</w:t>
      </w:r>
      <w:r w:rsidR="00E47473" w:rsidRPr="00B833A0">
        <w:rPr>
          <w:rFonts w:cs="Times New Roman"/>
        </w:rPr>
        <w:t xml:space="preserve"> if </w:t>
      </w:r>
      <w:r w:rsidR="00A24788">
        <w:rPr>
          <w:rFonts w:cs="Times New Roman"/>
        </w:rPr>
        <w:t>s</w:t>
      </w:r>
      <w:r w:rsidR="00E47473" w:rsidRPr="00B833A0">
        <w:rPr>
          <w:rFonts w:cs="Times New Roman"/>
        </w:rPr>
        <w:t>tation 10</w:t>
      </w:r>
      <w:r w:rsidR="00674A24">
        <w:rPr>
          <w:rFonts w:cs="Times New Roman"/>
        </w:rPr>
        <w:t xml:space="preserve"> at 1000 m is excluded</w:t>
      </w:r>
      <w:r w:rsidR="00E47473" w:rsidRPr="00B833A0">
        <w:rPr>
          <w:rFonts w:cs="Times New Roman"/>
        </w:rPr>
        <w:t xml:space="preserve"> </w:t>
      </w:r>
      <w:r w:rsidR="005C2B64" w:rsidRPr="00B833A0">
        <w:rPr>
          <w:rFonts w:cs="Times New Roman"/>
        </w:rPr>
        <w:t>(</w:t>
      </w:r>
      <w:r w:rsidR="00E37050">
        <w:rPr>
          <w:rFonts w:cs="Times New Roman"/>
        </w:rPr>
        <w:t xml:space="preserve">average 17 </w:t>
      </w:r>
      <w:r w:rsidR="00131195">
        <w:rPr>
          <w:rFonts w:cs="Times New Roman"/>
        </w:rPr>
        <w:t>wt.%</w:t>
      </w:r>
      <w:r w:rsidR="005C2B64" w:rsidRPr="00B833A0">
        <w:rPr>
          <w:rFonts w:cs="Times New Roman"/>
        </w:rPr>
        <w:t>)</w:t>
      </w:r>
      <w:r w:rsidR="00E47473" w:rsidRPr="00B833A0">
        <w:rPr>
          <w:rFonts w:cs="Times New Roman"/>
        </w:rPr>
        <w:t xml:space="preserve">. </w:t>
      </w:r>
      <w:r w:rsidR="00827676">
        <w:rPr>
          <w:rFonts w:cs="Times New Roman"/>
        </w:rPr>
        <w:t xml:space="preserve">The amount of </w:t>
      </w:r>
      <w:r w:rsidR="00EA3B09">
        <w:rPr>
          <w:rFonts w:cs="Times New Roman"/>
        </w:rPr>
        <w:t>CaCO</w:t>
      </w:r>
      <w:r w:rsidR="00EA3B09" w:rsidRPr="00EA3B09">
        <w:rPr>
          <w:rFonts w:cs="Times New Roman"/>
          <w:vertAlign w:val="subscript"/>
        </w:rPr>
        <w:t>3</w:t>
      </w:r>
      <w:r w:rsidR="00EA3B09">
        <w:rPr>
          <w:rFonts w:cs="Times New Roman"/>
        </w:rPr>
        <w:t xml:space="preserve"> </w:t>
      </w:r>
      <w:r w:rsidR="00827676">
        <w:rPr>
          <w:rFonts w:cs="Times New Roman"/>
        </w:rPr>
        <w:t>c</w:t>
      </w:r>
      <w:r w:rsidR="00EA3B09">
        <w:rPr>
          <w:rFonts w:cs="Times New Roman"/>
        </w:rPr>
        <w:t xml:space="preserve">ollected averaged </w:t>
      </w:r>
      <w:r w:rsidR="00B833A0">
        <w:rPr>
          <w:rFonts w:cs="Times New Roman"/>
        </w:rPr>
        <w:t xml:space="preserve">9 </w:t>
      </w:r>
      <w:r w:rsidR="00B833A0" w:rsidRPr="00B833A0">
        <w:rPr>
          <w:rFonts w:cs="Times New Roman"/>
        </w:rPr>
        <w:t>± 1</w:t>
      </w:r>
      <w:r w:rsidR="00B833A0">
        <w:rPr>
          <w:rFonts w:cs="Times New Roman"/>
        </w:rPr>
        <w:t xml:space="preserve"> </w:t>
      </w:r>
      <w:r w:rsidR="00E47473" w:rsidRPr="00B833A0">
        <w:rPr>
          <w:rFonts w:cs="Times New Roman"/>
        </w:rPr>
        <w:t xml:space="preserve">mg </w:t>
      </w:r>
      <w:r w:rsidR="002557C1" w:rsidRPr="00B833A0">
        <w:rPr>
          <w:rFonts w:cs="Times New Roman"/>
        </w:rPr>
        <w:t>d</w:t>
      </w:r>
      <w:r w:rsidR="002557C1" w:rsidRPr="00B833A0">
        <w:rPr>
          <w:rFonts w:cs="Times New Roman"/>
          <w:vertAlign w:val="superscript"/>
        </w:rPr>
        <w:t>-1</w:t>
      </w:r>
      <w:r w:rsidR="00EA3B09">
        <w:rPr>
          <w:rFonts w:cs="Times New Roman"/>
        </w:rPr>
        <w:t xml:space="preserve"> at all stations and depths, with a significantly higher </w:t>
      </w:r>
      <w:r w:rsidR="00B80BBB">
        <w:rPr>
          <w:rFonts w:cs="Times New Roman"/>
        </w:rPr>
        <w:t>accumulation</w:t>
      </w:r>
      <w:r w:rsidR="00EA3B09">
        <w:rPr>
          <w:rFonts w:cs="Times New Roman"/>
        </w:rPr>
        <w:t xml:space="preserve"> </w:t>
      </w:r>
      <w:r w:rsidR="00E47473" w:rsidRPr="00B833A0">
        <w:rPr>
          <w:rFonts w:cs="Times New Roman"/>
        </w:rPr>
        <w:t>at</w:t>
      </w:r>
      <w:r w:rsidR="00601C0C" w:rsidRPr="00B833A0">
        <w:rPr>
          <w:rFonts w:cs="Times New Roman"/>
        </w:rPr>
        <w:t xml:space="preserve"> stations 5 and 10</w:t>
      </w:r>
      <w:r w:rsidR="00E47473" w:rsidRPr="00B833A0">
        <w:rPr>
          <w:rFonts w:cs="Times New Roman"/>
        </w:rPr>
        <w:t xml:space="preserve"> </w:t>
      </w:r>
      <w:r w:rsidR="00EA3B09">
        <w:rPr>
          <w:rFonts w:cs="Times New Roman"/>
        </w:rPr>
        <w:t>at 1000 m</w:t>
      </w:r>
      <w:r w:rsidR="00601C0C" w:rsidRPr="00B833A0">
        <w:rPr>
          <w:rFonts w:cs="Times New Roman"/>
        </w:rPr>
        <w:t xml:space="preserve"> (</w:t>
      </w:r>
      <w:r w:rsidR="00B833A0" w:rsidRPr="00B833A0">
        <w:rPr>
          <w:rFonts w:cs="Times New Roman"/>
        </w:rPr>
        <w:t>~34 ± 15 mg d</w:t>
      </w:r>
      <w:r w:rsidR="00B833A0" w:rsidRPr="00B833A0">
        <w:rPr>
          <w:rFonts w:cs="Times New Roman"/>
          <w:vertAlign w:val="superscript"/>
        </w:rPr>
        <w:t>-1</w:t>
      </w:r>
      <w:r w:rsidR="00B833A0" w:rsidRPr="00B833A0">
        <w:rPr>
          <w:rFonts w:cs="Times New Roman"/>
        </w:rPr>
        <w:t xml:space="preserve">; </w:t>
      </w:r>
      <w:r w:rsidR="00601C0C" w:rsidRPr="00B833A0">
        <w:rPr>
          <w:rFonts w:cs="Times New Roman"/>
          <w:i/>
          <w:iCs/>
        </w:rPr>
        <w:t>p</w:t>
      </w:r>
      <w:r w:rsidR="00601C0C" w:rsidRPr="00B833A0">
        <w:rPr>
          <w:rFonts w:cs="Times New Roman"/>
        </w:rPr>
        <w:t xml:space="preserve"> &lt; 0.05</w:t>
      </w:r>
      <w:r w:rsidR="00F03749">
        <w:rPr>
          <w:rFonts w:cs="Times New Roman"/>
        </w:rPr>
        <w:t xml:space="preserve">; </w:t>
      </w:r>
      <w:r w:rsidR="00F03749" w:rsidRPr="00F03749">
        <w:rPr>
          <w:rFonts w:cs="Times New Roman"/>
          <w:i/>
          <w:iCs/>
        </w:rPr>
        <w:t>Fig. 2</w:t>
      </w:r>
      <w:r w:rsidR="00601C0C" w:rsidRPr="00B833A0">
        <w:rPr>
          <w:rFonts w:cs="Times New Roman"/>
        </w:rPr>
        <w:t>).</w:t>
      </w:r>
      <w:r w:rsidR="00AF031B" w:rsidRPr="00B833A0">
        <w:rPr>
          <w:rFonts w:cs="Times New Roman"/>
        </w:rPr>
        <w:t xml:space="preserve"> </w:t>
      </w:r>
      <w:r w:rsidR="00827676">
        <w:rPr>
          <w:color w:val="000000"/>
        </w:rPr>
        <w:t xml:space="preserve">At station 12 (fixed mooring), only two </w:t>
      </w:r>
      <w:r w:rsidR="00827676" w:rsidRPr="00827676">
        <w:rPr>
          <w:color w:val="000000"/>
          <w:szCs w:val="24"/>
        </w:rPr>
        <w:t>CaCO</w:t>
      </w:r>
      <w:r w:rsidR="00827676" w:rsidRPr="00827676">
        <w:rPr>
          <w:color w:val="000000"/>
          <w:szCs w:val="24"/>
          <w:vertAlign w:val="subscript"/>
        </w:rPr>
        <w:t>3</w:t>
      </w:r>
      <w:r w:rsidR="00827676" w:rsidRPr="00827676">
        <w:rPr>
          <w:color w:val="000000"/>
          <w:szCs w:val="24"/>
        </w:rPr>
        <w:t xml:space="preserve"> peaks</w:t>
      </w:r>
      <w:r w:rsidR="00827676">
        <w:rPr>
          <w:color w:val="000000"/>
        </w:rPr>
        <w:t xml:space="preserve"> were observed at 1000 m (in December and February) while they were more frequent at 200 m</w:t>
      </w:r>
      <w:r w:rsidR="003C3EB5" w:rsidRPr="00B833A0">
        <w:rPr>
          <w:rFonts w:cs="Times New Roman"/>
        </w:rPr>
        <w:t xml:space="preserve">. </w:t>
      </w:r>
      <w:r w:rsidR="000E1862">
        <w:rPr>
          <w:rFonts w:cs="Times New Roman"/>
        </w:rPr>
        <w:t>O</w:t>
      </w:r>
      <w:r w:rsidR="000E1862" w:rsidRPr="00B833A0">
        <w:rPr>
          <w:rFonts w:cs="Times New Roman"/>
        </w:rPr>
        <w:t xml:space="preserve">pal fraction </w:t>
      </w:r>
      <w:r w:rsidR="000E1862">
        <w:rPr>
          <w:rFonts w:cs="Times New Roman"/>
        </w:rPr>
        <w:t>wa</w:t>
      </w:r>
      <w:r w:rsidR="000E1862" w:rsidRPr="00B833A0">
        <w:rPr>
          <w:rFonts w:cs="Times New Roman"/>
        </w:rPr>
        <w:t xml:space="preserve">s the </w:t>
      </w:r>
      <w:r w:rsidR="000E1862">
        <w:rPr>
          <w:rFonts w:cs="Times New Roman"/>
        </w:rPr>
        <w:t>smallest biogenic component</w:t>
      </w:r>
      <w:r w:rsidR="000E1862" w:rsidRPr="00B833A0">
        <w:rPr>
          <w:rFonts w:cs="Times New Roman"/>
        </w:rPr>
        <w:t xml:space="preserve"> </w:t>
      </w:r>
      <w:r w:rsidR="000E1862">
        <w:rPr>
          <w:rFonts w:cs="Times New Roman"/>
        </w:rPr>
        <w:t>of</w:t>
      </w:r>
      <w:r w:rsidR="000E1862" w:rsidRPr="00B833A0">
        <w:rPr>
          <w:rFonts w:cs="Times New Roman"/>
        </w:rPr>
        <w:t xml:space="preserve"> the </w:t>
      </w:r>
      <w:r w:rsidR="000E1862">
        <w:rPr>
          <w:rFonts w:cs="Times New Roman"/>
        </w:rPr>
        <w:t>sinking</w:t>
      </w:r>
      <w:r w:rsidR="000E1862">
        <w:t xml:space="preserve"> material (1-5 wt.%</w:t>
      </w:r>
      <w:r w:rsidR="007B355B">
        <w:t xml:space="preserve">; </w:t>
      </w:r>
      <w:r w:rsidR="007B355B">
        <w:rPr>
          <w:i/>
          <w:iCs/>
          <w:color w:val="000000"/>
        </w:rPr>
        <w:t>Fig. S2</w:t>
      </w:r>
      <w:r w:rsidR="000E1862">
        <w:t>), regardless of station and collection depth</w:t>
      </w:r>
      <w:r w:rsidR="000E1862">
        <w:rPr>
          <w:rFonts w:cs="Times New Roman"/>
        </w:rPr>
        <w:t xml:space="preserve"> (~1.2 </w:t>
      </w:r>
      <w:r w:rsidR="000E1862" w:rsidRPr="00AF031B">
        <w:rPr>
          <w:rFonts w:cs="Times New Roman"/>
        </w:rPr>
        <w:t>±</w:t>
      </w:r>
      <w:r w:rsidR="000E1862">
        <w:rPr>
          <w:rFonts w:cs="Times New Roman"/>
        </w:rPr>
        <w:t xml:space="preserve"> 1.6 mg d</w:t>
      </w:r>
      <w:r w:rsidR="000E1862" w:rsidRPr="00740ADF">
        <w:rPr>
          <w:rFonts w:cs="Times New Roman"/>
          <w:vertAlign w:val="superscript"/>
        </w:rPr>
        <w:t>-1</w:t>
      </w:r>
      <w:r w:rsidR="000E1862">
        <w:rPr>
          <w:rFonts w:cs="Times New Roman"/>
        </w:rPr>
        <w:t xml:space="preserve">; </w:t>
      </w:r>
      <w:r w:rsidR="000E1862" w:rsidRPr="00601C0C">
        <w:rPr>
          <w:rFonts w:cs="Times New Roman"/>
          <w:i/>
          <w:iCs/>
        </w:rPr>
        <w:t>Fig. 2</w:t>
      </w:r>
      <w:r w:rsidR="000E1862">
        <w:rPr>
          <w:rFonts w:cs="Times New Roman"/>
        </w:rPr>
        <w:t>), with a significantly higher quantity collected at</w:t>
      </w:r>
      <w:r w:rsidR="00506461">
        <w:rPr>
          <w:rFonts w:cs="Times New Roman"/>
        </w:rPr>
        <w:t xml:space="preserve"> </w:t>
      </w:r>
      <w:r w:rsidR="000E1862">
        <w:rPr>
          <w:rFonts w:cs="Times New Roman"/>
        </w:rPr>
        <w:t>1000 m than at 200 m (</w:t>
      </w:r>
      <w:r w:rsidR="000E1862" w:rsidRPr="000D6279">
        <w:rPr>
          <w:rFonts w:cs="Times New Roman"/>
          <w:i/>
          <w:iCs/>
        </w:rPr>
        <w:t>p</w:t>
      </w:r>
      <w:r w:rsidR="000E1862">
        <w:rPr>
          <w:rFonts w:cs="Times New Roman"/>
        </w:rPr>
        <w:t xml:space="preserve"> &lt; 0.05). </w:t>
      </w:r>
      <w:r w:rsidR="00A0601D">
        <w:rPr>
          <w:color w:val="000000"/>
        </w:rPr>
        <w:t xml:space="preserve">Two opal </w:t>
      </w:r>
      <w:r w:rsidR="00A0601D">
        <w:rPr>
          <w:color w:val="000000"/>
        </w:rPr>
        <w:lastRenderedPageBreak/>
        <w:t xml:space="preserve">peaks, matching the </w:t>
      </w:r>
      <w:r w:rsidR="00B80BBB" w:rsidRPr="00827676">
        <w:rPr>
          <w:color w:val="000000"/>
          <w:szCs w:val="24"/>
        </w:rPr>
        <w:t>CaCO</w:t>
      </w:r>
      <w:r w:rsidR="00B80BBB" w:rsidRPr="00827676">
        <w:rPr>
          <w:color w:val="000000"/>
          <w:szCs w:val="24"/>
          <w:vertAlign w:val="subscript"/>
        </w:rPr>
        <w:t>3</w:t>
      </w:r>
      <w:r w:rsidR="00A0601D">
        <w:rPr>
          <w:color w:val="000000"/>
        </w:rPr>
        <w:t xml:space="preserve"> peaks in December and February, were observed at 1000 m at the fixed mooring station (station 12)</w:t>
      </w:r>
      <w:r w:rsidR="000E1862">
        <w:rPr>
          <w:rFonts w:cs="Times New Roman"/>
        </w:rPr>
        <w:t xml:space="preserve">. </w:t>
      </w:r>
      <w:r w:rsidR="000E1862" w:rsidRPr="00C77A2A">
        <w:rPr>
          <w:rFonts w:cs="Times New Roman"/>
        </w:rPr>
        <w:t xml:space="preserve">OM fraction was the second most </w:t>
      </w:r>
      <w:r w:rsidR="000E1862">
        <w:rPr>
          <w:rFonts w:cs="Times New Roman"/>
        </w:rPr>
        <w:t>abundant biogenic component at</w:t>
      </w:r>
      <w:r w:rsidR="000E1862" w:rsidRPr="00C77A2A">
        <w:rPr>
          <w:rFonts w:cs="Times New Roman"/>
        </w:rPr>
        <w:t xml:space="preserve"> 200 m</w:t>
      </w:r>
      <w:r w:rsidR="000E1862">
        <w:rPr>
          <w:rFonts w:cs="Times New Roman"/>
        </w:rPr>
        <w:t xml:space="preserve"> (31-41 wt.%</w:t>
      </w:r>
      <w:r w:rsidR="007B355B">
        <w:rPr>
          <w:rFonts w:cs="Times New Roman"/>
        </w:rPr>
        <w:t xml:space="preserve">; </w:t>
      </w:r>
      <w:r w:rsidR="007B355B">
        <w:rPr>
          <w:i/>
          <w:iCs/>
          <w:color w:val="000000"/>
        </w:rPr>
        <w:t>Fig. S2</w:t>
      </w:r>
      <w:r w:rsidR="000E1862">
        <w:rPr>
          <w:rFonts w:cs="Times New Roman"/>
        </w:rPr>
        <w:t>), with similar amounts of material collected at all stations</w:t>
      </w:r>
      <w:r w:rsidR="000E1862" w:rsidRPr="002557C1">
        <w:rPr>
          <w:rFonts w:cs="Times New Roman"/>
        </w:rPr>
        <w:t xml:space="preserve"> (~5.3 ± 2.6 mg d</w:t>
      </w:r>
      <w:r w:rsidR="000E1862" w:rsidRPr="002557C1">
        <w:rPr>
          <w:rFonts w:cs="Times New Roman"/>
          <w:vertAlign w:val="superscript"/>
        </w:rPr>
        <w:t>-1</w:t>
      </w:r>
      <w:r w:rsidR="000E1862" w:rsidRPr="002557C1">
        <w:rPr>
          <w:rFonts w:cs="Times New Roman"/>
        </w:rPr>
        <w:t xml:space="preserve">, </w:t>
      </w:r>
      <w:r w:rsidR="000E1862" w:rsidRPr="002557C1">
        <w:rPr>
          <w:rFonts w:cs="Times New Roman"/>
          <w:i/>
          <w:iCs/>
        </w:rPr>
        <w:t>p</w:t>
      </w:r>
      <w:r w:rsidR="000E1862" w:rsidRPr="002557C1">
        <w:rPr>
          <w:rFonts w:cs="Times New Roman"/>
        </w:rPr>
        <w:t xml:space="preserve"> = 0.34, </w:t>
      </w:r>
      <w:r w:rsidR="000E1862" w:rsidRPr="002557C1">
        <w:rPr>
          <w:rFonts w:cs="Times New Roman"/>
          <w:i/>
          <w:iCs/>
        </w:rPr>
        <w:t>Fig</w:t>
      </w:r>
      <w:r w:rsidR="000E1862">
        <w:rPr>
          <w:rFonts w:cs="Times New Roman"/>
          <w:i/>
          <w:iCs/>
        </w:rPr>
        <w:t>. 2</w:t>
      </w:r>
      <w:r w:rsidR="000E1862" w:rsidRPr="002557C1">
        <w:rPr>
          <w:rFonts w:cs="Times New Roman"/>
        </w:rPr>
        <w:t xml:space="preserve">). </w:t>
      </w:r>
      <w:r w:rsidR="000E1862">
        <w:rPr>
          <w:rFonts w:cs="Times New Roman"/>
        </w:rPr>
        <w:t xml:space="preserve">Apart from station 12 </w:t>
      </w:r>
      <w:r w:rsidR="000E1862" w:rsidRPr="002557C1">
        <w:rPr>
          <w:rFonts w:cs="Times New Roman"/>
        </w:rPr>
        <w:t>(</w:t>
      </w:r>
      <w:r w:rsidR="000E1862">
        <w:rPr>
          <w:rFonts w:cs="Times New Roman"/>
        </w:rPr>
        <w:t>~</w:t>
      </w:r>
      <w:r w:rsidR="000E1862" w:rsidRPr="002557C1">
        <w:rPr>
          <w:rFonts w:cs="Times New Roman"/>
        </w:rPr>
        <w:t>3 ± 2.5 mg d</w:t>
      </w:r>
      <w:r w:rsidR="000E1862" w:rsidRPr="002557C1">
        <w:rPr>
          <w:rFonts w:cs="Times New Roman"/>
          <w:vertAlign w:val="superscript"/>
        </w:rPr>
        <w:t>-1</w:t>
      </w:r>
      <w:r w:rsidR="000E1862" w:rsidRPr="002557C1">
        <w:rPr>
          <w:rFonts w:cs="Times New Roman"/>
        </w:rPr>
        <w:t xml:space="preserve">; </w:t>
      </w:r>
      <w:r w:rsidR="000E1862" w:rsidRPr="002557C1">
        <w:rPr>
          <w:rFonts w:cs="Times New Roman"/>
          <w:i/>
          <w:iCs/>
        </w:rPr>
        <w:t>p</w:t>
      </w:r>
      <w:r w:rsidR="000E1862" w:rsidRPr="002557C1">
        <w:rPr>
          <w:rFonts w:cs="Times New Roman"/>
        </w:rPr>
        <w:t xml:space="preserve"> = 0.01)</w:t>
      </w:r>
      <w:r w:rsidR="000E1862">
        <w:rPr>
          <w:rFonts w:cs="Times New Roman"/>
        </w:rPr>
        <w:t xml:space="preserve">, OM </w:t>
      </w:r>
      <w:r w:rsidR="00B80BBB">
        <w:rPr>
          <w:rFonts w:cs="Times New Roman"/>
        </w:rPr>
        <w:t>collected</w:t>
      </w:r>
      <w:r w:rsidR="000E1862">
        <w:rPr>
          <w:rFonts w:cs="Times New Roman"/>
        </w:rPr>
        <w:t xml:space="preserve"> at 1000 m </w:t>
      </w:r>
      <w:r w:rsidR="000E1862" w:rsidRPr="002557C1">
        <w:rPr>
          <w:rFonts w:cs="Times New Roman"/>
        </w:rPr>
        <w:t>(~6.6 ± 1.8 mg d</w:t>
      </w:r>
      <w:r w:rsidR="000E1862" w:rsidRPr="002557C1">
        <w:rPr>
          <w:rFonts w:cs="Times New Roman"/>
          <w:vertAlign w:val="superscript"/>
        </w:rPr>
        <w:t>-1</w:t>
      </w:r>
      <w:r w:rsidR="000E1862" w:rsidRPr="002557C1">
        <w:rPr>
          <w:rFonts w:cs="Times New Roman"/>
        </w:rPr>
        <w:t xml:space="preserve">; </w:t>
      </w:r>
      <w:r w:rsidR="000E1862">
        <w:rPr>
          <w:rFonts w:cs="Times New Roman"/>
        </w:rPr>
        <w:t>4-22 wt.%) did not significantly differ from those collected at 200 m</w:t>
      </w:r>
      <w:r w:rsidR="000E1862" w:rsidRPr="002557C1">
        <w:rPr>
          <w:rFonts w:cs="Times New Roman"/>
        </w:rPr>
        <w:t xml:space="preserve"> </w:t>
      </w:r>
      <w:r w:rsidR="000E1862">
        <w:rPr>
          <w:rFonts w:cs="Times New Roman"/>
        </w:rPr>
        <w:t>(</w:t>
      </w:r>
      <w:r w:rsidR="000E1862" w:rsidRPr="002557C1">
        <w:rPr>
          <w:rFonts w:cs="Times New Roman"/>
          <w:i/>
          <w:iCs/>
        </w:rPr>
        <w:t>p</w:t>
      </w:r>
      <w:r w:rsidR="000E1862" w:rsidRPr="002557C1">
        <w:rPr>
          <w:rFonts w:cs="Times New Roman"/>
        </w:rPr>
        <w:t xml:space="preserve"> &gt; 0.1)</w:t>
      </w:r>
      <w:r w:rsidR="000E1862">
        <w:rPr>
          <w:rFonts w:cs="Times New Roman"/>
        </w:rPr>
        <w:t>.</w:t>
      </w:r>
      <w:r w:rsidR="000E1862" w:rsidRPr="002557C1">
        <w:rPr>
          <w:rFonts w:cs="Times New Roman"/>
        </w:rPr>
        <w:t xml:space="preserve"> </w:t>
      </w:r>
      <w:r w:rsidR="000E1862">
        <w:rPr>
          <w:rFonts w:cs="Times New Roman"/>
        </w:rPr>
        <w:t xml:space="preserve">Amounts collected at station 12 at 1000 m were significantly lower than at station 10 at the same depth </w:t>
      </w:r>
      <w:r w:rsidR="000E1862" w:rsidRPr="002557C1">
        <w:rPr>
          <w:rFonts w:cs="Times New Roman"/>
        </w:rPr>
        <w:t>(</w:t>
      </w:r>
      <w:r w:rsidR="000E1862" w:rsidRPr="002557C1">
        <w:rPr>
          <w:rFonts w:cs="Times New Roman"/>
          <w:i/>
          <w:iCs/>
        </w:rPr>
        <w:t>p</w:t>
      </w:r>
      <w:r w:rsidR="000E1862" w:rsidRPr="002557C1">
        <w:rPr>
          <w:rFonts w:cs="Times New Roman"/>
        </w:rPr>
        <w:t xml:space="preserve"> = 0.01).</w:t>
      </w:r>
      <w:r w:rsidR="000E1862">
        <w:rPr>
          <w:rFonts w:cs="Times New Roman"/>
        </w:rPr>
        <w:t xml:space="preserve"> OM peaks</w:t>
      </w:r>
      <w:r w:rsidR="000E1862" w:rsidRPr="002557C1">
        <w:rPr>
          <w:rFonts w:cs="Times New Roman"/>
        </w:rPr>
        <w:t xml:space="preserve"> were observed </w:t>
      </w:r>
      <w:r w:rsidR="000E1862">
        <w:rPr>
          <w:rFonts w:cs="Times New Roman"/>
        </w:rPr>
        <w:t>from December to May in both traps of station 12. At 1000 m, those peaks matched those of opal and CaCO</w:t>
      </w:r>
      <w:r w:rsidR="000E1862" w:rsidRPr="00011E03">
        <w:rPr>
          <w:rFonts w:cs="Times New Roman"/>
          <w:vertAlign w:val="subscript"/>
        </w:rPr>
        <w:t>3</w:t>
      </w:r>
      <w:r w:rsidR="000E1862">
        <w:rPr>
          <w:rFonts w:cs="Times New Roman"/>
        </w:rPr>
        <w:t>.</w:t>
      </w:r>
      <w:r w:rsidR="000E1862" w:rsidRPr="0060456C">
        <w:rPr>
          <w:rFonts w:cs="Times New Roman"/>
        </w:rPr>
        <w:t xml:space="preserve"> </w:t>
      </w:r>
    </w:p>
    <w:p w14:paraId="581D8593" w14:textId="542A5874" w:rsidR="000E1862" w:rsidRDefault="007E1300" w:rsidP="000E1862">
      <w:pPr>
        <w:spacing w:line="480" w:lineRule="auto"/>
        <w:jc w:val="both"/>
        <w:rPr>
          <w:rFonts w:cs="Times New Roman"/>
        </w:rPr>
      </w:pPr>
      <w:r w:rsidRPr="007E1300">
        <w:rPr>
          <w:rFonts w:cs="Times New Roman"/>
          <w:i/>
          <w:iCs/>
        </w:rPr>
        <w:t>Seafloor sediments</w:t>
      </w:r>
      <w:r>
        <w:rPr>
          <w:rFonts w:cs="Times New Roman"/>
        </w:rPr>
        <w:t xml:space="preserve">. </w:t>
      </w:r>
      <w:r w:rsidR="000E1862">
        <w:rPr>
          <w:rFonts w:cs="Times New Roman"/>
        </w:rPr>
        <w:t xml:space="preserve">The </w:t>
      </w:r>
      <w:r w:rsidR="000E1862" w:rsidRPr="00B833A0">
        <w:rPr>
          <w:rFonts w:cs="Times New Roman"/>
        </w:rPr>
        <w:t>proportion of CaCO</w:t>
      </w:r>
      <w:r w:rsidR="000E1862" w:rsidRPr="00B833A0">
        <w:rPr>
          <w:rFonts w:cs="Times New Roman"/>
          <w:vertAlign w:val="subscript"/>
        </w:rPr>
        <w:t>3</w:t>
      </w:r>
      <w:r w:rsidR="000E1862" w:rsidRPr="00B833A0">
        <w:rPr>
          <w:rFonts w:cs="Times New Roman"/>
        </w:rPr>
        <w:t xml:space="preserve"> in seafloor sediments was very low (&lt; 5</w:t>
      </w:r>
      <w:r w:rsidR="000E1862">
        <w:rPr>
          <w:rFonts w:cs="Times New Roman"/>
        </w:rPr>
        <w:t xml:space="preserve"> wt.%</w:t>
      </w:r>
      <w:r w:rsidR="000E1862" w:rsidRPr="00B833A0">
        <w:rPr>
          <w:rFonts w:cs="Times New Roman"/>
        </w:rPr>
        <w:t xml:space="preserve">) at most stations, except at </w:t>
      </w:r>
      <w:r w:rsidR="000E1862">
        <w:rPr>
          <w:rFonts w:cs="Times New Roman"/>
        </w:rPr>
        <w:t>s</w:t>
      </w:r>
      <w:r w:rsidR="000E1862" w:rsidRPr="00B833A0">
        <w:rPr>
          <w:rFonts w:cs="Times New Roman"/>
        </w:rPr>
        <w:t xml:space="preserve">tation </w:t>
      </w:r>
      <w:r w:rsidR="000E1862" w:rsidRPr="007A453A">
        <w:rPr>
          <w:rFonts w:cs="Times New Roman"/>
        </w:rPr>
        <w:t xml:space="preserve">12 (64 </w:t>
      </w:r>
      <w:r w:rsidR="002F7426" w:rsidRPr="007A453A">
        <w:rPr>
          <w:rFonts w:cs="Times New Roman"/>
        </w:rPr>
        <w:t xml:space="preserve">± 1 </w:t>
      </w:r>
      <w:r w:rsidR="000E1862" w:rsidRPr="007A453A">
        <w:rPr>
          <w:rFonts w:cs="Times New Roman"/>
        </w:rPr>
        <w:t>wt.%,</w:t>
      </w:r>
      <w:r w:rsidR="000E1862" w:rsidRPr="00B833A0">
        <w:rPr>
          <w:rFonts w:cs="Times New Roman"/>
          <w:i/>
          <w:iCs/>
        </w:rPr>
        <w:t xml:space="preserve"> p</w:t>
      </w:r>
      <w:r w:rsidR="000E1862" w:rsidRPr="00B833A0">
        <w:rPr>
          <w:rFonts w:cs="Times New Roman"/>
        </w:rPr>
        <w:t xml:space="preserve"> &lt; 0.05, </w:t>
      </w:r>
      <w:r w:rsidR="000E1862" w:rsidRPr="00B833A0">
        <w:rPr>
          <w:rFonts w:cs="Times New Roman"/>
          <w:i/>
          <w:iCs/>
        </w:rPr>
        <w:t>Table 1</w:t>
      </w:r>
      <w:r w:rsidR="000E1862" w:rsidRPr="00B833A0">
        <w:rPr>
          <w:rFonts w:cs="Times New Roman"/>
        </w:rPr>
        <w:t>).</w:t>
      </w:r>
      <w:r w:rsidR="000E1862">
        <w:rPr>
          <w:rFonts w:cs="Times New Roman"/>
        </w:rPr>
        <w:t xml:space="preserve"> Although present in low proportions (10 </w:t>
      </w:r>
      <w:r w:rsidR="000E1862" w:rsidRPr="00AF031B">
        <w:rPr>
          <w:rFonts w:cs="Times New Roman"/>
        </w:rPr>
        <w:t>±</w:t>
      </w:r>
      <w:r w:rsidR="000E1862">
        <w:rPr>
          <w:rFonts w:cs="Times New Roman"/>
        </w:rPr>
        <w:t xml:space="preserve"> 2 wt.%), opal was the most abundant biogenic component in seafloor sediments, with no difference </w:t>
      </w:r>
      <w:r w:rsidR="000E1862" w:rsidRPr="00C77A2A">
        <w:rPr>
          <w:rFonts w:cs="Times New Roman"/>
        </w:rPr>
        <w:t>between stations (</w:t>
      </w:r>
      <w:r w:rsidR="000E1862" w:rsidRPr="00C77A2A">
        <w:rPr>
          <w:rFonts w:cs="Times New Roman"/>
          <w:i/>
          <w:iCs/>
        </w:rPr>
        <w:t>p</w:t>
      </w:r>
      <w:r w:rsidR="000E1862" w:rsidRPr="00C77A2A">
        <w:rPr>
          <w:rFonts w:cs="Times New Roman"/>
        </w:rPr>
        <w:t xml:space="preserve"> &gt; 0.05).</w:t>
      </w:r>
      <w:r w:rsidR="000E1862">
        <w:rPr>
          <w:rFonts w:cs="Times New Roman"/>
        </w:rPr>
        <w:t xml:space="preserve"> OM proportion was less than 1 wt.% for all stations</w:t>
      </w:r>
      <w:r w:rsidR="00B80BBB">
        <w:rPr>
          <w:rFonts w:cs="Times New Roman"/>
        </w:rPr>
        <w:t xml:space="preserve"> </w:t>
      </w:r>
      <w:r w:rsidR="00B80BBB">
        <w:rPr>
          <w:color w:val="000000"/>
        </w:rPr>
        <w:t>and did not differ between stations</w:t>
      </w:r>
      <w:r w:rsidR="000E1862">
        <w:rPr>
          <w:rFonts w:cs="Times New Roman"/>
        </w:rPr>
        <w:t xml:space="preserve"> (</w:t>
      </w:r>
      <w:r w:rsidR="000E1862" w:rsidRPr="00D24BCE">
        <w:rPr>
          <w:rFonts w:cs="Times New Roman"/>
          <w:i/>
          <w:iCs/>
        </w:rPr>
        <w:t>p</w:t>
      </w:r>
      <w:r w:rsidR="000E1862">
        <w:rPr>
          <w:rFonts w:cs="Times New Roman"/>
        </w:rPr>
        <w:t xml:space="preserve"> &gt; 0.05).</w:t>
      </w:r>
    </w:p>
    <w:bookmarkEnd w:id="12"/>
    <w:p w14:paraId="0CD93E6F" w14:textId="77777777" w:rsidR="00BD23D9" w:rsidRPr="00425981" w:rsidRDefault="00BD23D9" w:rsidP="00BD23D9">
      <w:pPr>
        <w:pStyle w:val="Titre3"/>
        <w:rPr>
          <w:b w:val="0"/>
          <w:bCs/>
          <w:i/>
          <w:iCs/>
        </w:rPr>
      </w:pPr>
      <w:r>
        <w:rPr>
          <w:b w:val="0"/>
          <w:bCs/>
          <w:i/>
          <w:iCs/>
        </w:rPr>
        <w:t>Lithogenic</w:t>
      </w:r>
      <w:r w:rsidRPr="00425981">
        <w:rPr>
          <w:b w:val="0"/>
          <w:bCs/>
          <w:i/>
          <w:iCs/>
        </w:rPr>
        <w:t xml:space="preserve"> </w:t>
      </w:r>
      <w:r>
        <w:rPr>
          <w:b w:val="0"/>
          <w:bCs/>
          <w:i/>
          <w:iCs/>
        </w:rPr>
        <w:t>material</w:t>
      </w:r>
    </w:p>
    <w:p w14:paraId="053CEE16" w14:textId="2CB499B2" w:rsidR="00BD23D9" w:rsidRPr="000B51F5" w:rsidRDefault="00BD23D9" w:rsidP="00BD23D9">
      <w:pPr>
        <w:spacing w:line="480" w:lineRule="auto"/>
        <w:jc w:val="both"/>
        <w:rPr>
          <w:rFonts w:cs="Times New Roman"/>
        </w:rPr>
      </w:pPr>
      <w:bookmarkStart w:id="13" w:name="_Hlk125558990"/>
      <w:r w:rsidRPr="000B51F5">
        <w:rPr>
          <w:rFonts w:cs="Times New Roman"/>
          <w:i/>
          <w:iCs/>
        </w:rPr>
        <w:t>Exported particles</w:t>
      </w:r>
      <w:r w:rsidRPr="000B51F5">
        <w:rPr>
          <w:rFonts w:cs="Times New Roman"/>
        </w:rPr>
        <w:t>. The smallest amount of lithogenic material was collected at 200 m at station 10 (~0.</w:t>
      </w:r>
      <w:r>
        <w:rPr>
          <w:rFonts w:cs="Times New Roman"/>
        </w:rPr>
        <w:t>5</w:t>
      </w:r>
      <w:r w:rsidRPr="000B51F5">
        <w:rPr>
          <w:rFonts w:cs="Times New Roman"/>
        </w:rPr>
        <w:t xml:space="preserve"> ± 0.</w:t>
      </w:r>
      <w:r>
        <w:rPr>
          <w:rFonts w:cs="Times New Roman"/>
        </w:rPr>
        <w:t>2</w:t>
      </w:r>
      <w:r w:rsidRPr="000B51F5">
        <w:rPr>
          <w:rFonts w:cs="Times New Roman"/>
        </w:rPr>
        <w:t xml:space="preserve"> mg d</w:t>
      </w:r>
      <w:r w:rsidRPr="000B51F5">
        <w:rPr>
          <w:rFonts w:cs="Times New Roman"/>
          <w:vertAlign w:val="superscript"/>
        </w:rPr>
        <w:t>-1</w:t>
      </w:r>
      <w:r w:rsidRPr="000B51F5">
        <w:rPr>
          <w:rFonts w:cs="Times New Roman"/>
        </w:rPr>
        <w:t>; 3 ± 1 wt.%</w:t>
      </w:r>
      <w:r w:rsidR="00F03749">
        <w:rPr>
          <w:rFonts w:cs="Times New Roman"/>
        </w:rPr>
        <w:t xml:space="preserve">; </w:t>
      </w:r>
      <w:r w:rsidR="00F03749">
        <w:rPr>
          <w:i/>
          <w:iCs/>
          <w:color w:val="000000"/>
        </w:rPr>
        <w:t>Figs. 2 and S2</w:t>
      </w:r>
      <w:r w:rsidRPr="000B51F5">
        <w:rPr>
          <w:rFonts w:cs="Times New Roman"/>
        </w:rPr>
        <w:t xml:space="preserve">). In contrast, at the same station at 1000 m, the lithogenic material was up to </w:t>
      </w:r>
      <w:r>
        <w:rPr>
          <w:rFonts w:cs="Times New Roman"/>
        </w:rPr>
        <w:t>four</w:t>
      </w:r>
      <w:r w:rsidRPr="000B51F5">
        <w:rPr>
          <w:rFonts w:cs="Times New Roman"/>
        </w:rPr>
        <w:t xml:space="preserve"> orders of magnitude higher (maximum of 344 mg d</w:t>
      </w:r>
      <w:r w:rsidRPr="000B51F5">
        <w:rPr>
          <w:rFonts w:cs="Times New Roman"/>
          <w:vertAlign w:val="superscript"/>
        </w:rPr>
        <w:t>-1</w:t>
      </w:r>
      <w:r w:rsidRPr="000B51F5">
        <w:rPr>
          <w:rFonts w:cs="Times New Roman"/>
        </w:rPr>
        <w:t>; 75 ± 3 wt.%). Large amounts were also collected at 1000 m at station 5 (~16 ± 4 mg d</w:t>
      </w:r>
      <w:r w:rsidRPr="000B51F5">
        <w:rPr>
          <w:rFonts w:cs="Times New Roman"/>
          <w:vertAlign w:val="superscript"/>
        </w:rPr>
        <w:t>-1</w:t>
      </w:r>
      <w:r w:rsidRPr="000B51F5">
        <w:rPr>
          <w:rFonts w:cs="Times New Roman"/>
        </w:rPr>
        <w:t xml:space="preserve">; 33 ± 11 wt.%), albeit significantly lower (by a factor of 20, </w:t>
      </w:r>
      <w:r w:rsidRPr="000B51F5">
        <w:rPr>
          <w:rFonts w:cs="Times New Roman"/>
          <w:i/>
          <w:iCs/>
        </w:rPr>
        <w:t>p</w:t>
      </w:r>
      <w:r w:rsidRPr="000B51F5">
        <w:rPr>
          <w:rFonts w:cs="Times New Roman"/>
        </w:rPr>
        <w:t xml:space="preserve"> = 0.03). In comparison, at station 12 (fixed mooring), lithogenic amounts were lower throughout the year (</w:t>
      </w:r>
      <w:r w:rsidRPr="000B51F5">
        <w:rPr>
          <w:rFonts w:cs="Times New Roman"/>
          <w:i/>
          <w:iCs/>
        </w:rPr>
        <w:t>p</w:t>
      </w:r>
      <w:r w:rsidRPr="000B51F5">
        <w:rPr>
          <w:rFonts w:cs="Times New Roman"/>
        </w:rPr>
        <w:t xml:space="preserve"> &lt; 0.02) and of the same order of magnitude in both traps (~2.6 ± 1.9 mg d</w:t>
      </w:r>
      <w:r w:rsidRPr="000B51F5">
        <w:rPr>
          <w:rFonts w:cs="Times New Roman"/>
          <w:vertAlign w:val="superscript"/>
        </w:rPr>
        <w:t>-1</w:t>
      </w:r>
      <w:r w:rsidRPr="000B51F5">
        <w:rPr>
          <w:rFonts w:cs="Times New Roman"/>
        </w:rPr>
        <w:t>;</w:t>
      </w:r>
      <w:r w:rsidRPr="000B51F5">
        <w:rPr>
          <w:rFonts w:cs="Times New Roman"/>
          <w:i/>
          <w:iCs/>
        </w:rPr>
        <w:t xml:space="preserve"> </w:t>
      </w:r>
      <w:r w:rsidRPr="000B51F5">
        <w:rPr>
          <w:rFonts w:cs="Times New Roman"/>
        </w:rPr>
        <w:t xml:space="preserve">16 ± 7 wt.%; </w:t>
      </w:r>
      <w:r w:rsidRPr="000B51F5">
        <w:rPr>
          <w:rFonts w:cs="Times New Roman"/>
          <w:i/>
          <w:iCs/>
        </w:rPr>
        <w:t xml:space="preserve">p </w:t>
      </w:r>
      <w:r w:rsidRPr="000B51F5">
        <w:rPr>
          <w:rFonts w:cs="Times New Roman"/>
        </w:rPr>
        <w:t>= 0.2). At 200 m at station 12, the observed lithogenic peaks coincided with most OM peaks. Notably, two lithogenic peaks (up to 14 mg d</w:t>
      </w:r>
      <w:r w:rsidRPr="000B51F5">
        <w:rPr>
          <w:rFonts w:cs="Times New Roman"/>
          <w:vertAlign w:val="superscript"/>
        </w:rPr>
        <w:t>-1</w:t>
      </w:r>
      <w:r w:rsidRPr="000B51F5">
        <w:rPr>
          <w:rFonts w:cs="Times New Roman"/>
        </w:rPr>
        <w:t>), matching those of all biogenic components (CaCO</w:t>
      </w:r>
      <w:r w:rsidRPr="000B51F5">
        <w:rPr>
          <w:rFonts w:cs="Times New Roman"/>
          <w:vertAlign w:val="subscript"/>
        </w:rPr>
        <w:t>3</w:t>
      </w:r>
      <w:r w:rsidRPr="000B51F5">
        <w:rPr>
          <w:rFonts w:cs="Times New Roman"/>
        </w:rPr>
        <w:t>, opal, OM), were observed in December and February at 1000 m.</w:t>
      </w:r>
    </w:p>
    <w:bookmarkEnd w:id="13"/>
    <w:p w14:paraId="01960FAA" w14:textId="41D94E92" w:rsidR="006A6453" w:rsidRDefault="00EE1AEC" w:rsidP="00F34F22">
      <w:pPr>
        <w:jc w:val="center"/>
      </w:pPr>
      <w:r>
        <w:rPr>
          <w:noProof/>
        </w:rPr>
        <w:lastRenderedPageBreak/>
        <w:drawing>
          <wp:inline distT="0" distB="0" distL="0" distR="0" wp14:anchorId="48A81C44" wp14:editId="24775D6D">
            <wp:extent cx="6208395" cy="6866255"/>
            <wp:effectExtent l="0" t="0" r="190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08395" cy="6866255"/>
                    </a:xfrm>
                    <a:prstGeom prst="rect">
                      <a:avLst/>
                    </a:prstGeom>
                  </pic:spPr>
                </pic:pic>
              </a:graphicData>
            </a:graphic>
          </wp:inline>
        </w:drawing>
      </w:r>
    </w:p>
    <w:p w14:paraId="44940BD8" w14:textId="0E0F40BD" w:rsidR="006A6453" w:rsidRDefault="006A6453" w:rsidP="00D5722F">
      <w:pPr>
        <w:spacing w:line="360" w:lineRule="auto"/>
        <w:jc w:val="both"/>
        <w:rPr>
          <w:sz w:val="21"/>
          <w:szCs w:val="20"/>
        </w:rPr>
      </w:pPr>
      <w:r w:rsidRPr="00F16E47">
        <w:rPr>
          <w:b/>
          <w:bCs/>
          <w:i/>
          <w:iCs/>
          <w:sz w:val="21"/>
          <w:szCs w:val="20"/>
        </w:rPr>
        <w:t xml:space="preserve">Figure </w:t>
      </w:r>
      <w:r>
        <w:rPr>
          <w:b/>
          <w:bCs/>
          <w:i/>
          <w:iCs/>
          <w:sz w:val="21"/>
          <w:szCs w:val="20"/>
        </w:rPr>
        <w:t>2</w:t>
      </w:r>
      <w:r w:rsidRPr="005309AC">
        <w:rPr>
          <w:sz w:val="21"/>
          <w:szCs w:val="20"/>
        </w:rPr>
        <w:t>.</w:t>
      </w:r>
      <w:r>
        <w:rPr>
          <w:sz w:val="21"/>
          <w:szCs w:val="20"/>
        </w:rPr>
        <w:t xml:space="preserve"> </w:t>
      </w:r>
      <w:bookmarkStart w:id="14" w:name="_Hlk125558714"/>
      <w:r w:rsidR="00C92846">
        <w:rPr>
          <w:sz w:val="21"/>
          <w:szCs w:val="20"/>
        </w:rPr>
        <w:t xml:space="preserve">Temporal dynamics of exported </w:t>
      </w:r>
      <w:r w:rsidR="00AF6F95">
        <w:rPr>
          <w:sz w:val="21"/>
          <w:szCs w:val="20"/>
        </w:rPr>
        <w:t xml:space="preserve">material </w:t>
      </w:r>
      <w:r w:rsidR="00C92846">
        <w:rPr>
          <w:sz w:val="21"/>
          <w:szCs w:val="20"/>
        </w:rPr>
        <w:t>(mg</w:t>
      </w:r>
      <w:r w:rsidR="005C4194">
        <w:rPr>
          <w:sz w:val="21"/>
          <w:szCs w:val="20"/>
        </w:rPr>
        <w:t xml:space="preserve"> d</w:t>
      </w:r>
      <w:r w:rsidR="005C4194" w:rsidRPr="005C4194">
        <w:rPr>
          <w:sz w:val="21"/>
          <w:szCs w:val="20"/>
          <w:vertAlign w:val="superscript"/>
        </w:rPr>
        <w:t>-1</w:t>
      </w:r>
      <w:r w:rsidR="00C92846">
        <w:rPr>
          <w:sz w:val="21"/>
          <w:szCs w:val="20"/>
        </w:rPr>
        <w:t xml:space="preserve">) </w:t>
      </w:r>
      <w:r w:rsidR="008F3143">
        <w:rPr>
          <w:sz w:val="21"/>
          <w:szCs w:val="20"/>
        </w:rPr>
        <w:t xml:space="preserve">in </w:t>
      </w:r>
      <w:r w:rsidR="00AF6F95">
        <w:rPr>
          <w:sz w:val="21"/>
          <w:szCs w:val="20"/>
        </w:rPr>
        <w:t xml:space="preserve">drifting </w:t>
      </w:r>
      <w:r w:rsidR="00AF6F95" w:rsidRPr="00AF6F95">
        <w:rPr>
          <w:b/>
          <w:bCs/>
          <w:sz w:val="21"/>
          <w:szCs w:val="20"/>
        </w:rPr>
        <w:t>(a-d)</w:t>
      </w:r>
      <w:r w:rsidR="00AF6F95">
        <w:rPr>
          <w:sz w:val="21"/>
          <w:szCs w:val="20"/>
        </w:rPr>
        <w:t xml:space="preserve"> and fixed </w:t>
      </w:r>
      <w:r w:rsidR="00AF6F95" w:rsidRPr="00AF6F95">
        <w:rPr>
          <w:b/>
          <w:bCs/>
          <w:sz w:val="21"/>
          <w:szCs w:val="20"/>
        </w:rPr>
        <w:t>(e-h)</w:t>
      </w:r>
      <w:r w:rsidR="00AF6F95">
        <w:rPr>
          <w:sz w:val="21"/>
          <w:szCs w:val="20"/>
        </w:rPr>
        <w:t xml:space="preserve"> </w:t>
      </w:r>
      <w:r w:rsidR="008F3143">
        <w:rPr>
          <w:sz w:val="21"/>
          <w:szCs w:val="20"/>
        </w:rPr>
        <w:t>sediment traps</w:t>
      </w:r>
      <w:r w:rsidR="00AF6F95">
        <w:rPr>
          <w:sz w:val="21"/>
          <w:szCs w:val="20"/>
        </w:rPr>
        <w:t>:</w:t>
      </w:r>
      <w:r w:rsidR="008F3143">
        <w:rPr>
          <w:sz w:val="21"/>
          <w:szCs w:val="20"/>
        </w:rPr>
        <w:t xml:space="preserve"> </w:t>
      </w:r>
      <w:r w:rsidR="00C92846">
        <w:rPr>
          <w:sz w:val="21"/>
          <w:szCs w:val="20"/>
        </w:rPr>
        <w:t xml:space="preserve">organic matter (orange line), </w:t>
      </w:r>
      <w:r w:rsidR="00B8486A">
        <w:rPr>
          <w:sz w:val="21"/>
          <w:szCs w:val="20"/>
        </w:rPr>
        <w:t xml:space="preserve">calcium </w:t>
      </w:r>
      <w:r w:rsidR="00C92846">
        <w:rPr>
          <w:sz w:val="21"/>
          <w:szCs w:val="20"/>
        </w:rPr>
        <w:t>carbonate (green line)</w:t>
      </w:r>
      <w:r w:rsidR="008F3143">
        <w:rPr>
          <w:sz w:val="21"/>
          <w:szCs w:val="20"/>
        </w:rPr>
        <w:t>, opal (blue line) and lithogenic fraction (yellow line)</w:t>
      </w:r>
      <w:r w:rsidR="00911EC4">
        <w:rPr>
          <w:sz w:val="21"/>
          <w:szCs w:val="20"/>
        </w:rPr>
        <w:t>. Shown on the different panels are:</w:t>
      </w:r>
      <w:r w:rsidR="008F3143" w:rsidRPr="008F3143">
        <w:rPr>
          <w:b/>
          <w:bCs/>
          <w:sz w:val="21"/>
          <w:szCs w:val="20"/>
        </w:rPr>
        <w:t xml:space="preserve"> </w:t>
      </w:r>
      <w:r w:rsidR="00A24788">
        <w:rPr>
          <w:sz w:val="21"/>
          <w:szCs w:val="20"/>
        </w:rPr>
        <w:t>s</w:t>
      </w:r>
      <w:r w:rsidR="008F3143">
        <w:rPr>
          <w:sz w:val="21"/>
          <w:szCs w:val="20"/>
        </w:rPr>
        <w:t xml:space="preserve">tation 5 at </w:t>
      </w:r>
      <w:r w:rsidR="003E2975">
        <w:rPr>
          <w:sz w:val="21"/>
          <w:szCs w:val="20"/>
        </w:rPr>
        <w:t xml:space="preserve">200 and </w:t>
      </w:r>
      <w:r w:rsidR="008F3143">
        <w:rPr>
          <w:sz w:val="21"/>
          <w:szCs w:val="20"/>
        </w:rPr>
        <w:t>1000 m</w:t>
      </w:r>
      <w:r w:rsidR="00340BD2">
        <w:rPr>
          <w:sz w:val="21"/>
          <w:szCs w:val="20"/>
        </w:rPr>
        <w:t xml:space="preserve"> </w:t>
      </w:r>
      <w:r w:rsidR="00340BD2" w:rsidRPr="008F3143">
        <w:rPr>
          <w:b/>
          <w:bCs/>
          <w:sz w:val="21"/>
          <w:szCs w:val="20"/>
        </w:rPr>
        <w:t>(a</w:t>
      </w:r>
      <w:r w:rsidR="003E2975">
        <w:rPr>
          <w:b/>
          <w:bCs/>
          <w:sz w:val="21"/>
          <w:szCs w:val="20"/>
        </w:rPr>
        <w:t>, c</w:t>
      </w:r>
      <w:r w:rsidR="00340BD2" w:rsidRPr="008F3143">
        <w:rPr>
          <w:b/>
          <w:bCs/>
          <w:sz w:val="21"/>
          <w:szCs w:val="20"/>
        </w:rPr>
        <w:t>)</w:t>
      </w:r>
      <w:r w:rsidR="00CB09DA">
        <w:rPr>
          <w:sz w:val="21"/>
          <w:szCs w:val="20"/>
        </w:rPr>
        <w:t>,</w:t>
      </w:r>
      <w:r w:rsidR="008F3143">
        <w:rPr>
          <w:sz w:val="21"/>
          <w:szCs w:val="20"/>
        </w:rPr>
        <w:t xml:space="preserve"> </w:t>
      </w:r>
      <w:r w:rsidR="00A24788">
        <w:rPr>
          <w:sz w:val="21"/>
          <w:szCs w:val="20"/>
        </w:rPr>
        <w:t>s</w:t>
      </w:r>
      <w:r w:rsidR="008F3143">
        <w:rPr>
          <w:sz w:val="21"/>
          <w:szCs w:val="20"/>
        </w:rPr>
        <w:t>tation 10 at 200</w:t>
      </w:r>
      <w:r w:rsidR="008F3143" w:rsidRPr="008F3143">
        <w:rPr>
          <w:b/>
          <w:bCs/>
          <w:sz w:val="21"/>
          <w:szCs w:val="20"/>
        </w:rPr>
        <w:t xml:space="preserve"> </w:t>
      </w:r>
      <w:r w:rsidR="008F3143">
        <w:rPr>
          <w:sz w:val="21"/>
          <w:szCs w:val="20"/>
        </w:rPr>
        <w:t xml:space="preserve">and 1000 m </w:t>
      </w:r>
      <w:r w:rsidR="008F3143" w:rsidRPr="008F3143">
        <w:rPr>
          <w:b/>
          <w:bCs/>
          <w:sz w:val="21"/>
          <w:szCs w:val="20"/>
        </w:rPr>
        <w:t>(</w:t>
      </w:r>
      <w:r w:rsidR="003E2975">
        <w:rPr>
          <w:b/>
          <w:bCs/>
          <w:sz w:val="21"/>
          <w:szCs w:val="20"/>
        </w:rPr>
        <w:t>b, d</w:t>
      </w:r>
      <w:r w:rsidR="008F3143" w:rsidRPr="008F3143">
        <w:rPr>
          <w:b/>
          <w:bCs/>
          <w:sz w:val="21"/>
          <w:szCs w:val="20"/>
        </w:rPr>
        <w:t xml:space="preserve">) </w:t>
      </w:r>
      <w:r w:rsidR="008F3143">
        <w:rPr>
          <w:sz w:val="21"/>
          <w:szCs w:val="20"/>
        </w:rPr>
        <w:t xml:space="preserve">and </w:t>
      </w:r>
      <w:r w:rsidR="00A24788">
        <w:rPr>
          <w:sz w:val="21"/>
          <w:szCs w:val="20"/>
        </w:rPr>
        <w:t>s</w:t>
      </w:r>
      <w:r w:rsidR="008F3143">
        <w:rPr>
          <w:sz w:val="21"/>
          <w:szCs w:val="20"/>
        </w:rPr>
        <w:t>tation 12 at 200</w:t>
      </w:r>
      <w:r w:rsidR="008F3143" w:rsidRPr="008F3143">
        <w:rPr>
          <w:b/>
          <w:bCs/>
          <w:sz w:val="21"/>
          <w:szCs w:val="20"/>
        </w:rPr>
        <w:t xml:space="preserve"> </w:t>
      </w:r>
      <w:r w:rsidR="008F3143">
        <w:rPr>
          <w:sz w:val="21"/>
          <w:szCs w:val="20"/>
        </w:rPr>
        <w:t xml:space="preserve">and 1000 m </w:t>
      </w:r>
      <w:r w:rsidR="008F3143" w:rsidRPr="008F3143">
        <w:rPr>
          <w:b/>
          <w:bCs/>
          <w:sz w:val="21"/>
          <w:szCs w:val="20"/>
        </w:rPr>
        <w:t>(e</w:t>
      </w:r>
      <w:r w:rsidR="003E2975">
        <w:rPr>
          <w:b/>
          <w:bCs/>
          <w:sz w:val="21"/>
          <w:szCs w:val="20"/>
        </w:rPr>
        <w:t>, g</w:t>
      </w:r>
      <w:r w:rsidR="008F3143" w:rsidRPr="008F3143">
        <w:rPr>
          <w:b/>
          <w:bCs/>
          <w:sz w:val="21"/>
          <w:szCs w:val="20"/>
        </w:rPr>
        <w:t>)</w:t>
      </w:r>
      <w:r w:rsidR="008F3143">
        <w:rPr>
          <w:sz w:val="21"/>
          <w:szCs w:val="20"/>
        </w:rPr>
        <w:t xml:space="preserve">. </w:t>
      </w:r>
      <w:r w:rsidR="008F3143" w:rsidRPr="003E2975">
        <w:rPr>
          <w:i/>
          <w:iCs/>
          <w:sz w:val="21"/>
          <w:szCs w:val="20"/>
        </w:rPr>
        <w:t xml:space="preserve">Note that </w:t>
      </w:r>
      <w:r w:rsidR="00911EC4" w:rsidRPr="003E2975">
        <w:rPr>
          <w:i/>
          <w:iCs/>
          <w:sz w:val="21"/>
          <w:szCs w:val="20"/>
        </w:rPr>
        <w:t xml:space="preserve">the </w:t>
      </w:r>
      <w:r w:rsidR="005C4194" w:rsidRPr="003E2975">
        <w:rPr>
          <w:i/>
          <w:iCs/>
          <w:sz w:val="21"/>
          <w:szCs w:val="20"/>
        </w:rPr>
        <w:t xml:space="preserve">lithogenic </w:t>
      </w:r>
      <w:r w:rsidR="008F3143" w:rsidRPr="003E2975">
        <w:rPr>
          <w:i/>
          <w:iCs/>
          <w:sz w:val="21"/>
          <w:szCs w:val="20"/>
        </w:rPr>
        <w:t xml:space="preserve">fraction </w:t>
      </w:r>
      <w:r w:rsidR="005C4194" w:rsidRPr="003E2975">
        <w:rPr>
          <w:i/>
          <w:iCs/>
          <w:sz w:val="21"/>
          <w:szCs w:val="20"/>
        </w:rPr>
        <w:t>is</w:t>
      </w:r>
      <w:r w:rsidR="008F3143" w:rsidRPr="003E2975">
        <w:rPr>
          <w:i/>
          <w:iCs/>
          <w:sz w:val="21"/>
          <w:szCs w:val="20"/>
        </w:rPr>
        <w:t xml:space="preserve"> represented on </w:t>
      </w:r>
      <w:r w:rsidR="005C4194" w:rsidRPr="003E2975">
        <w:rPr>
          <w:i/>
          <w:iCs/>
          <w:sz w:val="21"/>
          <w:szCs w:val="20"/>
        </w:rPr>
        <w:t>a different</w:t>
      </w:r>
      <w:r w:rsidR="008F3143" w:rsidRPr="003E2975">
        <w:rPr>
          <w:i/>
          <w:iCs/>
          <w:sz w:val="21"/>
          <w:szCs w:val="20"/>
        </w:rPr>
        <w:t xml:space="preserve"> y-label</w:t>
      </w:r>
      <w:r w:rsidR="00011E05" w:rsidRPr="003E2975">
        <w:rPr>
          <w:i/>
          <w:iCs/>
          <w:sz w:val="21"/>
          <w:szCs w:val="20"/>
        </w:rPr>
        <w:t xml:space="preserve"> for </w:t>
      </w:r>
      <w:r w:rsidR="00A24788">
        <w:rPr>
          <w:i/>
          <w:iCs/>
          <w:sz w:val="21"/>
          <w:szCs w:val="20"/>
        </w:rPr>
        <w:t>s</w:t>
      </w:r>
      <w:r w:rsidR="00011E05" w:rsidRPr="003E2975">
        <w:rPr>
          <w:i/>
          <w:iCs/>
          <w:sz w:val="21"/>
          <w:szCs w:val="20"/>
        </w:rPr>
        <w:t>tation 10 – 1000 m</w:t>
      </w:r>
      <w:r w:rsidR="00011E05">
        <w:rPr>
          <w:sz w:val="21"/>
          <w:szCs w:val="20"/>
        </w:rPr>
        <w:t xml:space="preserve"> </w:t>
      </w:r>
      <w:r w:rsidR="00011E05" w:rsidRPr="003E2975">
        <w:rPr>
          <w:b/>
          <w:bCs/>
          <w:i/>
          <w:iCs/>
          <w:sz w:val="21"/>
          <w:szCs w:val="20"/>
        </w:rPr>
        <w:t>(c)</w:t>
      </w:r>
      <w:r w:rsidR="005C4194">
        <w:rPr>
          <w:sz w:val="21"/>
          <w:szCs w:val="20"/>
        </w:rPr>
        <w:t>.</w:t>
      </w:r>
      <w:r w:rsidR="008F3143">
        <w:rPr>
          <w:sz w:val="21"/>
          <w:szCs w:val="20"/>
        </w:rPr>
        <w:t xml:space="preserve"> </w:t>
      </w:r>
      <w:r w:rsidR="00E6277B">
        <w:rPr>
          <w:sz w:val="21"/>
          <w:szCs w:val="20"/>
        </w:rPr>
        <w:t>Panels</w:t>
      </w:r>
      <w:r w:rsidR="0078327B">
        <w:rPr>
          <w:sz w:val="21"/>
          <w:szCs w:val="20"/>
        </w:rPr>
        <w:t xml:space="preserve"> </w:t>
      </w:r>
      <w:r w:rsidR="0078327B" w:rsidRPr="0078327B">
        <w:rPr>
          <w:b/>
          <w:bCs/>
          <w:sz w:val="21"/>
          <w:szCs w:val="20"/>
        </w:rPr>
        <w:t>(f)</w:t>
      </w:r>
      <w:r w:rsidR="005C4194">
        <w:rPr>
          <w:b/>
          <w:bCs/>
          <w:sz w:val="21"/>
          <w:szCs w:val="20"/>
        </w:rPr>
        <w:t xml:space="preserve"> </w:t>
      </w:r>
      <w:r w:rsidR="005C4194" w:rsidRPr="005C4194">
        <w:rPr>
          <w:sz w:val="21"/>
          <w:szCs w:val="20"/>
        </w:rPr>
        <w:t>and</w:t>
      </w:r>
      <w:r w:rsidR="005C4194">
        <w:rPr>
          <w:b/>
          <w:bCs/>
          <w:sz w:val="21"/>
          <w:szCs w:val="20"/>
        </w:rPr>
        <w:t xml:space="preserve"> (</w:t>
      </w:r>
      <w:r w:rsidR="00F03749">
        <w:rPr>
          <w:b/>
          <w:bCs/>
          <w:sz w:val="21"/>
          <w:szCs w:val="20"/>
        </w:rPr>
        <w:t>h</w:t>
      </w:r>
      <w:r w:rsidR="005C4194">
        <w:rPr>
          <w:b/>
          <w:bCs/>
          <w:sz w:val="21"/>
          <w:szCs w:val="20"/>
        </w:rPr>
        <w:t>)</w:t>
      </w:r>
      <w:r w:rsidR="00E6277B">
        <w:rPr>
          <w:sz w:val="21"/>
          <w:szCs w:val="20"/>
        </w:rPr>
        <w:t>:</w:t>
      </w:r>
      <w:r w:rsidR="008F3143">
        <w:rPr>
          <w:sz w:val="21"/>
          <w:szCs w:val="20"/>
        </w:rPr>
        <w:t xml:space="preserve"> organic</w:t>
      </w:r>
      <w:r w:rsidR="00E6277B">
        <w:rPr>
          <w:sz w:val="21"/>
          <w:szCs w:val="20"/>
        </w:rPr>
        <w:t xml:space="preserve"> </w:t>
      </w:r>
      <w:r w:rsidR="008F3143">
        <w:rPr>
          <w:sz w:val="21"/>
          <w:szCs w:val="20"/>
        </w:rPr>
        <w:t>and lithogenic material</w:t>
      </w:r>
      <w:r w:rsidR="0078327B">
        <w:rPr>
          <w:sz w:val="21"/>
          <w:szCs w:val="20"/>
        </w:rPr>
        <w:t xml:space="preserve"> </w:t>
      </w:r>
      <w:r w:rsidR="008F3143">
        <w:rPr>
          <w:sz w:val="21"/>
          <w:szCs w:val="20"/>
        </w:rPr>
        <w:t xml:space="preserve">(left y-label) </w:t>
      </w:r>
      <w:r w:rsidR="00E6277B">
        <w:rPr>
          <w:sz w:val="21"/>
          <w:szCs w:val="20"/>
        </w:rPr>
        <w:t>versus</w:t>
      </w:r>
      <w:r w:rsidR="008F3143">
        <w:rPr>
          <w:sz w:val="21"/>
          <w:szCs w:val="20"/>
        </w:rPr>
        <w:t xml:space="preserve"> temperature at 15 m (right y-label</w:t>
      </w:r>
      <w:r w:rsidR="007953DA">
        <w:rPr>
          <w:sz w:val="21"/>
          <w:szCs w:val="20"/>
        </w:rPr>
        <w:t xml:space="preserve">; </w:t>
      </w:r>
      <w:r w:rsidR="00290C1F">
        <w:rPr>
          <w:sz w:val="21"/>
          <w:szCs w:val="20"/>
        </w:rPr>
        <w:t>grey dotted line</w:t>
      </w:r>
      <w:r w:rsidR="008F3143">
        <w:rPr>
          <w:sz w:val="21"/>
          <w:szCs w:val="20"/>
        </w:rPr>
        <w:t xml:space="preserve">) </w:t>
      </w:r>
      <w:r w:rsidR="007A453A">
        <w:rPr>
          <w:sz w:val="21"/>
          <w:szCs w:val="20"/>
        </w:rPr>
        <w:t>for both</w:t>
      </w:r>
      <w:r w:rsidR="00FA542C">
        <w:rPr>
          <w:sz w:val="21"/>
          <w:szCs w:val="20"/>
        </w:rPr>
        <w:t xml:space="preserve"> traps</w:t>
      </w:r>
      <w:r w:rsidR="00E6277B">
        <w:rPr>
          <w:sz w:val="21"/>
          <w:szCs w:val="20"/>
        </w:rPr>
        <w:t xml:space="preserve"> </w:t>
      </w:r>
      <w:r w:rsidR="007A453A">
        <w:rPr>
          <w:sz w:val="21"/>
          <w:szCs w:val="20"/>
        </w:rPr>
        <w:t>at</w:t>
      </w:r>
      <w:r w:rsidR="00E6277B">
        <w:rPr>
          <w:sz w:val="21"/>
          <w:szCs w:val="20"/>
        </w:rPr>
        <w:t xml:space="preserve"> </w:t>
      </w:r>
      <w:r w:rsidR="00A24788">
        <w:rPr>
          <w:sz w:val="21"/>
          <w:szCs w:val="20"/>
        </w:rPr>
        <w:t>s</w:t>
      </w:r>
      <w:r w:rsidR="00E6277B">
        <w:rPr>
          <w:sz w:val="21"/>
          <w:szCs w:val="20"/>
        </w:rPr>
        <w:t>tation 12</w:t>
      </w:r>
      <w:r w:rsidR="008F3143">
        <w:rPr>
          <w:sz w:val="21"/>
          <w:szCs w:val="20"/>
        </w:rPr>
        <w:t xml:space="preserve">. The black line delineates a temperature of 25 °C. </w:t>
      </w:r>
      <w:r w:rsidR="007A453A">
        <w:rPr>
          <w:color w:val="000000"/>
          <w:sz w:val="21"/>
          <w:szCs w:val="21"/>
        </w:rPr>
        <w:t xml:space="preserve">Temperature data were extracted </w:t>
      </w:r>
      <w:r w:rsidR="007A453A">
        <w:rPr>
          <w:color w:val="000000"/>
          <w:sz w:val="21"/>
          <w:szCs w:val="21"/>
        </w:rPr>
        <w:lastRenderedPageBreak/>
        <w:t xml:space="preserve">from the World Ocean Atlas </w:t>
      </w:r>
      <w:r w:rsidR="008F3143">
        <w:rPr>
          <w:sz w:val="21"/>
          <w:szCs w:val="20"/>
        </w:rPr>
        <w:t xml:space="preserve">database </w:t>
      </w:r>
      <w:r w:rsidR="008F3143">
        <w:rPr>
          <w:sz w:val="21"/>
          <w:szCs w:val="20"/>
        </w:rPr>
        <w:fldChar w:fldCharType="begin"/>
      </w:r>
      <w:r w:rsidR="008F3143">
        <w:rPr>
          <w:sz w:val="21"/>
          <w:szCs w:val="20"/>
        </w:rPr>
        <w:instrText xml:space="preserve"> ADDIN ZOTERO_ITEM CSL_CITATION {"citationID":"BmKWms8w","properties":{"formattedCitation":"(Locarnini et al., 2018)","plainCitation":"(Locarnini et al., 2018)","noteIndex":0},"citationItems":[{"id":1342,"uris":["http://zotero.org/users/local/01lnVYoF/items/YGIR46ZV"],"itemData":{"id":1342,"type":"article-journal","container-title":"NOAA Atlas NESDIS 81","language":"en","page":"52","source":"Zotero","title":"World Ocean Atlas 2018, Volume 1: Temperature","editor":[{"family":"Mishonov","given":"Alexey"}],"author":[{"family":"Locarnini","given":"Ricardo"},{"family":"Mishonov","given":"Alexey"},{"family":"Baranova","given":"Olga"},{"family":"Boyer","given":"Tim"},{"family":"Zweng","given":"Melissa"},{"family":"Garcia","given":"Hernan"},{"family":"Reagan","given":"James"},{"family":"Seidov","given":"Dan"},{"family":"Weathers","given":"Katharine"},{"family":"Paver","given":"C"}],"issued":{"date-parts":[["2018"]]}}}],"schema":"https://github.com/citation-style-language/schema/raw/master/csl-citation.json"} </w:instrText>
      </w:r>
      <w:r w:rsidR="008F3143">
        <w:rPr>
          <w:sz w:val="21"/>
          <w:szCs w:val="20"/>
        </w:rPr>
        <w:fldChar w:fldCharType="separate"/>
      </w:r>
      <w:r w:rsidR="008F3143" w:rsidRPr="008F3143">
        <w:rPr>
          <w:rFonts w:cs="Times New Roman"/>
          <w:sz w:val="21"/>
        </w:rPr>
        <w:t>(Locarnini et al., 2018)</w:t>
      </w:r>
      <w:r w:rsidR="008F3143">
        <w:rPr>
          <w:sz w:val="21"/>
          <w:szCs w:val="20"/>
        </w:rPr>
        <w:fldChar w:fldCharType="end"/>
      </w:r>
      <w:r w:rsidR="00E6277B">
        <w:rPr>
          <w:sz w:val="21"/>
          <w:szCs w:val="20"/>
        </w:rPr>
        <w:t>: average (</w:t>
      </w:r>
      <w:r w:rsidR="0078327B">
        <w:rPr>
          <w:sz w:val="21"/>
          <w:szCs w:val="20"/>
        </w:rPr>
        <w:t>2005-2017</w:t>
      </w:r>
      <w:r w:rsidR="00E6277B">
        <w:rPr>
          <w:sz w:val="21"/>
          <w:szCs w:val="20"/>
        </w:rPr>
        <w:t xml:space="preserve">) </w:t>
      </w:r>
      <w:r w:rsidR="0078327B">
        <w:rPr>
          <w:sz w:val="21"/>
          <w:szCs w:val="20"/>
        </w:rPr>
        <w:t>at 15 m</w:t>
      </w:r>
      <w:r w:rsidR="00E105A2">
        <w:rPr>
          <w:sz w:val="21"/>
          <w:szCs w:val="20"/>
        </w:rPr>
        <w:t>,</w:t>
      </w:r>
      <w:r w:rsidR="008F3143">
        <w:rPr>
          <w:sz w:val="21"/>
          <w:szCs w:val="20"/>
        </w:rPr>
        <w:t xml:space="preserve"> near </w:t>
      </w:r>
      <w:r w:rsidR="00F14612">
        <w:rPr>
          <w:sz w:val="21"/>
          <w:szCs w:val="20"/>
        </w:rPr>
        <w:t>st</w:t>
      </w:r>
      <w:r w:rsidR="008F3143">
        <w:rPr>
          <w:sz w:val="21"/>
          <w:szCs w:val="20"/>
        </w:rPr>
        <w:t>ation 12</w:t>
      </w:r>
      <w:r w:rsidR="00E6277B">
        <w:rPr>
          <w:sz w:val="21"/>
          <w:szCs w:val="20"/>
        </w:rPr>
        <w:t>.</w:t>
      </w:r>
      <w:r w:rsidR="007953DA">
        <w:rPr>
          <w:sz w:val="21"/>
          <w:szCs w:val="20"/>
        </w:rPr>
        <w:t xml:space="preserve"> Cumulative histograms of these fractions are shown in </w:t>
      </w:r>
      <w:r w:rsidR="007953DA" w:rsidRPr="002B5F71">
        <w:rPr>
          <w:i/>
          <w:iCs/>
          <w:sz w:val="21"/>
          <w:szCs w:val="20"/>
        </w:rPr>
        <w:t>Fig. S</w:t>
      </w:r>
      <w:r w:rsidR="00E25569" w:rsidRPr="002B5F71">
        <w:rPr>
          <w:i/>
          <w:iCs/>
          <w:sz w:val="21"/>
          <w:szCs w:val="20"/>
        </w:rPr>
        <w:t>2</w:t>
      </w:r>
      <w:r w:rsidR="007953DA">
        <w:rPr>
          <w:sz w:val="21"/>
          <w:szCs w:val="20"/>
        </w:rPr>
        <w:t>.</w:t>
      </w:r>
      <w:bookmarkEnd w:id="14"/>
    </w:p>
    <w:p w14:paraId="2E4E1E4C" w14:textId="5A893544" w:rsidR="00F03749" w:rsidRPr="00F03749" w:rsidRDefault="00F03749" w:rsidP="00F03749">
      <w:pPr>
        <w:spacing w:line="480" w:lineRule="auto"/>
        <w:jc w:val="both"/>
        <w:rPr>
          <w:rFonts w:cs="Times New Roman"/>
        </w:rPr>
      </w:pPr>
      <w:bookmarkStart w:id="15" w:name="_Hlk125559149"/>
      <w:r w:rsidRPr="002A71A2">
        <w:rPr>
          <w:rFonts w:cs="Times New Roman"/>
          <w:i/>
          <w:iCs/>
        </w:rPr>
        <w:t>Seafloor sediments</w:t>
      </w:r>
      <w:r>
        <w:rPr>
          <w:rFonts w:cs="Times New Roman"/>
        </w:rPr>
        <w:t xml:space="preserve">. The lithogenic fraction was the most abundant fraction in the </w:t>
      </w:r>
      <w:r w:rsidRPr="000B51F5">
        <w:rPr>
          <w:rFonts w:cs="Times New Roman"/>
        </w:rPr>
        <w:t xml:space="preserve">seafloor sediments at stations 5, 8 and 10 (88-90 wt.%, </w:t>
      </w:r>
      <w:r w:rsidRPr="000B51F5">
        <w:rPr>
          <w:rFonts w:cs="Times New Roman"/>
          <w:i/>
          <w:iCs/>
        </w:rPr>
        <w:t>Table 1</w:t>
      </w:r>
      <w:r w:rsidRPr="000B51F5">
        <w:rPr>
          <w:rFonts w:cs="Times New Roman"/>
        </w:rPr>
        <w:t xml:space="preserve">). </w:t>
      </w:r>
      <w:r>
        <w:rPr>
          <w:rFonts w:cs="Times New Roman"/>
        </w:rPr>
        <w:t>In contras</w:t>
      </w:r>
      <w:r w:rsidRPr="000B51F5">
        <w:rPr>
          <w:rFonts w:cs="Times New Roman"/>
        </w:rPr>
        <w:t>t</w:t>
      </w:r>
      <w:r>
        <w:rPr>
          <w:rFonts w:cs="Times New Roman"/>
        </w:rPr>
        <w:t>, at</w:t>
      </w:r>
      <w:r w:rsidRPr="000B51F5">
        <w:rPr>
          <w:rFonts w:cs="Times New Roman"/>
        </w:rPr>
        <w:t xml:space="preserve"> station 12, the lithogenic fraction was only 23 ± 3</w:t>
      </w:r>
      <w:r>
        <w:rPr>
          <w:rFonts w:cs="Times New Roman"/>
        </w:rPr>
        <w:t xml:space="preserve"> wt.% (</w:t>
      </w:r>
      <w:r w:rsidRPr="00B553C4">
        <w:rPr>
          <w:rFonts w:cs="Times New Roman"/>
          <w:i/>
          <w:iCs/>
        </w:rPr>
        <w:t>p</w:t>
      </w:r>
      <w:r>
        <w:rPr>
          <w:rFonts w:cs="Times New Roman"/>
        </w:rPr>
        <w:t xml:space="preserve"> &lt; 0.001), due to the dilution effect by the high </w:t>
      </w:r>
      <w:r>
        <w:t>CaCO</w:t>
      </w:r>
      <w:r w:rsidRPr="00791E7C">
        <w:rPr>
          <w:vertAlign w:val="subscript"/>
        </w:rPr>
        <w:t>3</w:t>
      </w:r>
      <w:r>
        <w:rPr>
          <w:vertAlign w:val="subscript"/>
        </w:rPr>
        <w:t xml:space="preserve"> </w:t>
      </w:r>
      <w:r>
        <w:t>fraction.</w:t>
      </w:r>
    </w:p>
    <w:bookmarkEnd w:id="15"/>
    <w:p w14:paraId="4EE235B1" w14:textId="02DDB6B0" w:rsidR="001E2FCF" w:rsidRDefault="001E2FCF" w:rsidP="00D5722F">
      <w:pPr>
        <w:pStyle w:val="Titre2"/>
      </w:pPr>
      <w:r>
        <w:t xml:space="preserve">Trace metal content and enrichment factors </w:t>
      </w:r>
    </w:p>
    <w:p w14:paraId="0EB61FB2" w14:textId="1A20EBDC" w:rsidR="001E2FCF" w:rsidRDefault="00ED6E35" w:rsidP="00D23535">
      <w:pPr>
        <w:spacing w:line="480" w:lineRule="auto"/>
        <w:jc w:val="both"/>
      </w:pPr>
      <w:bookmarkStart w:id="16" w:name="_Hlk125559211"/>
      <w:r>
        <w:t xml:space="preserve">Particulate metals measured in </w:t>
      </w:r>
      <w:r w:rsidR="00034FC2">
        <w:t>sinking</w:t>
      </w:r>
      <w:r w:rsidR="002660E9">
        <w:t xml:space="preserve"> particles</w:t>
      </w:r>
      <w:r w:rsidR="00034FC2">
        <w:t xml:space="preserve"> and </w:t>
      </w:r>
      <w:r w:rsidR="003718D5">
        <w:t xml:space="preserve">in </w:t>
      </w:r>
      <w:r w:rsidR="00034FC2">
        <w:t>seafloor sediments</w:t>
      </w:r>
      <w:r>
        <w:t xml:space="preserve"> are presented in </w:t>
      </w:r>
      <w:r w:rsidRPr="00ED6E35">
        <w:rPr>
          <w:i/>
          <w:iCs/>
        </w:rPr>
        <w:t>Fig</w:t>
      </w:r>
      <w:r w:rsidR="00980270">
        <w:rPr>
          <w:i/>
          <w:iCs/>
        </w:rPr>
        <w:t>s.</w:t>
      </w:r>
      <w:r w:rsidRPr="00ED6E35">
        <w:rPr>
          <w:i/>
          <w:iCs/>
        </w:rPr>
        <w:t xml:space="preserve"> S</w:t>
      </w:r>
      <w:r w:rsidR="00E25569">
        <w:rPr>
          <w:i/>
          <w:iCs/>
        </w:rPr>
        <w:t>3</w:t>
      </w:r>
      <w:r>
        <w:t xml:space="preserve"> and </w:t>
      </w:r>
      <w:r w:rsidRPr="00ED6E35">
        <w:rPr>
          <w:i/>
          <w:iCs/>
        </w:rPr>
        <w:t>S</w:t>
      </w:r>
      <w:r w:rsidR="00E25569">
        <w:rPr>
          <w:i/>
          <w:iCs/>
        </w:rPr>
        <w:t>4</w:t>
      </w:r>
      <w:r>
        <w:t xml:space="preserve">. </w:t>
      </w:r>
    </w:p>
    <w:p w14:paraId="3E1B8ABF" w14:textId="7BC9CA99" w:rsidR="006D0F7F" w:rsidRDefault="006D0F7F" w:rsidP="006D0F7F">
      <w:pPr>
        <w:spacing w:line="480" w:lineRule="auto"/>
        <w:jc w:val="both"/>
      </w:pPr>
      <w:r>
        <w:rPr>
          <w:color w:val="000000"/>
        </w:rPr>
        <w:t xml:space="preserve">The bulk </w:t>
      </w:r>
      <w:r w:rsidR="00AA19A4">
        <w:rPr>
          <w:color w:val="000000"/>
        </w:rPr>
        <w:t>metal</w:t>
      </w:r>
      <w:r>
        <w:rPr>
          <w:color w:val="000000"/>
        </w:rPr>
        <w:t xml:space="preserve"> composition was corrected for biogenic calcium carbonate content, following the approach described by</w:t>
      </w:r>
      <w:r>
        <w:t xml:space="preserve"> </w:t>
      </w:r>
      <w:r>
        <w:fldChar w:fldCharType="begin"/>
      </w:r>
      <w:r>
        <w:instrText xml:space="preserve"> ADDIN ZOTERO_ITEM CSL_CITATION {"citationID":"O67yZLpr","properties":{"formattedCitation":"(German et al., 1997)","plainCitation":"(German et al., 1997)","dontUpdate":true,"noteIndex":0},"citationItems":[{"id":946,"uris":["http://zotero.org/users/local/01lnVYoF/items/3Z8AXS2B"],"itemData":{"id":946,"type":"article-journal","container-title":"Geochimica et Cosmochimica Acta","DOI":"10.1016/S0016-7037(97)00230-5","ISSN":"00167037","issue":"19","journalAbbreviation":"Geochimica et Cosmochimica Acta","language":"en","page":"4067-4078","source":"DOI.org (Crossref)","title":"Hydrothermal scavenging on the Juan de Fuca Ridge: 23OThxs, 10Be, and REEs in ridge-flank sediments","title-short":"Hydrothermal scavenging on the Juan de Fuca Ridge","volume":"61","author":[{"family":"German","given":"C.R."},{"family":"Bourlés","given":"D.L."},{"family":"Brown","given":"E.T."},{"family":"Hergt","given":"J."},{"family":"Colley","given":"S."},{"family":"Higgs","given":"N.C."},{"family":"Ludford","given":"E.M."},{"family":"Nelsen","given":"T.A."},{"family":"Feely","given":"R.A."},{"family":"Raisbeck","given":"G."},{"family":"Yiou","given":"F."}],"issued":{"date-parts":[["1997",10]]}}}],"schema":"https://github.com/citation-style-language/schema/raw/master/csl-citation.json"} </w:instrText>
      </w:r>
      <w:r>
        <w:fldChar w:fldCharType="separate"/>
      </w:r>
      <w:r w:rsidRPr="004839A7">
        <w:rPr>
          <w:rFonts w:cs="Times New Roman"/>
        </w:rPr>
        <w:t>German et al.</w:t>
      </w:r>
      <w:r>
        <w:rPr>
          <w:rFonts w:cs="Times New Roman"/>
        </w:rPr>
        <w:t xml:space="preserve"> (</w:t>
      </w:r>
      <w:r w:rsidRPr="004839A7">
        <w:rPr>
          <w:rFonts w:cs="Times New Roman"/>
        </w:rPr>
        <w:t>1997)</w:t>
      </w:r>
      <w:r>
        <w:fldChar w:fldCharType="end"/>
      </w:r>
      <w:r>
        <w:t>. Indeed, as CaCO</w:t>
      </w:r>
      <w:r w:rsidRPr="007A1185">
        <w:rPr>
          <w:vertAlign w:val="subscript"/>
        </w:rPr>
        <w:t>3</w:t>
      </w:r>
      <w:r>
        <w:t xml:space="preserve"> contains very low levels of trace elements, it can dilute the metal contribution of the collected material. </w:t>
      </w:r>
      <w:r>
        <w:rPr>
          <w:color w:val="000000"/>
        </w:rPr>
        <w:t>Prior to any interpretation, the concentration of an element (E) was corrected on a calcium carbonate-free basis (</w:t>
      </w:r>
      <w:r>
        <w:rPr>
          <w:i/>
          <w:iCs/>
          <w:color w:val="000000"/>
        </w:rPr>
        <w:t>cfb</w:t>
      </w:r>
      <w:r>
        <w:rPr>
          <w:color w:val="000000"/>
        </w:rPr>
        <w:t>) following</w:t>
      </w:r>
      <w:r>
        <w:t>:</w:t>
      </w:r>
    </w:p>
    <w:p w14:paraId="41A69681" w14:textId="77777777" w:rsidR="006D0F7F" w:rsidRPr="00255BBE" w:rsidRDefault="00B21FD9" w:rsidP="006D0F7F">
      <w:pPr>
        <w:spacing w:line="480" w:lineRule="auto"/>
        <w:jc w:val="both"/>
        <w:rPr>
          <w:rFonts w:eastAsiaTheme="minorEastAsia"/>
        </w:rPr>
      </w:pPr>
      <m:oMathPara>
        <m:oMath>
          <m:eqArr>
            <m:eqArrPr>
              <m:maxDist m:val="1"/>
              <m:ctrlPr>
                <w:rPr>
                  <w:rFonts w:ascii="Cambria Math" w:hAnsi="Cambria Math"/>
                  <w:i/>
                </w:rPr>
              </m:ctrlPr>
            </m:eqArrPr>
            <m:e>
              <m:sSub>
                <m:sSubPr>
                  <m:ctrlPr>
                    <w:rPr>
                      <w:rFonts w:ascii="Cambria Math" w:hAnsi="Cambria Math"/>
                      <w:i/>
                    </w:rPr>
                  </m:ctrlPr>
                </m:sSubPr>
                <m:e>
                  <m:d>
                    <m:dPr>
                      <m:begChr m:val="["/>
                      <m:endChr m:val="]"/>
                      <m:ctrlPr>
                        <w:rPr>
                          <w:rFonts w:ascii="Cambria Math" w:hAnsi="Cambria Math"/>
                          <w:i/>
                        </w:rPr>
                      </m:ctrlPr>
                    </m:dPr>
                    <m:e>
                      <m:r>
                        <w:rPr>
                          <w:rFonts w:ascii="Cambria Math" w:hAnsi="Cambria Math"/>
                        </w:rPr>
                        <m:t>E</m:t>
                      </m:r>
                    </m:e>
                  </m:d>
                </m:e>
                <m:sub>
                  <m:r>
                    <w:rPr>
                      <w:rFonts w:ascii="Cambria Math" w:hAnsi="Cambria Math"/>
                    </w:rPr>
                    <m:t>cfb</m:t>
                  </m:r>
                </m:sub>
              </m:sSub>
              <m:r>
                <w:rPr>
                  <w:rFonts w:ascii="Cambria Math" w:hAnsi="Cambria Math"/>
                </w:rPr>
                <m:t xml:space="preserve">= </m:t>
              </m:r>
              <m:f>
                <m:fPr>
                  <m:ctrlPr>
                    <w:rPr>
                      <w:rFonts w:ascii="Cambria Math" w:hAnsi="Cambria Math"/>
                      <w:i/>
                    </w:rPr>
                  </m:ctrlPr>
                </m:fPr>
                <m:num>
                  <m:d>
                    <m:dPr>
                      <m:begChr m:val="["/>
                      <m:endChr m:val="]"/>
                      <m:ctrlPr>
                        <w:rPr>
                          <w:rFonts w:ascii="Cambria Math" w:hAnsi="Cambria Math"/>
                          <w:i/>
                        </w:rPr>
                      </m:ctrlPr>
                    </m:dPr>
                    <m:e>
                      <m:r>
                        <w:rPr>
                          <w:rFonts w:ascii="Cambria Math" w:hAnsi="Cambria Math"/>
                        </w:rPr>
                        <m:t>E</m:t>
                      </m:r>
                    </m:e>
                  </m:d>
                </m:num>
                <m:den>
                  <m:d>
                    <m:dPr>
                      <m:ctrlPr>
                        <w:rPr>
                          <w:rFonts w:ascii="Cambria Math" w:hAnsi="Cambria Math"/>
                          <w:i/>
                        </w:rPr>
                      </m:ctrlPr>
                    </m:dPr>
                    <m:e>
                      <m:r>
                        <w:rPr>
                          <w:rFonts w:ascii="Cambria Math" w:hAnsi="Cambria Math"/>
                        </w:rPr>
                        <m:t>100-</m:t>
                      </m:r>
                      <m:sSub>
                        <m:sSubPr>
                          <m:ctrlPr>
                            <w:rPr>
                              <w:rFonts w:ascii="Cambria Math" w:hAnsi="Cambria Math"/>
                              <w:i/>
                            </w:rPr>
                          </m:ctrlPr>
                        </m:sSubPr>
                        <m:e>
                          <m:r>
                            <w:rPr>
                              <w:rFonts w:ascii="Cambria Math" w:hAnsi="Cambria Math"/>
                            </w:rPr>
                            <m:t>%CaCO</m:t>
                          </m:r>
                        </m:e>
                        <m:sub>
                          <m:r>
                            <w:rPr>
                              <w:rFonts w:ascii="Cambria Math" w:hAnsi="Cambria Math"/>
                            </w:rPr>
                            <m:t>3</m:t>
                          </m:r>
                        </m:sub>
                      </m:sSub>
                    </m:e>
                  </m:d>
                </m:den>
              </m:f>
              <m:r>
                <w:rPr>
                  <w:rFonts w:ascii="Cambria Math" w:hAnsi="Cambria Math"/>
                </w:rPr>
                <m:t xml:space="preserve"> #</m:t>
              </m:r>
              <m:d>
                <m:dPr>
                  <m:ctrlPr>
                    <w:rPr>
                      <w:rFonts w:ascii="Cambria Math" w:hAnsi="Cambria Math"/>
                      <w:i/>
                    </w:rPr>
                  </m:ctrlPr>
                </m:dPr>
                <m:e>
                  <m:r>
                    <w:rPr>
                      <w:rFonts w:ascii="Cambria Math" w:hAnsi="Cambria Math"/>
                    </w:rPr>
                    <m:t>2</m:t>
                  </m:r>
                </m:e>
              </m:d>
            </m:e>
          </m:eqArr>
        </m:oMath>
      </m:oMathPara>
    </w:p>
    <w:p w14:paraId="206BEFE6" w14:textId="77777777" w:rsidR="006D0F7F" w:rsidRDefault="006D0F7F" w:rsidP="006D0F7F">
      <w:pPr>
        <w:spacing w:line="480" w:lineRule="auto"/>
        <w:jc w:val="both"/>
      </w:pPr>
      <w:r>
        <w:t xml:space="preserve">The metal content of sinking and sedimented material was compared to the concentrations of reference pelagic clays sampled in the Pacific Ocean (“pc”; </w:t>
      </w:r>
      <w:r w:rsidRPr="00152F21">
        <w:rPr>
          <w:i/>
          <w:iCs/>
        </w:rPr>
        <w:t>Table 2</w:t>
      </w:r>
      <w:r>
        <w:t xml:space="preserve">; </w:t>
      </w:r>
      <w:r>
        <w:fldChar w:fldCharType="begin"/>
      </w:r>
      <w:r>
        <w:instrText xml:space="preserve"> ADDIN ZOTERO_ITEM CSL_CITATION {"citationID":"NtrLqMML","properties":{"formattedCitation":"(Li and Schoonmaker, 2003; Sayles and Bischoff, 1973)","plainCitation":"(Li and Schoonmaker, 2003; Sayles and Bischoff, 1973)","dontUpdate":true,"noteIndex":0},"citationItems":[{"id":838,"uris":["http://zotero.org/users/local/01lnVYoF/items/P87ZQSZA"],"itemData":{"id":838,"type":"chapter","container-title":"Treatise on Geochemistry","ISBN":"978-0-08-043751-4","language":"en","note":"DOI: 10.1016/B0-08-043751-6/07088-2","page":"1-35","publisher":"Elsevier","source":"DOI.org (Crossref)","title":"Chemical Composition and Mineralogy of Marine Sediments","URL":"https://linkinghub.elsevier.com/retrieve/pii/B0080437516070882","author":[{"family":"Li","given":"Y.-H."},{"family":"Schoonmaker","given":"J.E."}],"accessed":{"date-parts":[["2022",7,11]]},"issued":{"date-parts":[["2003"]]}}},{"id":877,"uris":["http://zotero.org/users/local/01lnVYoF/items/XZK9B48G"],"itemData":{"id":877,"type":"article-journal","container-title":"Earth and Planetary Science Letters","DOI":"10.1016/0012-821X(73)90083-6","ISSN":"0012821X","issue":"3","journalAbbreviation":"Earth and Planetary Science Letters","language":"en","page":"330-336","source":"DOI.org (Crossref)","title":"Ferromanganoan sediments in the equatorial East Pacific","volume":"19","author":[{"family":"Sayles","given":"F.L."},{"family":"Bischoff","given":"James L."}],"issued":{"date-parts":[["1973",7]]}}}],"schema":"https://github.com/citation-style-language/schema/raw/master/csl-citation.json"} </w:instrText>
      </w:r>
      <w:r>
        <w:fldChar w:fldCharType="separate"/>
      </w:r>
      <w:r w:rsidRPr="00FE5295">
        <w:rPr>
          <w:rFonts w:cs="Times New Roman"/>
        </w:rPr>
        <w:t>Li and Schoonmaker, 2003; Sayles and Bischoff, 1973)</w:t>
      </w:r>
      <w:r>
        <w:fldChar w:fldCharType="end"/>
      </w:r>
      <w:r>
        <w:t xml:space="preserve"> using two distinct methods: enrichments factors (</w:t>
      </w:r>
      <w:r w:rsidRPr="00A62CB6">
        <w:t>EF</w:t>
      </w:r>
      <w:r>
        <w:t>) and metal excess (</w:t>
      </w:r>
      <w:r w:rsidRPr="00A62CB6">
        <w:t>XS</w:t>
      </w:r>
      <w:r>
        <w:t xml:space="preserve">). </w:t>
      </w:r>
    </w:p>
    <w:p w14:paraId="07CE5B18" w14:textId="3C4EBD4F" w:rsidR="006D0F7F" w:rsidRDefault="006D0F7F" w:rsidP="006D0F7F">
      <w:pPr>
        <w:spacing w:line="480" w:lineRule="auto"/>
        <w:jc w:val="both"/>
      </w:pPr>
      <w:r w:rsidRPr="000E367A">
        <w:rPr>
          <w:i/>
          <w:iCs/>
        </w:rPr>
        <w:t>E</w:t>
      </w:r>
      <w:r>
        <w:rPr>
          <w:i/>
          <w:iCs/>
        </w:rPr>
        <w:t>F in e</w:t>
      </w:r>
      <w:r w:rsidRPr="000E367A">
        <w:rPr>
          <w:i/>
          <w:iCs/>
        </w:rPr>
        <w:t>xported material</w:t>
      </w:r>
      <w:r>
        <w:t>. For the sinking material, EF were calculated</w:t>
      </w:r>
      <w:r>
        <w:rPr>
          <w:szCs w:val="24"/>
        </w:rPr>
        <w:t xml:space="preserve"> by normalizing</w:t>
      </w:r>
      <w:r>
        <w:rPr>
          <w:color w:val="000000"/>
          <w:szCs w:val="24"/>
        </w:rPr>
        <w:t xml:space="preserve"> t</w:t>
      </w:r>
      <w:r w:rsidRPr="003B680F">
        <w:rPr>
          <w:color w:val="000000"/>
          <w:szCs w:val="24"/>
        </w:rPr>
        <w:t>he concentration ratio of an element (E)</w:t>
      </w:r>
      <w:r w:rsidRPr="003B680F">
        <w:rPr>
          <w:color w:val="000000"/>
          <w:szCs w:val="24"/>
          <w:vertAlign w:val="subscript"/>
        </w:rPr>
        <w:t>cfb</w:t>
      </w:r>
      <w:r w:rsidRPr="003B680F">
        <w:rPr>
          <w:color w:val="000000"/>
          <w:szCs w:val="24"/>
        </w:rPr>
        <w:t xml:space="preserve"> to aluminum (</w:t>
      </w:r>
      <w:proofErr w:type="spellStart"/>
      <w:r w:rsidRPr="003B680F">
        <w:rPr>
          <w:color w:val="000000"/>
          <w:szCs w:val="24"/>
        </w:rPr>
        <w:t>Al</w:t>
      </w:r>
      <w:r w:rsidRPr="003B680F">
        <w:rPr>
          <w:color w:val="000000"/>
          <w:szCs w:val="24"/>
          <w:vertAlign w:val="subscript"/>
        </w:rPr>
        <w:t>cfb</w:t>
      </w:r>
      <w:proofErr w:type="spellEnd"/>
      <w:r w:rsidRPr="003B680F">
        <w:rPr>
          <w:color w:val="000000"/>
          <w:szCs w:val="24"/>
        </w:rPr>
        <w:t xml:space="preserve">, lithogenic tracer) to the same elemental ratio measured in pelagic clays </w:t>
      </w:r>
      <w:r>
        <w:t>following the formula:</w:t>
      </w:r>
    </w:p>
    <w:p w14:paraId="7C05085F" w14:textId="28261C78" w:rsidR="006D0F7F" w:rsidRPr="006D0F7F" w:rsidRDefault="00B21FD9" w:rsidP="00D23535">
      <w:pPr>
        <w:spacing w:line="480" w:lineRule="auto"/>
        <w:jc w:val="both"/>
        <w:rPr>
          <w:rFonts w:eastAsiaTheme="minorEastAsia"/>
        </w:rPr>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E</m:t>
                  </m:r>
                </m:e>
                <m:sub>
                  <m:r>
                    <w:rPr>
                      <w:rFonts w:ascii="Cambria Math" w:hAnsi="Cambria Math"/>
                    </w:rPr>
                    <m:t>EF</m:t>
                  </m:r>
                </m:sub>
              </m:sSub>
              <m:r>
                <w:rPr>
                  <w:rFonts w:ascii="Cambria Math" w:hAnsi="Cambria Math"/>
                </w:rPr>
                <m:t xml:space="preserve">= </m:t>
              </m:r>
              <m:f>
                <m:fPr>
                  <m:ctrlPr>
                    <w:rPr>
                      <w:rFonts w:ascii="Cambria Math" w:hAnsi="Cambria Math"/>
                      <w:i/>
                    </w:rPr>
                  </m:ctrlPr>
                </m:fPr>
                <m:num>
                  <m:f>
                    <m:fPr>
                      <m:type m:val="lin"/>
                      <m:ctrlPr>
                        <w:rPr>
                          <w:rFonts w:ascii="Cambria Math" w:hAnsi="Cambria Math"/>
                          <w:i/>
                        </w:rPr>
                      </m:ctrlPr>
                    </m:fPr>
                    <m:num>
                      <m:sSub>
                        <m:sSubPr>
                          <m:ctrlPr>
                            <w:rPr>
                              <w:rFonts w:ascii="Cambria Math" w:hAnsi="Cambria Math"/>
                              <w:i/>
                            </w:rPr>
                          </m:ctrlPr>
                        </m:sSubPr>
                        <m:e>
                          <m:d>
                            <m:dPr>
                              <m:begChr m:val="["/>
                              <m:endChr m:val="]"/>
                              <m:ctrlPr>
                                <w:rPr>
                                  <w:rFonts w:ascii="Cambria Math" w:hAnsi="Cambria Math"/>
                                  <w:i/>
                                </w:rPr>
                              </m:ctrlPr>
                            </m:dPr>
                            <m:e>
                              <m:r>
                                <w:rPr>
                                  <w:rFonts w:ascii="Cambria Math" w:hAnsi="Cambria Math"/>
                                </w:rPr>
                                <m:t>E</m:t>
                              </m:r>
                            </m:e>
                          </m:d>
                        </m:e>
                        <m:sub>
                          <m:r>
                            <w:rPr>
                              <w:rFonts w:ascii="Cambria Math" w:hAnsi="Cambria Math"/>
                            </w:rPr>
                            <m:t>cfb sample</m:t>
                          </m:r>
                        </m:sub>
                      </m:sSub>
                    </m:num>
                    <m:den>
                      <m:sSub>
                        <m:sSubPr>
                          <m:ctrlPr>
                            <w:rPr>
                              <w:rFonts w:ascii="Cambria Math" w:hAnsi="Cambria Math"/>
                              <w:i/>
                            </w:rPr>
                          </m:ctrlPr>
                        </m:sSubPr>
                        <m:e>
                          <m:d>
                            <m:dPr>
                              <m:begChr m:val="["/>
                              <m:endChr m:val="]"/>
                              <m:ctrlPr>
                                <w:rPr>
                                  <w:rFonts w:ascii="Cambria Math" w:hAnsi="Cambria Math"/>
                                  <w:i/>
                                </w:rPr>
                              </m:ctrlPr>
                            </m:dPr>
                            <m:e>
                              <m:r>
                                <w:rPr>
                                  <w:rFonts w:ascii="Cambria Math" w:hAnsi="Cambria Math"/>
                                </w:rPr>
                                <m:t>Al</m:t>
                              </m:r>
                            </m:e>
                          </m:d>
                        </m:e>
                        <m:sub>
                          <m:r>
                            <w:rPr>
                              <w:rFonts w:ascii="Cambria Math" w:hAnsi="Cambria Math"/>
                            </w:rPr>
                            <m:t>cfb sample</m:t>
                          </m:r>
                        </m:sub>
                      </m:sSub>
                    </m:den>
                  </m:f>
                </m:num>
                <m:den>
                  <m:f>
                    <m:fPr>
                      <m:type m:val="lin"/>
                      <m:ctrlPr>
                        <w:rPr>
                          <w:rFonts w:ascii="Cambria Math" w:hAnsi="Cambria Math"/>
                          <w:i/>
                        </w:rPr>
                      </m:ctrlPr>
                    </m:fPr>
                    <m:num>
                      <m:sSub>
                        <m:sSubPr>
                          <m:ctrlPr>
                            <w:rPr>
                              <w:rFonts w:ascii="Cambria Math" w:hAnsi="Cambria Math"/>
                              <w:i/>
                            </w:rPr>
                          </m:ctrlPr>
                        </m:sSubPr>
                        <m:e>
                          <m:d>
                            <m:dPr>
                              <m:begChr m:val="["/>
                              <m:endChr m:val="]"/>
                              <m:ctrlPr>
                                <w:rPr>
                                  <w:rFonts w:ascii="Cambria Math" w:hAnsi="Cambria Math"/>
                                  <w:i/>
                                </w:rPr>
                              </m:ctrlPr>
                            </m:dPr>
                            <m:e>
                              <m:r>
                                <w:rPr>
                                  <w:rFonts w:ascii="Cambria Math" w:hAnsi="Cambria Math"/>
                                </w:rPr>
                                <m:t>E</m:t>
                              </m:r>
                            </m:e>
                          </m:d>
                        </m:e>
                        <m:sub>
                          <m:r>
                            <w:rPr>
                              <w:rFonts w:ascii="Cambria Math" w:hAnsi="Cambria Math"/>
                            </w:rPr>
                            <m:t>pc</m:t>
                          </m:r>
                        </m:sub>
                      </m:sSub>
                    </m:num>
                    <m:den>
                      <m:sSub>
                        <m:sSubPr>
                          <m:ctrlPr>
                            <w:rPr>
                              <w:rFonts w:ascii="Cambria Math" w:hAnsi="Cambria Math"/>
                              <w:i/>
                            </w:rPr>
                          </m:ctrlPr>
                        </m:sSubPr>
                        <m:e>
                          <m:d>
                            <m:dPr>
                              <m:begChr m:val="["/>
                              <m:endChr m:val="]"/>
                              <m:ctrlPr>
                                <w:rPr>
                                  <w:rFonts w:ascii="Cambria Math" w:hAnsi="Cambria Math"/>
                                  <w:i/>
                                </w:rPr>
                              </m:ctrlPr>
                            </m:dPr>
                            <m:e>
                              <m:r>
                                <w:rPr>
                                  <w:rFonts w:ascii="Cambria Math" w:hAnsi="Cambria Math"/>
                                </w:rPr>
                                <m:t>Al</m:t>
                              </m:r>
                            </m:e>
                          </m:d>
                        </m:e>
                        <m:sub>
                          <m:r>
                            <w:rPr>
                              <w:rFonts w:ascii="Cambria Math" w:hAnsi="Cambria Math"/>
                            </w:rPr>
                            <m:t>pc</m:t>
                          </m:r>
                        </m:sub>
                      </m:sSub>
                    </m:den>
                  </m:f>
                </m:den>
              </m:f>
              <m:r>
                <w:rPr>
                  <w:rFonts w:ascii="Cambria Math" w:hAnsi="Cambria Math"/>
                </w:rPr>
                <m:t xml:space="preserve"> #</m:t>
              </m:r>
              <m:d>
                <m:dPr>
                  <m:ctrlPr>
                    <w:rPr>
                      <w:rFonts w:ascii="Cambria Math" w:hAnsi="Cambria Math"/>
                      <w:i/>
                    </w:rPr>
                  </m:ctrlPr>
                </m:dPr>
                <m:e>
                  <m:r>
                    <w:rPr>
                      <w:rFonts w:ascii="Cambria Math" w:hAnsi="Cambria Math"/>
                    </w:rPr>
                    <m:t>3</m:t>
                  </m:r>
                </m:e>
              </m:d>
            </m:e>
          </m:eqArr>
        </m:oMath>
      </m:oMathPara>
    </w:p>
    <w:p w14:paraId="79275081" w14:textId="59B68DAB" w:rsidR="000E367A" w:rsidRPr="00B80BBB" w:rsidRDefault="00A158F1" w:rsidP="00D23535">
      <w:pPr>
        <w:spacing w:line="480" w:lineRule="auto"/>
        <w:jc w:val="both"/>
        <w:rPr>
          <w:rFonts w:eastAsia="Times New Roman" w:cs="Times New Roman"/>
          <w:szCs w:val="24"/>
          <w:lang w:eastAsia="ja-JP"/>
        </w:rPr>
      </w:pPr>
      <w:r>
        <w:rPr>
          <w:rFonts w:eastAsia="Times New Roman" w:cs="Times New Roman"/>
          <w:color w:val="000000"/>
          <w:szCs w:val="24"/>
          <w:lang w:eastAsia="ja-JP"/>
        </w:rPr>
        <w:lastRenderedPageBreak/>
        <w:t>Enrichment of Zn (</w:t>
      </w:r>
      <w:r w:rsidR="00AA19A4" w:rsidRPr="009D0E05">
        <w:rPr>
          <w:rFonts w:eastAsia="Times New Roman" w:cs="Times New Roman"/>
          <w:color w:val="000000"/>
          <w:szCs w:val="24"/>
          <w:lang w:eastAsia="ja-JP"/>
        </w:rPr>
        <w:t>Zn</w:t>
      </w:r>
      <w:r w:rsidR="00AA19A4">
        <w:rPr>
          <w:rFonts w:eastAsia="Times New Roman" w:cs="Times New Roman"/>
          <w:color w:val="000000"/>
          <w:szCs w:val="24"/>
          <w:vertAlign w:val="subscript"/>
          <w:lang w:eastAsia="ja-JP"/>
        </w:rPr>
        <w:t>EF</w:t>
      </w:r>
      <w:r>
        <w:rPr>
          <w:rFonts w:eastAsia="Times New Roman" w:cs="Times New Roman"/>
          <w:color w:val="000000"/>
          <w:szCs w:val="24"/>
          <w:lang w:eastAsia="ja-JP"/>
        </w:rPr>
        <w:t xml:space="preserve">) </w:t>
      </w:r>
      <w:r w:rsidR="00B80BBB" w:rsidRPr="009D0E05">
        <w:rPr>
          <w:rFonts w:eastAsia="Times New Roman" w:cs="Times New Roman"/>
          <w:color w:val="000000"/>
          <w:szCs w:val="24"/>
          <w:lang w:eastAsia="ja-JP"/>
        </w:rPr>
        <w:t xml:space="preserve">was </w:t>
      </w:r>
      <w:r>
        <w:rPr>
          <w:rFonts w:eastAsia="Times New Roman" w:cs="Times New Roman"/>
          <w:color w:val="000000"/>
          <w:szCs w:val="24"/>
          <w:lang w:eastAsia="ja-JP"/>
        </w:rPr>
        <w:t>detected</w:t>
      </w:r>
      <w:r w:rsidR="00B80BBB" w:rsidRPr="009D0E05">
        <w:rPr>
          <w:rFonts w:eastAsia="Times New Roman" w:cs="Times New Roman"/>
          <w:color w:val="000000"/>
          <w:szCs w:val="24"/>
          <w:lang w:eastAsia="ja-JP"/>
        </w:rPr>
        <w:t xml:space="preserve"> in the material collected from all sediment traps </w:t>
      </w:r>
      <w:r w:rsidR="00452E08">
        <w:rPr>
          <w:rFonts w:eastAsia="Times New Roman" w:cs="Times New Roman"/>
          <w:color w:val="000000"/>
          <w:szCs w:val="24"/>
          <w:lang w:eastAsia="ja-JP"/>
        </w:rPr>
        <w:t>compared to reference pelagic clays (</w:t>
      </w:r>
      <w:r>
        <w:rPr>
          <w:rFonts w:eastAsia="Times New Roman" w:cs="Times New Roman"/>
          <w:color w:val="000000"/>
          <w:szCs w:val="24"/>
          <w:lang w:eastAsia="ja-JP"/>
        </w:rPr>
        <w:t xml:space="preserve">x6-39; </w:t>
      </w:r>
      <w:r w:rsidR="00452E08" w:rsidRPr="00452E08">
        <w:rPr>
          <w:rFonts w:eastAsia="Times New Roman" w:cs="Times New Roman"/>
          <w:i/>
          <w:iCs/>
          <w:color w:val="000000"/>
          <w:szCs w:val="24"/>
          <w:lang w:eastAsia="ja-JP"/>
        </w:rPr>
        <w:t>Table 2</w:t>
      </w:r>
      <w:r w:rsidR="00452E08">
        <w:rPr>
          <w:rFonts w:eastAsia="Times New Roman" w:cs="Times New Roman"/>
          <w:color w:val="000000"/>
          <w:szCs w:val="24"/>
          <w:lang w:eastAsia="ja-JP"/>
        </w:rPr>
        <w:t>)</w:t>
      </w:r>
      <w:r w:rsidR="00AA19A4">
        <w:rPr>
          <w:rFonts w:eastAsia="Times New Roman" w:cs="Times New Roman"/>
          <w:color w:val="000000"/>
          <w:szCs w:val="24"/>
          <w:lang w:eastAsia="ja-JP"/>
        </w:rPr>
        <w:t xml:space="preserve">, </w:t>
      </w:r>
      <w:r w:rsidR="00AA19A4" w:rsidRPr="009D0E05">
        <w:rPr>
          <w:rFonts w:eastAsia="Times New Roman" w:cs="Times New Roman"/>
          <w:color w:val="000000"/>
          <w:szCs w:val="24"/>
          <w:lang w:eastAsia="ja-JP"/>
        </w:rPr>
        <w:t>except at 1000 m at station 10.</w:t>
      </w:r>
      <w:r w:rsidR="0057699C">
        <w:rPr>
          <w:rFonts w:eastAsia="Times New Roman" w:cs="Times New Roman"/>
          <w:color w:val="000000"/>
          <w:szCs w:val="24"/>
          <w:lang w:eastAsia="ja-JP"/>
        </w:rPr>
        <w:t xml:space="preserve"> Slightly elevated</w:t>
      </w:r>
      <w:r w:rsidR="00AA19A4">
        <w:rPr>
          <w:rFonts w:eastAsia="Times New Roman" w:cs="Times New Roman"/>
          <w:color w:val="000000"/>
          <w:szCs w:val="24"/>
          <w:lang w:eastAsia="ja-JP"/>
        </w:rPr>
        <w:t xml:space="preserve"> </w:t>
      </w:r>
      <w:r w:rsidR="00B80BBB" w:rsidRPr="009D0E05">
        <w:rPr>
          <w:rFonts w:eastAsia="Times New Roman" w:cs="Times New Roman"/>
          <w:color w:val="000000"/>
          <w:szCs w:val="24"/>
          <w:lang w:eastAsia="ja-JP"/>
        </w:rPr>
        <w:t>Fe</w:t>
      </w:r>
      <w:r w:rsidR="00452E08">
        <w:rPr>
          <w:rFonts w:eastAsia="Times New Roman" w:cs="Times New Roman"/>
          <w:color w:val="000000"/>
          <w:szCs w:val="24"/>
          <w:vertAlign w:val="subscript"/>
          <w:lang w:eastAsia="ja-JP"/>
        </w:rPr>
        <w:t>EF</w:t>
      </w:r>
      <w:r w:rsidR="00B80BBB" w:rsidRPr="009D0E05">
        <w:rPr>
          <w:rFonts w:eastAsia="Times New Roman" w:cs="Times New Roman"/>
          <w:color w:val="000000"/>
          <w:szCs w:val="24"/>
          <w:lang w:eastAsia="ja-JP"/>
        </w:rPr>
        <w:t xml:space="preserve"> was </w:t>
      </w:r>
      <w:r w:rsidR="0057699C">
        <w:rPr>
          <w:rFonts w:eastAsia="Times New Roman" w:cs="Times New Roman"/>
          <w:color w:val="000000"/>
          <w:szCs w:val="24"/>
          <w:lang w:eastAsia="ja-JP"/>
        </w:rPr>
        <w:t>estimated</w:t>
      </w:r>
      <w:r>
        <w:rPr>
          <w:rFonts w:eastAsia="Times New Roman" w:cs="Times New Roman"/>
          <w:color w:val="000000"/>
          <w:szCs w:val="24"/>
          <w:lang w:eastAsia="ja-JP"/>
        </w:rPr>
        <w:t xml:space="preserve"> </w:t>
      </w:r>
      <w:r w:rsidR="00B80BBB" w:rsidRPr="009D0E05">
        <w:rPr>
          <w:rFonts w:eastAsia="Times New Roman" w:cs="Times New Roman"/>
          <w:color w:val="000000"/>
          <w:szCs w:val="24"/>
          <w:lang w:eastAsia="ja-JP"/>
        </w:rPr>
        <w:t xml:space="preserve">at 1000 m at stations 5 and 12 (x1.5-1.8). </w:t>
      </w:r>
      <w:r w:rsidR="0057699C">
        <w:rPr>
          <w:rFonts w:eastAsia="Times New Roman" w:cs="Times New Roman"/>
          <w:color w:val="000000"/>
          <w:szCs w:val="24"/>
          <w:lang w:eastAsia="ja-JP"/>
        </w:rPr>
        <w:t xml:space="preserve">No </w:t>
      </w:r>
      <w:r w:rsidR="00B80BBB" w:rsidRPr="009D0E05">
        <w:rPr>
          <w:rFonts w:eastAsia="Times New Roman" w:cs="Times New Roman"/>
          <w:color w:val="000000"/>
          <w:szCs w:val="24"/>
          <w:lang w:eastAsia="ja-JP"/>
        </w:rPr>
        <w:t>Mn</w:t>
      </w:r>
      <w:r w:rsidR="00452E08">
        <w:rPr>
          <w:rFonts w:eastAsia="Times New Roman" w:cs="Times New Roman"/>
          <w:color w:val="000000"/>
          <w:szCs w:val="24"/>
          <w:vertAlign w:val="subscript"/>
          <w:lang w:eastAsia="ja-JP"/>
        </w:rPr>
        <w:t>EF</w:t>
      </w:r>
      <w:r w:rsidR="00B80BBB" w:rsidRPr="009D0E05">
        <w:rPr>
          <w:rFonts w:eastAsia="Times New Roman" w:cs="Times New Roman"/>
          <w:color w:val="000000"/>
          <w:szCs w:val="24"/>
          <w:lang w:eastAsia="ja-JP"/>
        </w:rPr>
        <w:t xml:space="preserve"> was </w:t>
      </w:r>
      <w:r w:rsidR="00882B48">
        <w:rPr>
          <w:rFonts w:eastAsia="Times New Roman" w:cs="Times New Roman"/>
          <w:color w:val="000000"/>
          <w:szCs w:val="24"/>
          <w:lang w:eastAsia="ja-JP"/>
        </w:rPr>
        <w:t>detected in traps,</w:t>
      </w:r>
      <w:r w:rsidR="00B80BBB" w:rsidRPr="009D0E05">
        <w:rPr>
          <w:rFonts w:eastAsia="Times New Roman" w:cs="Times New Roman"/>
          <w:color w:val="000000"/>
          <w:szCs w:val="24"/>
          <w:lang w:eastAsia="ja-JP"/>
        </w:rPr>
        <w:t xml:space="preserve"> except at 200 m at station 10 (x7). Significant Ni</w:t>
      </w:r>
      <w:r w:rsidR="00452E08">
        <w:rPr>
          <w:rFonts w:eastAsia="Times New Roman" w:cs="Times New Roman"/>
          <w:color w:val="000000"/>
          <w:szCs w:val="24"/>
          <w:vertAlign w:val="subscript"/>
          <w:lang w:eastAsia="ja-JP"/>
        </w:rPr>
        <w:t>EF</w:t>
      </w:r>
      <w:r w:rsidR="00B80BBB" w:rsidRPr="009D0E05">
        <w:rPr>
          <w:rFonts w:eastAsia="Times New Roman" w:cs="Times New Roman"/>
          <w:color w:val="000000"/>
          <w:szCs w:val="24"/>
          <w:lang w:eastAsia="ja-JP"/>
        </w:rPr>
        <w:t xml:space="preserve"> (x3-7) were observed at 1000 m at station 12 and at 200 m at station 10. Cu</w:t>
      </w:r>
      <w:r w:rsidR="00452E08">
        <w:rPr>
          <w:rFonts w:eastAsia="Times New Roman" w:cs="Times New Roman"/>
          <w:color w:val="000000"/>
          <w:szCs w:val="24"/>
          <w:vertAlign w:val="subscript"/>
          <w:lang w:eastAsia="ja-JP"/>
        </w:rPr>
        <w:t>EF</w:t>
      </w:r>
      <w:r w:rsidR="00B80BBB" w:rsidRPr="009D0E05">
        <w:rPr>
          <w:rFonts w:eastAsia="Times New Roman" w:cs="Times New Roman"/>
          <w:color w:val="000000"/>
          <w:szCs w:val="24"/>
          <w:lang w:eastAsia="ja-JP"/>
        </w:rPr>
        <w:t xml:space="preserve"> was </w:t>
      </w:r>
      <w:r w:rsidR="00882B48">
        <w:rPr>
          <w:rFonts w:eastAsia="Times New Roman" w:cs="Times New Roman"/>
          <w:color w:val="000000"/>
          <w:szCs w:val="24"/>
          <w:lang w:eastAsia="ja-JP"/>
        </w:rPr>
        <w:t xml:space="preserve">measured </w:t>
      </w:r>
      <w:r w:rsidR="00B80BBB" w:rsidRPr="009D0E05">
        <w:rPr>
          <w:rFonts w:eastAsia="Times New Roman" w:cs="Times New Roman"/>
          <w:color w:val="000000"/>
          <w:szCs w:val="24"/>
          <w:lang w:eastAsia="ja-JP"/>
        </w:rPr>
        <w:t>only in the material collected at station 10 at 200 m and station 12 at 1000 m (x18 and x2, respectively). LSi</w:t>
      </w:r>
      <w:r w:rsidR="00452E08">
        <w:rPr>
          <w:rFonts w:eastAsia="Times New Roman" w:cs="Times New Roman"/>
          <w:color w:val="000000"/>
          <w:szCs w:val="24"/>
          <w:vertAlign w:val="subscript"/>
          <w:lang w:eastAsia="ja-JP"/>
        </w:rPr>
        <w:t>EF</w:t>
      </w:r>
      <w:r w:rsidR="00B80BBB" w:rsidRPr="009D0E05">
        <w:rPr>
          <w:rFonts w:eastAsia="Times New Roman" w:cs="Times New Roman"/>
          <w:color w:val="000000"/>
          <w:szCs w:val="24"/>
          <w:lang w:eastAsia="ja-JP"/>
        </w:rPr>
        <w:t xml:space="preserve"> was</w:t>
      </w:r>
      <w:r w:rsidR="00882B48">
        <w:rPr>
          <w:rFonts w:eastAsia="Times New Roman" w:cs="Times New Roman"/>
          <w:color w:val="000000"/>
          <w:szCs w:val="24"/>
          <w:lang w:eastAsia="ja-JP"/>
        </w:rPr>
        <w:t xml:space="preserve"> estimated </w:t>
      </w:r>
      <w:r w:rsidR="00B80BBB" w:rsidRPr="009D0E05">
        <w:rPr>
          <w:rFonts w:eastAsia="Times New Roman" w:cs="Times New Roman"/>
          <w:color w:val="000000"/>
          <w:szCs w:val="24"/>
          <w:lang w:eastAsia="ja-JP"/>
        </w:rPr>
        <w:t>at 1000 m at all stations, up to a factor of 14 (station 10).</w:t>
      </w:r>
    </w:p>
    <w:bookmarkEnd w:id="16"/>
    <w:p w14:paraId="2E8B8214" w14:textId="75EF29F4" w:rsidR="004D4F6E" w:rsidRDefault="00C326E1" w:rsidP="00426E0D">
      <w:pPr>
        <w:pStyle w:val="NormalWeb"/>
        <w:spacing w:before="120" w:beforeAutospacing="0" w:after="240" w:afterAutospacing="0" w:line="276" w:lineRule="auto"/>
        <w:jc w:val="both"/>
        <w:rPr>
          <w:color w:val="000000"/>
          <w:sz w:val="21"/>
          <w:szCs w:val="21"/>
        </w:rPr>
      </w:pPr>
      <w:r w:rsidRPr="00A67B0C">
        <w:rPr>
          <w:b/>
          <w:bCs/>
          <w:i/>
          <w:iCs/>
          <w:sz w:val="21"/>
          <w:szCs w:val="20"/>
        </w:rPr>
        <w:t>Table 2</w:t>
      </w:r>
      <w:r>
        <w:rPr>
          <w:i/>
          <w:iCs/>
          <w:sz w:val="21"/>
          <w:szCs w:val="20"/>
        </w:rPr>
        <w:t xml:space="preserve">. </w:t>
      </w:r>
      <w:r>
        <w:rPr>
          <w:sz w:val="21"/>
          <w:szCs w:val="20"/>
        </w:rPr>
        <w:t xml:space="preserve">Elemental enrichment factors </w:t>
      </w:r>
      <w:r w:rsidR="003838C5">
        <w:rPr>
          <w:sz w:val="21"/>
          <w:szCs w:val="20"/>
        </w:rPr>
        <w:t>(E</w:t>
      </w:r>
      <w:r w:rsidR="003838C5">
        <w:rPr>
          <w:sz w:val="21"/>
          <w:szCs w:val="20"/>
          <w:vertAlign w:val="subscript"/>
        </w:rPr>
        <w:t>EF</w:t>
      </w:r>
      <w:r w:rsidR="003838C5">
        <w:rPr>
          <w:sz w:val="21"/>
          <w:szCs w:val="20"/>
        </w:rPr>
        <w:t xml:space="preserve">) </w:t>
      </w:r>
      <w:r>
        <w:rPr>
          <w:sz w:val="21"/>
          <w:szCs w:val="20"/>
        </w:rPr>
        <w:t>of metal</w:t>
      </w:r>
      <w:r w:rsidR="004C4806">
        <w:rPr>
          <w:sz w:val="21"/>
          <w:szCs w:val="20"/>
        </w:rPr>
        <w:t>s</w:t>
      </w:r>
      <w:r>
        <w:rPr>
          <w:sz w:val="21"/>
          <w:szCs w:val="20"/>
        </w:rPr>
        <w:t xml:space="preserve"> in sinking material relative to aluminum</w:t>
      </w:r>
      <w:r w:rsidR="00A21D6B">
        <w:rPr>
          <w:sz w:val="21"/>
          <w:szCs w:val="20"/>
        </w:rPr>
        <w:t xml:space="preserve"> (</w:t>
      </w:r>
      <w:proofErr w:type="spellStart"/>
      <w:r w:rsidR="00A21D6B">
        <w:rPr>
          <w:sz w:val="21"/>
          <w:szCs w:val="20"/>
        </w:rPr>
        <w:t>Al</w:t>
      </w:r>
      <w:r w:rsidR="00A21D6B" w:rsidRPr="00A21D6B">
        <w:rPr>
          <w:sz w:val="21"/>
          <w:szCs w:val="20"/>
          <w:vertAlign w:val="subscript"/>
        </w:rPr>
        <w:t>cfb</w:t>
      </w:r>
      <w:proofErr w:type="spellEnd"/>
      <w:r w:rsidR="00A21D6B">
        <w:rPr>
          <w:sz w:val="21"/>
          <w:szCs w:val="20"/>
        </w:rPr>
        <w:t>)</w:t>
      </w:r>
      <w:r w:rsidR="00334591">
        <w:rPr>
          <w:sz w:val="21"/>
          <w:szCs w:val="20"/>
        </w:rPr>
        <w:t xml:space="preserve"> and average concentrations in reference pelagic clays</w:t>
      </w:r>
      <w:r>
        <w:rPr>
          <w:sz w:val="21"/>
          <w:szCs w:val="20"/>
        </w:rPr>
        <w:t>.</w:t>
      </w:r>
      <w:r w:rsidR="004D4F6E" w:rsidRPr="004D4F6E">
        <w:rPr>
          <w:color w:val="000000"/>
          <w:sz w:val="21"/>
          <w:szCs w:val="21"/>
        </w:rPr>
        <w:t xml:space="preserve"> </w:t>
      </w:r>
    </w:p>
    <w:tbl>
      <w:tblPr>
        <w:tblW w:w="8820" w:type="dxa"/>
        <w:jc w:val="center"/>
        <w:tblLook w:val="04A0" w:firstRow="1" w:lastRow="0" w:firstColumn="1" w:lastColumn="0" w:noHBand="0" w:noVBand="1"/>
      </w:tblPr>
      <w:tblGrid>
        <w:gridCol w:w="2340"/>
        <w:gridCol w:w="1080"/>
        <w:gridCol w:w="1080"/>
        <w:gridCol w:w="1170"/>
        <w:gridCol w:w="1080"/>
        <w:gridCol w:w="1080"/>
        <w:gridCol w:w="990"/>
      </w:tblGrid>
      <w:tr w:rsidR="00AA19A4" w:rsidRPr="009D0E05" w14:paraId="135E0E3C" w14:textId="77777777" w:rsidTr="00AA19A4">
        <w:trPr>
          <w:trHeight w:val="300"/>
          <w:jc w:val="center"/>
        </w:trPr>
        <w:tc>
          <w:tcPr>
            <w:tcW w:w="2340" w:type="dxa"/>
            <w:tcBorders>
              <w:top w:val="nil"/>
              <w:left w:val="nil"/>
              <w:bottom w:val="single" w:sz="8" w:space="0" w:color="auto"/>
              <w:right w:val="nil"/>
            </w:tcBorders>
            <w:shd w:val="clear" w:color="000000" w:fill="FFFFFF"/>
            <w:noWrap/>
            <w:vAlign w:val="center"/>
            <w:hideMark/>
          </w:tcPr>
          <w:p w14:paraId="65C9357F"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Sample</w:t>
            </w:r>
          </w:p>
        </w:tc>
        <w:tc>
          <w:tcPr>
            <w:tcW w:w="1080" w:type="dxa"/>
            <w:tcBorders>
              <w:top w:val="nil"/>
              <w:left w:val="nil"/>
              <w:bottom w:val="single" w:sz="8" w:space="0" w:color="auto"/>
              <w:right w:val="nil"/>
            </w:tcBorders>
            <w:shd w:val="clear" w:color="000000" w:fill="FFFFFF"/>
            <w:noWrap/>
            <w:vAlign w:val="center"/>
            <w:hideMark/>
          </w:tcPr>
          <w:p w14:paraId="731643CB"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Fe</w:t>
            </w:r>
          </w:p>
        </w:tc>
        <w:tc>
          <w:tcPr>
            <w:tcW w:w="1080" w:type="dxa"/>
            <w:tcBorders>
              <w:top w:val="nil"/>
              <w:left w:val="nil"/>
              <w:bottom w:val="single" w:sz="8" w:space="0" w:color="auto"/>
              <w:right w:val="nil"/>
            </w:tcBorders>
            <w:shd w:val="clear" w:color="000000" w:fill="FFFFFF"/>
            <w:noWrap/>
            <w:vAlign w:val="center"/>
            <w:hideMark/>
          </w:tcPr>
          <w:p w14:paraId="3107C146"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Mn</w:t>
            </w:r>
          </w:p>
        </w:tc>
        <w:tc>
          <w:tcPr>
            <w:tcW w:w="1170" w:type="dxa"/>
            <w:tcBorders>
              <w:top w:val="nil"/>
              <w:left w:val="nil"/>
              <w:bottom w:val="single" w:sz="8" w:space="0" w:color="auto"/>
              <w:right w:val="nil"/>
            </w:tcBorders>
            <w:shd w:val="clear" w:color="000000" w:fill="FFFFFF"/>
            <w:noWrap/>
            <w:vAlign w:val="center"/>
            <w:hideMark/>
          </w:tcPr>
          <w:p w14:paraId="118E734C"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Cu</w:t>
            </w:r>
          </w:p>
        </w:tc>
        <w:tc>
          <w:tcPr>
            <w:tcW w:w="1080" w:type="dxa"/>
            <w:tcBorders>
              <w:top w:val="nil"/>
              <w:left w:val="nil"/>
              <w:bottom w:val="single" w:sz="8" w:space="0" w:color="auto"/>
              <w:right w:val="nil"/>
            </w:tcBorders>
            <w:shd w:val="clear" w:color="000000" w:fill="FFFFFF"/>
            <w:noWrap/>
            <w:vAlign w:val="center"/>
            <w:hideMark/>
          </w:tcPr>
          <w:p w14:paraId="20E9EE6C"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Zn</w:t>
            </w:r>
          </w:p>
        </w:tc>
        <w:tc>
          <w:tcPr>
            <w:tcW w:w="1080" w:type="dxa"/>
            <w:tcBorders>
              <w:top w:val="nil"/>
              <w:left w:val="nil"/>
              <w:bottom w:val="single" w:sz="8" w:space="0" w:color="auto"/>
              <w:right w:val="nil"/>
            </w:tcBorders>
            <w:shd w:val="clear" w:color="000000" w:fill="FFFFFF"/>
            <w:noWrap/>
            <w:vAlign w:val="center"/>
            <w:hideMark/>
          </w:tcPr>
          <w:p w14:paraId="496C6779"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Ni</w:t>
            </w:r>
          </w:p>
        </w:tc>
        <w:tc>
          <w:tcPr>
            <w:tcW w:w="990" w:type="dxa"/>
            <w:tcBorders>
              <w:top w:val="nil"/>
              <w:left w:val="nil"/>
              <w:bottom w:val="single" w:sz="8" w:space="0" w:color="auto"/>
              <w:right w:val="nil"/>
            </w:tcBorders>
            <w:shd w:val="clear" w:color="000000" w:fill="FFFFFF"/>
            <w:noWrap/>
            <w:vAlign w:val="center"/>
            <w:hideMark/>
          </w:tcPr>
          <w:p w14:paraId="5ECA564F" w14:textId="3595906C" w:rsidR="00AA19A4" w:rsidRPr="009D0E05" w:rsidRDefault="00797940" w:rsidP="009D0E05">
            <w:pPr>
              <w:spacing w:before="0" w:after="0"/>
              <w:jc w:val="center"/>
              <w:rPr>
                <w:rFonts w:eastAsia="Times New Roman" w:cs="Times New Roman"/>
                <w:color w:val="000000"/>
                <w:sz w:val="22"/>
                <w:lang w:eastAsia="ja-JP"/>
              </w:rPr>
            </w:pPr>
            <w:r>
              <w:rPr>
                <w:rFonts w:eastAsia="Times New Roman" w:cs="Times New Roman"/>
                <w:color w:val="000000"/>
                <w:sz w:val="22"/>
                <w:lang w:eastAsia="ja-JP"/>
              </w:rPr>
              <w:t>L</w:t>
            </w:r>
            <w:r w:rsidR="00AA19A4" w:rsidRPr="009D0E05">
              <w:rPr>
                <w:rFonts w:eastAsia="Times New Roman" w:cs="Times New Roman"/>
                <w:color w:val="000000"/>
                <w:sz w:val="22"/>
                <w:lang w:eastAsia="ja-JP"/>
              </w:rPr>
              <w:t>Si</w:t>
            </w:r>
          </w:p>
        </w:tc>
      </w:tr>
      <w:tr w:rsidR="00AA19A4" w:rsidRPr="009D0E05" w14:paraId="0A3A9B29" w14:textId="77777777" w:rsidTr="00AA19A4">
        <w:trPr>
          <w:trHeight w:val="330"/>
          <w:jc w:val="center"/>
        </w:trPr>
        <w:tc>
          <w:tcPr>
            <w:tcW w:w="2340" w:type="dxa"/>
            <w:tcBorders>
              <w:top w:val="nil"/>
              <w:left w:val="nil"/>
              <w:bottom w:val="nil"/>
              <w:right w:val="nil"/>
            </w:tcBorders>
            <w:shd w:val="clear" w:color="000000" w:fill="FFFFFF"/>
            <w:noWrap/>
            <w:vAlign w:val="center"/>
            <w:hideMark/>
          </w:tcPr>
          <w:p w14:paraId="1A54DF1A"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Station 5 - 1000 m</w:t>
            </w:r>
          </w:p>
        </w:tc>
        <w:tc>
          <w:tcPr>
            <w:tcW w:w="1080" w:type="dxa"/>
            <w:tcBorders>
              <w:top w:val="nil"/>
              <w:left w:val="nil"/>
              <w:bottom w:val="nil"/>
              <w:right w:val="nil"/>
            </w:tcBorders>
            <w:shd w:val="clear" w:color="000000" w:fill="FFFFFF"/>
            <w:noWrap/>
            <w:vAlign w:val="center"/>
            <w:hideMark/>
          </w:tcPr>
          <w:p w14:paraId="44FFB0FA" w14:textId="77777777" w:rsidR="00AA19A4" w:rsidRPr="009D0E05" w:rsidRDefault="00AA19A4" w:rsidP="009D0E05">
            <w:pPr>
              <w:spacing w:before="0" w:after="0"/>
              <w:jc w:val="center"/>
              <w:rPr>
                <w:rFonts w:eastAsia="Times New Roman" w:cs="Times New Roman"/>
                <w:b/>
                <w:bCs/>
                <w:sz w:val="22"/>
                <w:lang w:eastAsia="ja-JP"/>
              </w:rPr>
            </w:pPr>
            <w:r w:rsidRPr="009D0E05">
              <w:rPr>
                <w:rFonts w:eastAsia="Times New Roman" w:cs="Times New Roman"/>
                <w:b/>
                <w:bCs/>
                <w:sz w:val="22"/>
                <w:lang w:eastAsia="ja-JP"/>
              </w:rPr>
              <w:t>1.4</w:t>
            </w:r>
          </w:p>
        </w:tc>
        <w:tc>
          <w:tcPr>
            <w:tcW w:w="1080" w:type="dxa"/>
            <w:tcBorders>
              <w:top w:val="nil"/>
              <w:left w:val="nil"/>
              <w:bottom w:val="nil"/>
              <w:right w:val="nil"/>
            </w:tcBorders>
            <w:shd w:val="clear" w:color="000000" w:fill="FFFFFF"/>
            <w:noWrap/>
            <w:vAlign w:val="center"/>
            <w:hideMark/>
          </w:tcPr>
          <w:p w14:paraId="35017073" w14:textId="77777777" w:rsidR="00AA19A4" w:rsidRPr="009D0E05" w:rsidRDefault="00AA19A4" w:rsidP="009D0E05">
            <w:pPr>
              <w:spacing w:before="0" w:after="0"/>
              <w:jc w:val="center"/>
              <w:rPr>
                <w:rFonts w:eastAsia="Times New Roman" w:cs="Times New Roman"/>
                <w:i/>
                <w:iCs/>
                <w:sz w:val="22"/>
                <w:lang w:eastAsia="ja-JP"/>
              </w:rPr>
            </w:pPr>
            <w:r w:rsidRPr="009D0E05">
              <w:rPr>
                <w:rFonts w:eastAsia="Times New Roman" w:cs="Times New Roman"/>
                <w:i/>
                <w:iCs/>
                <w:sz w:val="22"/>
                <w:lang w:eastAsia="ja-JP"/>
              </w:rPr>
              <w:t>0.2</w:t>
            </w:r>
          </w:p>
        </w:tc>
        <w:tc>
          <w:tcPr>
            <w:tcW w:w="1170" w:type="dxa"/>
            <w:tcBorders>
              <w:top w:val="nil"/>
              <w:left w:val="nil"/>
              <w:bottom w:val="nil"/>
              <w:right w:val="nil"/>
            </w:tcBorders>
            <w:shd w:val="clear" w:color="000000" w:fill="FFFFFF"/>
            <w:noWrap/>
            <w:vAlign w:val="center"/>
            <w:hideMark/>
          </w:tcPr>
          <w:p w14:paraId="1343B031" w14:textId="77777777" w:rsidR="00AA19A4" w:rsidRPr="009D0E05" w:rsidRDefault="00AA19A4" w:rsidP="009D0E05">
            <w:pPr>
              <w:spacing w:before="0" w:after="0"/>
              <w:jc w:val="center"/>
              <w:rPr>
                <w:rFonts w:eastAsia="Times New Roman" w:cs="Times New Roman"/>
                <w:i/>
                <w:iCs/>
                <w:sz w:val="22"/>
                <w:lang w:eastAsia="ja-JP"/>
              </w:rPr>
            </w:pPr>
            <w:r w:rsidRPr="009D0E05">
              <w:rPr>
                <w:rFonts w:eastAsia="Times New Roman" w:cs="Times New Roman"/>
                <w:i/>
                <w:iCs/>
                <w:sz w:val="22"/>
                <w:lang w:eastAsia="ja-JP"/>
              </w:rPr>
              <w:t>0.6</w:t>
            </w:r>
          </w:p>
        </w:tc>
        <w:tc>
          <w:tcPr>
            <w:tcW w:w="1080" w:type="dxa"/>
            <w:tcBorders>
              <w:top w:val="nil"/>
              <w:left w:val="nil"/>
              <w:bottom w:val="nil"/>
              <w:right w:val="nil"/>
            </w:tcBorders>
            <w:shd w:val="clear" w:color="000000" w:fill="FFFFFF"/>
            <w:noWrap/>
            <w:vAlign w:val="center"/>
            <w:hideMark/>
          </w:tcPr>
          <w:p w14:paraId="26CAF50F" w14:textId="77777777" w:rsidR="00AA19A4" w:rsidRPr="009D0E05" w:rsidRDefault="00AA19A4" w:rsidP="009D0E05">
            <w:pPr>
              <w:spacing w:before="0" w:after="0"/>
              <w:jc w:val="center"/>
              <w:rPr>
                <w:rFonts w:eastAsia="Times New Roman" w:cs="Times New Roman"/>
                <w:b/>
                <w:bCs/>
                <w:sz w:val="22"/>
                <w:lang w:eastAsia="ja-JP"/>
              </w:rPr>
            </w:pPr>
            <w:r w:rsidRPr="009D0E05">
              <w:rPr>
                <w:rFonts w:eastAsia="Times New Roman" w:cs="Times New Roman"/>
                <w:b/>
                <w:bCs/>
                <w:sz w:val="22"/>
                <w:lang w:eastAsia="ja-JP"/>
              </w:rPr>
              <w:t>11</w:t>
            </w:r>
          </w:p>
        </w:tc>
        <w:tc>
          <w:tcPr>
            <w:tcW w:w="1080" w:type="dxa"/>
            <w:tcBorders>
              <w:top w:val="nil"/>
              <w:left w:val="nil"/>
              <w:bottom w:val="nil"/>
              <w:right w:val="nil"/>
            </w:tcBorders>
            <w:shd w:val="clear" w:color="000000" w:fill="FFFFFF"/>
            <w:noWrap/>
            <w:vAlign w:val="center"/>
            <w:hideMark/>
          </w:tcPr>
          <w:p w14:paraId="53280F33" w14:textId="77777777" w:rsidR="00AA19A4" w:rsidRPr="009D0E05" w:rsidRDefault="00AA19A4" w:rsidP="009D0E05">
            <w:pPr>
              <w:spacing w:before="0" w:after="0"/>
              <w:jc w:val="center"/>
              <w:rPr>
                <w:rFonts w:eastAsia="Times New Roman" w:cs="Times New Roman"/>
                <w:sz w:val="22"/>
                <w:lang w:eastAsia="ja-JP"/>
              </w:rPr>
            </w:pPr>
            <w:r w:rsidRPr="009D0E05">
              <w:rPr>
                <w:rFonts w:eastAsia="Times New Roman" w:cs="Times New Roman"/>
                <w:sz w:val="22"/>
                <w:lang w:eastAsia="ja-JP"/>
              </w:rPr>
              <w:t>1.1</w:t>
            </w:r>
          </w:p>
        </w:tc>
        <w:tc>
          <w:tcPr>
            <w:tcW w:w="990" w:type="dxa"/>
            <w:tcBorders>
              <w:top w:val="nil"/>
              <w:left w:val="nil"/>
              <w:bottom w:val="nil"/>
              <w:right w:val="nil"/>
            </w:tcBorders>
            <w:shd w:val="clear" w:color="000000" w:fill="FFFFFF"/>
            <w:noWrap/>
            <w:vAlign w:val="center"/>
            <w:hideMark/>
          </w:tcPr>
          <w:p w14:paraId="42DBEDB2" w14:textId="77777777" w:rsidR="00AA19A4" w:rsidRPr="009D0E05" w:rsidRDefault="00AA19A4" w:rsidP="009D0E05">
            <w:pPr>
              <w:spacing w:before="0" w:after="0"/>
              <w:jc w:val="center"/>
              <w:rPr>
                <w:rFonts w:eastAsia="Times New Roman" w:cs="Times New Roman"/>
                <w:b/>
                <w:bCs/>
                <w:sz w:val="22"/>
                <w:lang w:eastAsia="ja-JP"/>
              </w:rPr>
            </w:pPr>
            <w:r w:rsidRPr="009D0E05">
              <w:rPr>
                <w:rFonts w:eastAsia="Times New Roman" w:cs="Times New Roman"/>
                <w:b/>
                <w:bCs/>
                <w:sz w:val="22"/>
                <w:lang w:eastAsia="ja-JP"/>
              </w:rPr>
              <w:t>5.2</w:t>
            </w:r>
          </w:p>
        </w:tc>
      </w:tr>
      <w:tr w:rsidR="00AA19A4" w:rsidRPr="009D0E05" w14:paraId="0FF17B18" w14:textId="77777777" w:rsidTr="00AA19A4">
        <w:trPr>
          <w:trHeight w:val="290"/>
          <w:jc w:val="center"/>
        </w:trPr>
        <w:tc>
          <w:tcPr>
            <w:tcW w:w="2340" w:type="dxa"/>
            <w:tcBorders>
              <w:top w:val="nil"/>
              <w:left w:val="nil"/>
              <w:bottom w:val="nil"/>
              <w:right w:val="nil"/>
            </w:tcBorders>
            <w:shd w:val="clear" w:color="000000" w:fill="FFFFFF"/>
            <w:noWrap/>
            <w:vAlign w:val="center"/>
            <w:hideMark/>
          </w:tcPr>
          <w:p w14:paraId="055F310A"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Station 10 - 200 m</w:t>
            </w:r>
          </w:p>
        </w:tc>
        <w:tc>
          <w:tcPr>
            <w:tcW w:w="1080" w:type="dxa"/>
            <w:tcBorders>
              <w:top w:val="nil"/>
              <w:left w:val="nil"/>
              <w:bottom w:val="nil"/>
              <w:right w:val="nil"/>
            </w:tcBorders>
            <w:shd w:val="clear" w:color="000000" w:fill="FFFFFF"/>
            <w:noWrap/>
            <w:vAlign w:val="center"/>
            <w:hideMark/>
          </w:tcPr>
          <w:p w14:paraId="2FE90880" w14:textId="77777777" w:rsidR="00AA19A4" w:rsidRPr="009D0E05" w:rsidRDefault="00AA19A4" w:rsidP="009D0E05">
            <w:pPr>
              <w:spacing w:before="0" w:after="0"/>
              <w:jc w:val="center"/>
              <w:rPr>
                <w:rFonts w:eastAsia="Times New Roman" w:cs="Times New Roman"/>
                <w:sz w:val="22"/>
                <w:lang w:eastAsia="ja-JP"/>
              </w:rPr>
            </w:pPr>
            <w:r w:rsidRPr="009D0E05">
              <w:rPr>
                <w:rFonts w:eastAsia="Times New Roman" w:cs="Times New Roman"/>
                <w:sz w:val="22"/>
                <w:lang w:eastAsia="ja-JP"/>
              </w:rPr>
              <w:t>1.1</w:t>
            </w:r>
          </w:p>
        </w:tc>
        <w:tc>
          <w:tcPr>
            <w:tcW w:w="1080" w:type="dxa"/>
            <w:tcBorders>
              <w:top w:val="nil"/>
              <w:left w:val="nil"/>
              <w:bottom w:val="nil"/>
              <w:right w:val="nil"/>
            </w:tcBorders>
            <w:shd w:val="clear" w:color="000000" w:fill="FFFFFF"/>
            <w:noWrap/>
            <w:vAlign w:val="center"/>
            <w:hideMark/>
          </w:tcPr>
          <w:p w14:paraId="588CA29C" w14:textId="77777777" w:rsidR="00AA19A4" w:rsidRPr="009D0E05" w:rsidRDefault="00AA19A4" w:rsidP="009D0E05">
            <w:pPr>
              <w:spacing w:before="0" w:after="0"/>
              <w:jc w:val="center"/>
              <w:rPr>
                <w:rFonts w:eastAsia="Times New Roman" w:cs="Times New Roman"/>
                <w:b/>
                <w:bCs/>
                <w:sz w:val="22"/>
                <w:lang w:eastAsia="ja-JP"/>
              </w:rPr>
            </w:pPr>
            <w:r w:rsidRPr="009D0E05">
              <w:rPr>
                <w:rFonts w:eastAsia="Times New Roman" w:cs="Times New Roman"/>
                <w:b/>
                <w:bCs/>
                <w:sz w:val="22"/>
                <w:lang w:eastAsia="ja-JP"/>
              </w:rPr>
              <w:t>5.0</w:t>
            </w:r>
          </w:p>
        </w:tc>
        <w:tc>
          <w:tcPr>
            <w:tcW w:w="1170" w:type="dxa"/>
            <w:tcBorders>
              <w:top w:val="nil"/>
              <w:left w:val="nil"/>
              <w:bottom w:val="nil"/>
              <w:right w:val="nil"/>
            </w:tcBorders>
            <w:shd w:val="clear" w:color="000000" w:fill="FFFFFF"/>
            <w:noWrap/>
            <w:vAlign w:val="center"/>
            <w:hideMark/>
          </w:tcPr>
          <w:p w14:paraId="264732DC" w14:textId="77777777" w:rsidR="00AA19A4" w:rsidRPr="009D0E05" w:rsidRDefault="00AA19A4" w:rsidP="009D0E05">
            <w:pPr>
              <w:spacing w:before="0" w:after="0"/>
              <w:jc w:val="center"/>
              <w:rPr>
                <w:rFonts w:eastAsia="Times New Roman" w:cs="Times New Roman"/>
                <w:b/>
                <w:bCs/>
                <w:sz w:val="22"/>
                <w:lang w:eastAsia="ja-JP"/>
              </w:rPr>
            </w:pPr>
            <w:r w:rsidRPr="009D0E05">
              <w:rPr>
                <w:rFonts w:eastAsia="Times New Roman" w:cs="Times New Roman"/>
                <w:b/>
                <w:bCs/>
                <w:sz w:val="22"/>
                <w:lang w:eastAsia="ja-JP"/>
              </w:rPr>
              <w:t>18</w:t>
            </w:r>
          </w:p>
        </w:tc>
        <w:tc>
          <w:tcPr>
            <w:tcW w:w="1080" w:type="dxa"/>
            <w:tcBorders>
              <w:top w:val="nil"/>
              <w:left w:val="nil"/>
              <w:bottom w:val="nil"/>
              <w:right w:val="nil"/>
            </w:tcBorders>
            <w:shd w:val="clear" w:color="000000" w:fill="FFFFFF"/>
            <w:noWrap/>
            <w:vAlign w:val="center"/>
            <w:hideMark/>
          </w:tcPr>
          <w:p w14:paraId="1476E2E3" w14:textId="77777777" w:rsidR="00AA19A4" w:rsidRPr="009D0E05" w:rsidRDefault="00AA19A4" w:rsidP="009D0E05">
            <w:pPr>
              <w:spacing w:before="0" w:after="0"/>
              <w:jc w:val="center"/>
              <w:rPr>
                <w:rFonts w:eastAsia="Times New Roman" w:cs="Times New Roman"/>
                <w:b/>
                <w:bCs/>
                <w:sz w:val="22"/>
                <w:lang w:eastAsia="ja-JP"/>
              </w:rPr>
            </w:pPr>
            <w:r w:rsidRPr="009D0E05">
              <w:rPr>
                <w:rFonts w:eastAsia="Times New Roman" w:cs="Times New Roman"/>
                <w:b/>
                <w:bCs/>
                <w:sz w:val="22"/>
                <w:lang w:eastAsia="ja-JP"/>
              </w:rPr>
              <w:t>37</w:t>
            </w:r>
          </w:p>
        </w:tc>
        <w:tc>
          <w:tcPr>
            <w:tcW w:w="1080" w:type="dxa"/>
            <w:tcBorders>
              <w:top w:val="nil"/>
              <w:left w:val="nil"/>
              <w:bottom w:val="nil"/>
              <w:right w:val="nil"/>
            </w:tcBorders>
            <w:shd w:val="clear" w:color="000000" w:fill="FFFFFF"/>
            <w:noWrap/>
            <w:vAlign w:val="center"/>
            <w:hideMark/>
          </w:tcPr>
          <w:p w14:paraId="2FEAE473" w14:textId="77777777" w:rsidR="00AA19A4" w:rsidRPr="009D0E05" w:rsidRDefault="00AA19A4" w:rsidP="009D0E05">
            <w:pPr>
              <w:spacing w:before="0" w:after="0"/>
              <w:jc w:val="center"/>
              <w:rPr>
                <w:rFonts w:eastAsia="Times New Roman" w:cs="Times New Roman"/>
                <w:b/>
                <w:bCs/>
                <w:sz w:val="22"/>
                <w:lang w:eastAsia="ja-JP"/>
              </w:rPr>
            </w:pPr>
            <w:r w:rsidRPr="009D0E05">
              <w:rPr>
                <w:rFonts w:eastAsia="Times New Roman" w:cs="Times New Roman"/>
                <w:b/>
                <w:bCs/>
                <w:sz w:val="22"/>
                <w:lang w:eastAsia="ja-JP"/>
              </w:rPr>
              <w:t>7.3</w:t>
            </w:r>
          </w:p>
        </w:tc>
        <w:tc>
          <w:tcPr>
            <w:tcW w:w="990" w:type="dxa"/>
            <w:tcBorders>
              <w:top w:val="nil"/>
              <w:left w:val="nil"/>
              <w:bottom w:val="nil"/>
              <w:right w:val="nil"/>
            </w:tcBorders>
            <w:shd w:val="clear" w:color="000000" w:fill="FFFFFF"/>
            <w:noWrap/>
            <w:vAlign w:val="center"/>
            <w:hideMark/>
          </w:tcPr>
          <w:p w14:paraId="614ADC47" w14:textId="77777777" w:rsidR="00AA19A4" w:rsidRPr="009D0E05" w:rsidRDefault="00AA19A4" w:rsidP="009D0E05">
            <w:pPr>
              <w:spacing w:before="0" w:after="0"/>
              <w:jc w:val="center"/>
              <w:rPr>
                <w:rFonts w:eastAsia="Times New Roman" w:cs="Times New Roman"/>
                <w:i/>
                <w:iCs/>
                <w:sz w:val="22"/>
                <w:lang w:eastAsia="ja-JP"/>
              </w:rPr>
            </w:pPr>
            <w:r w:rsidRPr="009D0E05">
              <w:rPr>
                <w:rFonts w:eastAsia="Times New Roman" w:cs="Times New Roman"/>
                <w:i/>
                <w:iCs/>
                <w:sz w:val="22"/>
                <w:lang w:eastAsia="ja-JP"/>
              </w:rPr>
              <w:t>0.4</w:t>
            </w:r>
          </w:p>
        </w:tc>
      </w:tr>
      <w:tr w:rsidR="00AA19A4" w:rsidRPr="009D0E05" w14:paraId="0EA07675" w14:textId="77777777" w:rsidTr="00AA19A4">
        <w:trPr>
          <w:trHeight w:val="290"/>
          <w:jc w:val="center"/>
        </w:trPr>
        <w:tc>
          <w:tcPr>
            <w:tcW w:w="2340" w:type="dxa"/>
            <w:tcBorders>
              <w:top w:val="nil"/>
              <w:left w:val="nil"/>
              <w:bottom w:val="nil"/>
              <w:right w:val="nil"/>
            </w:tcBorders>
            <w:shd w:val="clear" w:color="000000" w:fill="FFFFFF"/>
            <w:noWrap/>
            <w:vAlign w:val="center"/>
            <w:hideMark/>
          </w:tcPr>
          <w:p w14:paraId="3E0BFF64"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Station 10 - 1000 m</w:t>
            </w:r>
          </w:p>
        </w:tc>
        <w:tc>
          <w:tcPr>
            <w:tcW w:w="1080" w:type="dxa"/>
            <w:tcBorders>
              <w:top w:val="nil"/>
              <w:left w:val="nil"/>
              <w:bottom w:val="nil"/>
              <w:right w:val="nil"/>
            </w:tcBorders>
            <w:shd w:val="clear" w:color="000000" w:fill="FFFFFF"/>
            <w:noWrap/>
            <w:vAlign w:val="center"/>
            <w:hideMark/>
          </w:tcPr>
          <w:p w14:paraId="6D517797" w14:textId="77777777" w:rsidR="00AA19A4" w:rsidRPr="009D0E05" w:rsidRDefault="00AA19A4" w:rsidP="009D0E05">
            <w:pPr>
              <w:spacing w:before="0" w:after="0"/>
              <w:jc w:val="center"/>
              <w:rPr>
                <w:rFonts w:eastAsia="Times New Roman" w:cs="Times New Roman"/>
                <w:sz w:val="22"/>
                <w:lang w:eastAsia="ja-JP"/>
              </w:rPr>
            </w:pPr>
            <w:r w:rsidRPr="009D0E05">
              <w:rPr>
                <w:rFonts w:eastAsia="Times New Roman" w:cs="Times New Roman"/>
                <w:sz w:val="22"/>
                <w:lang w:eastAsia="ja-JP"/>
              </w:rPr>
              <w:t>1.0</w:t>
            </w:r>
          </w:p>
        </w:tc>
        <w:tc>
          <w:tcPr>
            <w:tcW w:w="1080" w:type="dxa"/>
            <w:tcBorders>
              <w:top w:val="nil"/>
              <w:left w:val="nil"/>
              <w:bottom w:val="nil"/>
              <w:right w:val="nil"/>
            </w:tcBorders>
            <w:shd w:val="clear" w:color="000000" w:fill="FFFFFF"/>
            <w:noWrap/>
            <w:vAlign w:val="center"/>
            <w:hideMark/>
          </w:tcPr>
          <w:p w14:paraId="038FBF03" w14:textId="77777777" w:rsidR="00AA19A4" w:rsidRPr="009D0E05" w:rsidRDefault="00AA19A4" w:rsidP="009D0E05">
            <w:pPr>
              <w:spacing w:before="0" w:after="0"/>
              <w:jc w:val="center"/>
              <w:rPr>
                <w:rFonts w:eastAsia="Times New Roman" w:cs="Times New Roman"/>
                <w:i/>
                <w:iCs/>
                <w:sz w:val="22"/>
                <w:lang w:eastAsia="ja-JP"/>
              </w:rPr>
            </w:pPr>
            <w:r w:rsidRPr="009D0E05">
              <w:rPr>
                <w:rFonts w:eastAsia="Times New Roman" w:cs="Times New Roman"/>
                <w:i/>
                <w:iCs/>
                <w:sz w:val="22"/>
                <w:lang w:eastAsia="ja-JP"/>
              </w:rPr>
              <w:t>0.01</w:t>
            </w:r>
          </w:p>
        </w:tc>
        <w:tc>
          <w:tcPr>
            <w:tcW w:w="1170" w:type="dxa"/>
            <w:tcBorders>
              <w:top w:val="nil"/>
              <w:left w:val="nil"/>
              <w:bottom w:val="nil"/>
              <w:right w:val="nil"/>
            </w:tcBorders>
            <w:shd w:val="clear" w:color="000000" w:fill="FFFFFF"/>
            <w:noWrap/>
            <w:vAlign w:val="center"/>
            <w:hideMark/>
          </w:tcPr>
          <w:p w14:paraId="3C9F7D0E" w14:textId="77777777" w:rsidR="00AA19A4" w:rsidRPr="009D0E05" w:rsidRDefault="00AA19A4" w:rsidP="009D0E05">
            <w:pPr>
              <w:spacing w:before="0" w:after="0"/>
              <w:jc w:val="center"/>
              <w:rPr>
                <w:rFonts w:eastAsia="Times New Roman" w:cs="Times New Roman"/>
                <w:i/>
                <w:iCs/>
                <w:sz w:val="22"/>
                <w:lang w:eastAsia="ja-JP"/>
              </w:rPr>
            </w:pPr>
            <w:r w:rsidRPr="009D0E05">
              <w:rPr>
                <w:rFonts w:eastAsia="Times New Roman" w:cs="Times New Roman"/>
                <w:i/>
                <w:iCs/>
                <w:sz w:val="22"/>
                <w:lang w:eastAsia="ja-JP"/>
              </w:rPr>
              <w:t>0.03</w:t>
            </w:r>
          </w:p>
        </w:tc>
        <w:tc>
          <w:tcPr>
            <w:tcW w:w="1080" w:type="dxa"/>
            <w:tcBorders>
              <w:top w:val="nil"/>
              <w:left w:val="nil"/>
              <w:bottom w:val="nil"/>
              <w:right w:val="nil"/>
            </w:tcBorders>
            <w:shd w:val="clear" w:color="000000" w:fill="FFFFFF"/>
            <w:noWrap/>
            <w:vAlign w:val="center"/>
            <w:hideMark/>
          </w:tcPr>
          <w:p w14:paraId="4D8D46F2" w14:textId="77777777" w:rsidR="00AA19A4" w:rsidRPr="009D0E05" w:rsidRDefault="00AA19A4" w:rsidP="009D0E05">
            <w:pPr>
              <w:spacing w:before="0" w:after="0"/>
              <w:jc w:val="center"/>
              <w:rPr>
                <w:rFonts w:eastAsia="Times New Roman" w:cs="Times New Roman"/>
                <w:i/>
                <w:iCs/>
                <w:sz w:val="22"/>
                <w:lang w:eastAsia="ja-JP"/>
              </w:rPr>
            </w:pPr>
            <w:r w:rsidRPr="009D0E05">
              <w:rPr>
                <w:rFonts w:eastAsia="Times New Roman" w:cs="Times New Roman"/>
                <w:i/>
                <w:iCs/>
                <w:sz w:val="22"/>
                <w:lang w:eastAsia="ja-JP"/>
              </w:rPr>
              <w:t>0.7</w:t>
            </w:r>
          </w:p>
        </w:tc>
        <w:tc>
          <w:tcPr>
            <w:tcW w:w="1080" w:type="dxa"/>
            <w:tcBorders>
              <w:top w:val="nil"/>
              <w:left w:val="nil"/>
              <w:bottom w:val="nil"/>
              <w:right w:val="nil"/>
            </w:tcBorders>
            <w:shd w:val="clear" w:color="000000" w:fill="FFFFFF"/>
            <w:noWrap/>
            <w:vAlign w:val="center"/>
            <w:hideMark/>
          </w:tcPr>
          <w:p w14:paraId="3FE788FB" w14:textId="77777777" w:rsidR="00AA19A4" w:rsidRPr="009D0E05" w:rsidRDefault="00AA19A4" w:rsidP="009D0E05">
            <w:pPr>
              <w:spacing w:before="0" w:after="0"/>
              <w:jc w:val="center"/>
              <w:rPr>
                <w:rFonts w:eastAsia="Times New Roman" w:cs="Times New Roman"/>
                <w:i/>
                <w:iCs/>
                <w:sz w:val="22"/>
                <w:lang w:eastAsia="ja-JP"/>
              </w:rPr>
            </w:pPr>
            <w:r w:rsidRPr="009D0E05">
              <w:rPr>
                <w:rFonts w:eastAsia="Times New Roman" w:cs="Times New Roman"/>
                <w:i/>
                <w:iCs/>
                <w:sz w:val="22"/>
                <w:lang w:eastAsia="ja-JP"/>
              </w:rPr>
              <w:t>0.1</w:t>
            </w:r>
          </w:p>
        </w:tc>
        <w:tc>
          <w:tcPr>
            <w:tcW w:w="990" w:type="dxa"/>
            <w:tcBorders>
              <w:top w:val="nil"/>
              <w:left w:val="nil"/>
              <w:bottom w:val="nil"/>
              <w:right w:val="nil"/>
            </w:tcBorders>
            <w:shd w:val="clear" w:color="000000" w:fill="FFFFFF"/>
            <w:noWrap/>
            <w:vAlign w:val="center"/>
            <w:hideMark/>
          </w:tcPr>
          <w:p w14:paraId="307EE192" w14:textId="77777777" w:rsidR="00AA19A4" w:rsidRPr="009D0E05" w:rsidRDefault="00AA19A4" w:rsidP="009D0E05">
            <w:pPr>
              <w:spacing w:before="0" w:after="0"/>
              <w:jc w:val="center"/>
              <w:rPr>
                <w:rFonts w:eastAsia="Times New Roman" w:cs="Times New Roman"/>
                <w:b/>
                <w:bCs/>
                <w:sz w:val="22"/>
                <w:lang w:eastAsia="ja-JP"/>
              </w:rPr>
            </w:pPr>
            <w:r w:rsidRPr="009D0E05">
              <w:rPr>
                <w:rFonts w:eastAsia="Times New Roman" w:cs="Times New Roman"/>
                <w:b/>
                <w:bCs/>
                <w:sz w:val="22"/>
                <w:lang w:eastAsia="ja-JP"/>
              </w:rPr>
              <w:t>14</w:t>
            </w:r>
          </w:p>
        </w:tc>
      </w:tr>
      <w:tr w:rsidR="00AA19A4" w:rsidRPr="009D0E05" w14:paraId="4F6DF574" w14:textId="77777777" w:rsidTr="00AA19A4">
        <w:trPr>
          <w:trHeight w:val="290"/>
          <w:jc w:val="center"/>
        </w:trPr>
        <w:tc>
          <w:tcPr>
            <w:tcW w:w="2340" w:type="dxa"/>
            <w:tcBorders>
              <w:top w:val="nil"/>
              <w:left w:val="nil"/>
              <w:bottom w:val="nil"/>
              <w:right w:val="nil"/>
            </w:tcBorders>
            <w:shd w:val="clear" w:color="000000" w:fill="FFFFFF"/>
            <w:noWrap/>
            <w:vAlign w:val="center"/>
            <w:hideMark/>
          </w:tcPr>
          <w:p w14:paraId="3CED26DE"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Station 12 - 200 m</w:t>
            </w:r>
          </w:p>
        </w:tc>
        <w:tc>
          <w:tcPr>
            <w:tcW w:w="1080" w:type="dxa"/>
            <w:tcBorders>
              <w:top w:val="nil"/>
              <w:left w:val="nil"/>
              <w:bottom w:val="nil"/>
              <w:right w:val="nil"/>
            </w:tcBorders>
            <w:shd w:val="clear" w:color="000000" w:fill="FFFFFF"/>
            <w:noWrap/>
            <w:vAlign w:val="center"/>
            <w:hideMark/>
          </w:tcPr>
          <w:p w14:paraId="70F8ED9C" w14:textId="77777777" w:rsidR="00AA19A4" w:rsidRPr="009D0E05" w:rsidRDefault="00AA19A4" w:rsidP="009D0E05">
            <w:pPr>
              <w:spacing w:before="0" w:after="0"/>
              <w:jc w:val="center"/>
              <w:rPr>
                <w:rFonts w:eastAsia="Times New Roman" w:cs="Times New Roman"/>
                <w:sz w:val="22"/>
                <w:lang w:eastAsia="ja-JP"/>
              </w:rPr>
            </w:pPr>
            <w:r w:rsidRPr="009D0E05">
              <w:rPr>
                <w:rFonts w:eastAsia="Times New Roman" w:cs="Times New Roman"/>
                <w:sz w:val="22"/>
                <w:lang w:eastAsia="ja-JP"/>
              </w:rPr>
              <w:t>1.1</w:t>
            </w:r>
          </w:p>
        </w:tc>
        <w:tc>
          <w:tcPr>
            <w:tcW w:w="1080" w:type="dxa"/>
            <w:tcBorders>
              <w:top w:val="nil"/>
              <w:left w:val="nil"/>
              <w:bottom w:val="nil"/>
              <w:right w:val="nil"/>
            </w:tcBorders>
            <w:shd w:val="clear" w:color="000000" w:fill="FFFFFF"/>
            <w:noWrap/>
            <w:vAlign w:val="center"/>
            <w:hideMark/>
          </w:tcPr>
          <w:p w14:paraId="2841B874" w14:textId="77777777" w:rsidR="00AA19A4" w:rsidRPr="009D0E05" w:rsidRDefault="00AA19A4" w:rsidP="009D0E05">
            <w:pPr>
              <w:spacing w:before="0" w:after="0"/>
              <w:jc w:val="center"/>
              <w:rPr>
                <w:rFonts w:eastAsia="Times New Roman" w:cs="Times New Roman"/>
                <w:i/>
                <w:iCs/>
                <w:sz w:val="22"/>
                <w:lang w:eastAsia="ja-JP"/>
              </w:rPr>
            </w:pPr>
            <w:r w:rsidRPr="009D0E05">
              <w:rPr>
                <w:rFonts w:eastAsia="Times New Roman" w:cs="Times New Roman"/>
                <w:i/>
                <w:iCs/>
                <w:sz w:val="22"/>
                <w:lang w:eastAsia="ja-JP"/>
              </w:rPr>
              <w:t>0.02</w:t>
            </w:r>
          </w:p>
        </w:tc>
        <w:tc>
          <w:tcPr>
            <w:tcW w:w="1170" w:type="dxa"/>
            <w:tcBorders>
              <w:top w:val="nil"/>
              <w:left w:val="nil"/>
              <w:bottom w:val="nil"/>
              <w:right w:val="nil"/>
            </w:tcBorders>
            <w:shd w:val="clear" w:color="000000" w:fill="FFFFFF"/>
            <w:noWrap/>
            <w:vAlign w:val="center"/>
            <w:hideMark/>
          </w:tcPr>
          <w:p w14:paraId="7C4E14F3" w14:textId="77777777" w:rsidR="00AA19A4" w:rsidRPr="009D0E05" w:rsidRDefault="00AA19A4" w:rsidP="009D0E05">
            <w:pPr>
              <w:spacing w:before="0" w:after="0"/>
              <w:jc w:val="center"/>
              <w:rPr>
                <w:rFonts w:eastAsia="Times New Roman" w:cs="Times New Roman"/>
                <w:i/>
                <w:iCs/>
                <w:sz w:val="22"/>
                <w:lang w:eastAsia="ja-JP"/>
              </w:rPr>
            </w:pPr>
            <w:r w:rsidRPr="009D0E05">
              <w:rPr>
                <w:rFonts w:eastAsia="Times New Roman" w:cs="Times New Roman"/>
                <w:i/>
                <w:iCs/>
                <w:sz w:val="22"/>
                <w:lang w:eastAsia="ja-JP"/>
              </w:rPr>
              <w:t>0.2</w:t>
            </w:r>
          </w:p>
        </w:tc>
        <w:tc>
          <w:tcPr>
            <w:tcW w:w="1080" w:type="dxa"/>
            <w:tcBorders>
              <w:top w:val="nil"/>
              <w:left w:val="nil"/>
              <w:bottom w:val="nil"/>
              <w:right w:val="nil"/>
            </w:tcBorders>
            <w:shd w:val="clear" w:color="000000" w:fill="FFFFFF"/>
            <w:noWrap/>
            <w:vAlign w:val="center"/>
            <w:hideMark/>
          </w:tcPr>
          <w:p w14:paraId="5A86B42C" w14:textId="77777777" w:rsidR="00AA19A4" w:rsidRPr="009D0E05" w:rsidRDefault="00AA19A4" w:rsidP="009D0E05">
            <w:pPr>
              <w:spacing w:before="0" w:after="0"/>
              <w:jc w:val="center"/>
              <w:rPr>
                <w:rFonts w:eastAsia="Times New Roman" w:cs="Times New Roman"/>
                <w:b/>
                <w:bCs/>
                <w:sz w:val="22"/>
                <w:lang w:eastAsia="ja-JP"/>
              </w:rPr>
            </w:pPr>
            <w:r w:rsidRPr="009D0E05">
              <w:rPr>
                <w:rFonts w:eastAsia="Times New Roman" w:cs="Times New Roman"/>
                <w:b/>
                <w:bCs/>
                <w:sz w:val="22"/>
                <w:lang w:eastAsia="ja-JP"/>
              </w:rPr>
              <w:t>6.1</w:t>
            </w:r>
          </w:p>
        </w:tc>
        <w:tc>
          <w:tcPr>
            <w:tcW w:w="1080" w:type="dxa"/>
            <w:tcBorders>
              <w:top w:val="nil"/>
              <w:left w:val="nil"/>
              <w:bottom w:val="nil"/>
              <w:right w:val="nil"/>
            </w:tcBorders>
            <w:shd w:val="clear" w:color="000000" w:fill="FFFFFF"/>
            <w:noWrap/>
            <w:vAlign w:val="center"/>
            <w:hideMark/>
          </w:tcPr>
          <w:p w14:paraId="7CBAEC99" w14:textId="77777777" w:rsidR="00AA19A4" w:rsidRPr="009D0E05" w:rsidRDefault="00AA19A4" w:rsidP="009D0E05">
            <w:pPr>
              <w:spacing w:before="0" w:after="0"/>
              <w:jc w:val="center"/>
              <w:rPr>
                <w:rFonts w:eastAsia="Times New Roman" w:cs="Times New Roman"/>
                <w:i/>
                <w:iCs/>
                <w:sz w:val="22"/>
                <w:lang w:eastAsia="ja-JP"/>
              </w:rPr>
            </w:pPr>
            <w:r w:rsidRPr="009D0E05">
              <w:rPr>
                <w:rFonts w:eastAsia="Times New Roman" w:cs="Times New Roman"/>
                <w:i/>
                <w:iCs/>
                <w:sz w:val="22"/>
                <w:lang w:eastAsia="ja-JP"/>
              </w:rPr>
              <w:t>0.1</w:t>
            </w:r>
          </w:p>
        </w:tc>
        <w:tc>
          <w:tcPr>
            <w:tcW w:w="990" w:type="dxa"/>
            <w:tcBorders>
              <w:top w:val="nil"/>
              <w:left w:val="nil"/>
              <w:bottom w:val="nil"/>
              <w:right w:val="nil"/>
            </w:tcBorders>
            <w:shd w:val="clear" w:color="000000" w:fill="FFFFFF"/>
            <w:noWrap/>
            <w:vAlign w:val="center"/>
            <w:hideMark/>
          </w:tcPr>
          <w:p w14:paraId="2A13AA03" w14:textId="77777777" w:rsidR="00AA19A4" w:rsidRPr="009D0E05" w:rsidRDefault="00AA19A4" w:rsidP="009D0E05">
            <w:pPr>
              <w:spacing w:before="0" w:after="0"/>
              <w:jc w:val="center"/>
              <w:rPr>
                <w:rFonts w:eastAsia="Times New Roman" w:cs="Times New Roman"/>
                <w:i/>
                <w:iCs/>
                <w:sz w:val="22"/>
                <w:lang w:eastAsia="ja-JP"/>
              </w:rPr>
            </w:pPr>
            <w:r w:rsidRPr="009D0E05">
              <w:rPr>
                <w:rFonts w:eastAsia="Times New Roman" w:cs="Times New Roman"/>
                <w:i/>
                <w:iCs/>
                <w:sz w:val="22"/>
                <w:lang w:eastAsia="ja-JP"/>
              </w:rPr>
              <w:t>0.2</w:t>
            </w:r>
          </w:p>
        </w:tc>
      </w:tr>
      <w:tr w:rsidR="00AA19A4" w:rsidRPr="009D0E05" w14:paraId="0B28349F" w14:textId="77777777" w:rsidTr="00AA19A4">
        <w:trPr>
          <w:trHeight w:val="400"/>
          <w:jc w:val="center"/>
        </w:trPr>
        <w:tc>
          <w:tcPr>
            <w:tcW w:w="2340" w:type="dxa"/>
            <w:tcBorders>
              <w:top w:val="nil"/>
              <w:left w:val="nil"/>
              <w:bottom w:val="single" w:sz="8" w:space="0" w:color="auto"/>
              <w:right w:val="nil"/>
            </w:tcBorders>
            <w:shd w:val="clear" w:color="000000" w:fill="FFFFFF"/>
            <w:noWrap/>
            <w:vAlign w:val="center"/>
            <w:hideMark/>
          </w:tcPr>
          <w:p w14:paraId="486E3E1A"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Station 12 - 1000 m</w:t>
            </w:r>
          </w:p>
        </w:tc>
        <w:tc>
          <w:tcPr>
            <w:tcW w:w="1080" w:type="dxa"/>
            <w:tcBorders>
              <w:top w:val="nil"/>
              <w:left w:val="nil"/>
              <w:bottom w:val="single" w:sz="8" w:space="0" w:color="auto"/>
              <w:right w:val="nil"/>
            </w:tcBorders>
            <w:shd w:val="clear" w:color="000000" w:fill="FFFFFF"/>
            <w:noWrap/>
            <w:vAlign w:val="center"/>
            <w:hideMark/>
          </w:tcPr>
          <w:p w14:paraId="485158EA" w14:textId="77777777" w:rsidR="00AA19A4" w:rsidRPr="009D0E05" w:rsidRDefault="00AA19A4" w:rsidP="009D0E05">
            <w:pPr>
              <w:spacing w:before="0" w:after="0"/>
              <w:jc w:val="center"/>
              <w:rPr>
                <w:rFonts w:eastAsia="Times New Roman" w:cs="Times New Roman"/>
                <w:b/>
                <w:bCs/>
                <w:sz w:val="22"/>
                <w:lang w:eastAsia="ja-JP"/>
              </w:rPr>
            </w:pPr>
            <w:r w:rsidRPr="009D0E05">
              <w:rPr>
                <w:rFonts w:eastAsia="Times New Roman" w:cs="Times New Roman"/>
                <w:b/>
                <w:bCs/>
                <w:sz w:val="22"/>
                <w:lang w:eastAsia="ja-JP"/>
              </w:rPr>
              <w:t>1.7</w:t>
            </w:r>
          </w:p>
        </w:tc>
        <w:tc>
          <w:tcPr>
            <w:tcW w:w="1080" w:type="dxa"/>
            <w:tcBorders>
              <w:top w:val="nil"/>
              <w:left w:val="nil"/>
              <w:bottom w:val="single" w:sz="8" w:space="0" w:color="auto"/>
              <w:right w:val="nil"/>
            </w:tcBorders>
            <w:shd w:val="clear" w:color="000000" w:fill="FFFFFF"/>
            <w:noWrap/>
            <w:vAlign w:val="center"/>
            <w:hideMark/>
          </w:tcPr>
          <w:p w14:paraId="1852378C" w14:textId="77777777" w:rsidR="00AA19A4" w:rsidRPr="009D0E05" w:rsidRDefault="00AA19A4" w:rsidP="009D0E05">
            <w:pPr>
              <w:spacing w:before="0" w:after="0"/>
              <w:jc w:val="center"/>
              <w:rPr>
                <w:rFonts w:eastAsia="Times New Roman" w:cs="Times New Roman"/>
                <w:i/>
                <w:iCs/>
                <w:sz w:val="22"/>
                <w:lang w:eastAsia="ja-JP"/>
              </w:rPr>
            </w:pPr>
            <w:r w:rsidRPr="009D0E05">
              <w:rPr>
                <w:rFonts w:eastAsia="Times New Roman" w:cs="Times New Roman"/>
                <w:i/>
                <w:iCs/>
                <w:sz w:val="22"/>
                <w:lang w:eastAsia="ja-JP"/>
              </w:rPr>
              <w:t>0.6</w:t>
            </w:r>
          </w:p>
        </w:tc>
        <w:tc>
          <w:tcPr>
            <w:tcW w:w="1170" w:type="dxa"/>
            <w:tcBorders>
              <w:top w:val="nil"/>
              <w:left w:val="nil"/>
              <w:bottom w:val="single" w:sz="8" w:space="0" w:color="auto"/>
              <w:right w:val="nil"/>
            </w:tcBorders>
            <w:shd w:val="clear" w:color="000000" w:fill="FFFFFF"/>
            <w:noWrap/>
            <w:vAlign w:val="center"/>
            <w:hideMark/>
          </w:tcPr>
          <w:p w14:paraId="2529B33A" w14:textId="77777777" w:rsidR="00AA19A4" w:rsidRPr="009D0E05" w:rsidRDefault="00AA19A4" w:rsidP="009D0E05">
            <w:pPr>
              <w:spacing w:before="0" w:after="0"/>
              <w:jc w:val="center"/>
              <w:rPr>
                <w:rFonts w:eastAsia="Times New Roman" w:cs="Times New Roman"/>
                <w:b/>
                <w:bCs/>
                <w:sz w:val="22"/>
                <w:lang w:eastAsia="ja-JP"/>
              </w:rPr>
            </w:pPr>
            <w:r w:rsidRPr="009D0E05">
              <w:rPr>
                <w:rFonts w:eastAsia="Times New Roman" w:cs="Times New Roman"/>
                <w:b/>
                <w:bCs/>
                <w:sz w:val="22"/>
                <w:lang w:eastAsia="ja-JP"/>
              </w:rPr>
              <w:t>2.0</w:t>
            </w:r>
          </w:p>
        </w:tc>
        <w:tc>
          <w:tcPr>
            <w:tcW w:w="1080" w:type="dxa"/>
            <w:tcBorders>
              <w:top w:val="nil"/>
              <w:left w:val="nil"/>
              <w:bottom w:val="single" w:sz="8" w:space="0" w:color="auto"/>
              <w:right w:val="nil"/>
            </w:tcBorders>
            <w:shd w:val="clear" w:color="000000" w:fill="FFFFFF"/>
            <w:noWrap/>
            <w:vAlign w:val="center"/>
            <w:hideMark/>
          </w:tcPr>
          <w:p w14:paraId="4BCD88D8" w14:textId="77777777" w:rsidR="00AA19A4" w:rsidRPr="009D0E05" w:rsidRDefault="00AA19A4" w:rsidP="009D0E05">
            <w:pPr>
              <w:spacing w:before="0" w:after="0"/>
              <w:jc w:val="center"/>
              <w:rPr>
                <w:rFonts w:eastAsia="Times New Roman" w:cs="Times New Roman"/>
                <w:b/>
                <w:bCs/>
                <w:sz w:val="22"/>
                <w:lang w:eastAsia="ja-JP"/>
              </w:rPr>
            </w:pPr>
            <w:r w:rsidRPr="009D0E05">
              <w:rPr>
                <w:rFonts w:eastAsia="Times New Roman" w:cs="Times New Roman"/>
                <w:b/>
                <w:bCs/>
                <w:sz w:val="22"/>
                <w:lang w:eastAsia="ja-JP"/>
              </w:rPr>
              <w:t>39</w:t>
            </w:r>
          </w:p>
        </w:tc>
        <w:tc>
          <w:tcPr>
            <w:tcW w:w="1080" w:type="dxa"/>
            <w:tcBorders>
              <w:top w:val="nil"/>
              <w:left w:val="nil"/>
              <w:bottom w:val="single" w:sz="8" w:space="0" w:color="auto"/>
              <w:right w:val="nil"/>
            </w:tcBorders>
            <w:shd w:val="clear" w:color="000000" w:fill="FFFFFF"/>
            <w:noWrap/>
            <w:vAlign w:val="center"/>
            <w:hideMark/>
          </w:tcPr>
          <w:p w14:paraId="270798F7" w14:textId="77777777" w:rsidR="00AA19A4" w:rsidRPr="009D0E05" w:rsidRDefault="00AA19A4" w:rsidP="009D0E05">
            <w:pPr>
              <w:spacing w:before="0" w:after="0"/>
              <w:jc w:val="center"/>
              <w:rPr>
                <w:rFonts w:eastAsia="Times New Roman" w:cs="Times New Roman"/>
                <w:b/>
                <w:bCs/>
                <w:sz w:val="22"/>
                <w:lang w:eastAsia="ja-JP"/>
              </w:rPr>
            </w:pPr>
            <w:r w:rsidRPr="009D0E05">
              <w:rPr>
                <w:rFonts w:eastAsia="Times New Roman" w:cs="Times New Roman"/>
                <w:b/>
                <w:bCs/>
                <w:sz w:val="22"/>
                <w:lang w:eastAsia="ja-JP"/>
              </w:rPr>
              <w:t>2.7</w:t>
            </w:r>
          </w:p>
        </w:tc>
        <w:tc>
          <w:tcPr>
            <w:tcW w:w="990" w:type="dxa"/>
            <w:tcBorders>
              <w:top w:val="nil"/>
              <w:left w:val="nil"/>
              <w:bottom w:val="single" w:sz="8" w:space="0" w:color="auto"/>
              <w:right w:val="nil"/>
            </w:tcBorders>
            <w:shd w:val="clear" w:color="000000" w:fill="FFFFFF"/>
            <w:noWrap/>
            <w:vAlign w:val="center"/>
            <w:hideMark/>
          </w:tcPr>
          <w:p w14:paraId="6984150B" w14:textId="77777777" w:rsidR="00AA19A4" w:rsidRPr="009D0E05" w:rsidRDefault="00AA19A4" w:rsidP="009D0E05">
            <w:pPr>
              <w:spacing w:before="0" w:after="0"/>
              <w:jc w:val="center"/>
              <w:rPr>
                <w:rFonts w:eastAsia="Times New Roman" w:cs="Times New Roman"/>
                <w:b/>
                <w:bCs/>
                <w:sz w:val="22"/>
                <w:lang w:eastAsia="ja-JP"/>
              </w:rPr>
            </w:pPr>
            <w:r w:rsidRPr="009D0E05">
              <w:rPr>
                <w:rFonts w:eastAsia="Times New Roman" w:cs="Times New Roman"/>
                <w:b/>
                <w:bCs/>
                <w:sz w:val="22"/>
                <w:lang w:eastAsia="ja-JP"/>
              </w:rPr>
              <w:t>1.6</w:t>
            </w:r>
          </w:p>
        </w:tc>
      </w:tr>
      <w:tr w:rsidR="00AA19A4" w:rsidRPr="009D0E05" w14:paraId="0CD8B492" w14:textId="77777777" w:rsidTr="00AA19A4">
        <w:trPr>
          <w:trHeight w:val="280"/>
          <w:jc w:val="center"/>
        </w:trPr>
        <w:tc>
          <w:tcPr>
            <w:tcW w:w="2340" w:type="dxa"/>
            <w:tcBorders>
              <w:top w:val="nil"/>
              <w:left w:val="nil"/>
              <w:bottom w:val="nil"/>
              <w:right w:val="nil"/>
            </w:tcBorders>
            <w:shd w:val="clear" w:color="000000" w:fill="FFFFFF"/>
            <w:noWrap/>
            <w:vAlign w:val="center"/>
            <w:hideMark/>
          </w:tcPr>
          <w:p w14:paraId="20776146"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Reference pelagic clays</w:t>
            </w:r>
          </w:p>
        </w:tc>
        <w:tc>
          <w:tcPr>
            <w:tcW w:w="1080" w:type="dxa"/>
            <w:tcBorders>
              <w:top w:val="nil"/>
              <w:left w:val="nil"/>
              <w:bottom w:val="nil"/>
              <w:right w:val="nil"/>
            </w:tcBorders>
            <w:shd w:val="clear" w:color="000000" w:fill="FFFFFF"/>
            <w:noWrap/>
            <w:vAlign w:val="center"/>
            <w:hideMark/>
          </w:tcPr>
          <w:p w14:paraId="1EDB8609"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5.9 ± 0.6</w:t>
            </w:r>
          </w:p>
        </w:tc>
        <w:tc>
          <w:tcPr>
            <w:tcW w:w="1080" w:type="dxa"/>
            <w:tcBorders>
              <w:top w:val="nil"/>
              <w:left w:val="nil"/>
              <w:bottom w:val="nil"/>
              <w:right w:val="nil"/>
            </w:tcBorders>
            <w:shd w:val="clear" w:color="000000" w:fill="FFFFFF"/>
            <w:noWrap/>
            <w:vAlign w:val="center"/>
            <w:hideMark/>
          </w:tcPr>
          <w:p w14:paraId="4CEB50D3"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1.1 ± 0.4</w:t>
            </w:r>
          </w:p>
        </w:tc>
        <w:tc>
          <w:tcPr>
            <w:tcW w:w="1170" w:type="dxa"/>
            <w:tcBorders>
              <w:top w:val="nil"/>
              <w:left w:val="nil"/>
              <w:bottom w:val="nil"/>
              <w:right w:val="nil"/>
            </w:tcBorders>
            <w:shd w:val="clear" w:color="000000" w:fill="FFFFFF"/>
            <w:noWrap/>
            <w:vAlign w:val="center"/>
            <w:hideMark/>
          </w:tcPr>
          <w:p w14:paraId="7A88826B"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469 ± 181</w:t>
            </w:r>
          </w:p>
        </w:tc>
        <w:tc>
          <w:tcPr>
            <w:tcW w:w="1080" w:type="dxa"/>
            <w:tcBorders>
              <w:top w:val="nil"/>
              <w:left w:val="nil"/>
              <w:bottom w:val="nil"/>
              <w:right w:val="nil"/>
            </w:tcBorders>
            <w:shd w:val="clear" w:color="000000" w:fill="FFFFFF"/>
            <w:noWrap/>
            <w:vAlign w:val="center"/>
            <w:hideMark/>
          </w:tcPr>
          <w:p w14:paraId="620045EB"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158 ± 12</w:t>
            </w:r>
          </w:p>
        </w:tc>
        <w:tc>
          <w:tcPr>
            <w:tcW w:w="1080" w:type="dxa"/>
            <w:tcBorders>
              <w:top w:val="nil"/>
              <w:left w:val="nil"/>
              <w:bottom w:val="nil"/>
              <w:right w:val="nil"/>
            </w:tcBorders>
            <w:shd w:val="clear" w:color="000000" w:fill="FFFFFF"/>
            <w:noWrap/>
            <w:vAlign w:val="center"/>
            <w:hideMark/>
          </w:tcPr>
          <w:p w14:paraId="3F873CBC"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196 ± 14</w:t>
            </w:r>
          </w:p>
        </w:tc>
        <w:tc>
          <w:tcPr>
            <w:tcW w:w="990" w:type="dxa"/>
            <w:tcBorders>
              <w:top w:val="nil"/>
              <w:left w:val="nil"/>
              <w:bottom w:val="nil"/>
              <w:right w:val="nil"/>
            </w:tcBorders>
            <w:shd w:val="clear" w:color="000000" w:fill="FFFFFF"/>
            <w:noWrap/>
            <w:vAlign w:val="center"/>
            <w:hideMark/>
          </w:tcPr>
          <w:p w14:paraId="4231D582" w14:textId="77777777" w:rsidR="00AA19A4" w:rsidRPr="009D0E05" w:rsidRDefault="00AA19A4" w:rsidP="009D0E05">
            <w:pPr>
              <w:spacing w:before="0" w:after="0"/>
              <w:jc w:val="center"/>
              <w:rPr>
                <w:rFonts w:eastAsia="Times New Roman" w:cs="Times New Roman"/>
                <w:color w:val="000000"/>
                <w:sz w:val="22"/>
                <w:lang w:eastAsia="ja-JP"/>
              </w:rPr>
            </w:pPr>
            <w:r w:rsidRPr="009D0E05">
              <w:rPr>
                <w:rFonts w:eastAsia="Times New Roman" w:cs="Times New Roman"/>
                <w:color w:val="000000"/>
                <w:sz w:val="22"/>
                <w:lang w:eastAsia="ja-JP"/>
              </w:rPr>
              <w:t>25 ± 1</w:t>
            </w:r>
          </w:p>
        </w:tc>
      </w:tr>
    </w:tbl>
    <w:p w14:paraId="27650EAF" w14:textId="52E84246" w:rsidR="00334591" w:rsidRPr="00334591" w:rsidRDefault="00334591" w:rsidP="00426E0D">
      <w:pPr>
        <w:pStyle w:val="NormalWeb"/>
        <w:spacing w:before="120" w:beforeAutospacing="0" w:after="240" w:afterAutospacing="0" w:line="276" w:lineRule="auto"/>
        <w:jc w:val="both"/>
        <w:rPr>
          <w:sz w:val="21"/>
          <w:szCs w:val="21"/>
          <w:lang w:eastAsia="ja-JP"/>
        </w:rPr>
      </w:pPr>
      <w:bookmarkStart w:id="17" w:name="_Hlk125559483"/>
      <w:r w:rsidRPr="00334591">
        <w:rPr>
          <w:i/>
          <w:iCs/>
          <w:sz w:val="21"/>
          <w:szCs w:val="21"/>
          <w:lang w:eastAsia="ja-JP"/>
        </w:rPr>
        <w:t>Note</w:t>
      </w:r>
      <w:r w:rsidRPr="00334591">
        <w:rPr>
          <w:sz w:val="21"/>
          <w:szCs w:val="21"/>
          <w:lang w:eastAsia="ja-JP"/>
        </w:rPr>
        <w:t xml:space="preserve">. </w:t>
      </w:r>
      <w:r w:rsidRPr="004D4F6E">
        <w:rPr>
          <w:color w:val="000000"/>
          <w:sz w:val="21"/>
          <w:szCs w:val="21"/>
          <w:lang w:eastAsia="ja-JP"/>
        </w:rPr>
        <w:t>Enrichments relative to Pacific Ocean pelagic clays (EF &gt; 1) are shown in bold while depletions relative to the reference (EF &lt; 1) are shown in italics. </w:t>
      </w:r>
      <w:r>
        <w:rPr>
          <w:sz w:val="21"/>
          <w:szCs w:val="21"/>
          <w:lang w:eastAsia="ja-JP"/>
        </w:rPr>
        <w:t>A</w:t>
      </w:r>
      <w:r w:rsidRPr="00334591">
        <w:rPr>
          <w:sz w:val="21"/>
          <w:szCs w:val="21"/>
          <w:lang w:eastAsia="ja-JP"/>
        </w:rPr>
        <w:t xml:space="preserve">verage concentrations and standard deviations (in </w:t>
      </w:r>
      <w:r>
        <w:rPr>
          <w:sz w:val="21"/>
          <w:szCs w:val="21"/>
          <w:lang w:eastAsia="ja-JP"/>
        </w:rPr>
        <w:t>wt.</w:t>
      </w:r>
      <w:r w:rsidRPr="00334591">
        <w:rPr>
          <w:sz w:val="21"/>
          <w:szCs w:val="21"/>
          <w:lang w:eastAsia="ja-JP"/>
        </w:rPr>
        <w:t>% for Fe, Mn</w:t>
      </w:r>
      <w:r w:rsidR="00AA19A4">
        <w:rPr>
          <w:sz w:val="21"/>
          <w:szCs w:val="21"/>
          <w:lang w:eastAsia="ja-JP"/>
        </w:rPr>
        <w:t xml:space="preserve"> </w:t>
      </w:r>
      <w:r w:rsidRPr="00334591">
        <w:rPr>
          <w:sz w:val="21"/>
          <w:szCs w:val="21"/>
          <w:lang w:eastAsia="ja-JP"/>
        </w:rPr>
        <w:t xml:space="preserve">and </w:t>
      </w:r>
      <w:r w:rsidR="00D766C5">
        <w:rPr>
          <w:sz w:val="21"/>
          <w:szCs w:val="21"/>
          <w:lang w:eastAsia="ja-JP"/>
        </w:rPr>
        <w:t>L</w:t>
      </w:r>
      <w:r w:rsidRPr="00334591">
        <w:rPr>
          <w:sz w:val="21"/>
          <w:szCs w:val="21"/>
          <w:lang w:eastAsia="ja-JP"/>
        </w:rPr>
        <w:t xml:space="preserve">Si </w:t>
      </w:r>
      <w:r w:rsidRPr="00990FEA">
        <w:rPr>
          <w:sz w:val="21"/>
          <w:szCs w:val="21"/>
          <w:lang w:eastAsia="ja-JP"/>
        </w:rPr>
        <w:t xml:space="preserve">and </w:t>
      </w:r>
      <w:r w:rsidR="00990FEA" w:rsidRPr="00990FEA">
        <w:rPr>
          <w:color w:val="000000"/>
          <w:sz w:val="21"/>
          <w:szCs w:val="21"/>
        </w:rPr>
        <w:t>ppm</w:t>
      </w:r>
      <w:r w:rsidRPr="00334591">
        <w:rPr>
          <w:sz w:val="21"/>
          <w:szCs w:val="21"/>
          <w:lang w:eastAsia="ja-JP"/>
        </w:rPr>
        <w:t xml:space="preserve"> for </w:t>
      </w:r>
      <w:r>
        <w:rPr>
          <w:sz w:val="21"/>
          <w:szCs w:val="21"/>
          <w:lang w:eastAsia="ja-JP"/>
        </w:rPr>
        <w:t>Cu, Zn and Ni</w:t>
      </w:r>
      <w:r w:rsidRPr="00334591">
        <w:rPr>
          <w:sz w:val="21"/>
          <w:szCs w:val="21"/>
          <w:lang w:eastAsia="ja-JP"/>
        </w:rPr>
        <w:t xml:space="preserve">) within several reference pelagic clays (from </w:t>
      </w:r>
      <w:r>
        <w:rPr>
          <w:sz w:val="21"/>
          <w:szCs w:val="21"/>
          <w:lang w:eastAsia="ja-JP"/>
        </w:rPr>
        <w:fldChar w:fldCharType="begin"/>
      </w:r>
      <w:r w:rsidR="0025594D">
        <w:rPr>
          <w:sz w:val="21"/>
          <w:szCs w:val="21"/>
          <w:lang w:eastAsia="ja-JP"/>
        </w:rPr>
        <w:instrText xml:space="preserve"> ADDIN ZOTERO_ITEM CSL_CITATION {"citationID":"OMQEMTfN","properties":{"formattedCitation":"(Li and Schoonmaker, 2003; Sayles and Bischoff, 1973; Taylor and McLennan, 1985)","plainCitation":"(Li and Schoonmaker, 2003; Sayles and Bischoff, 1973; Taylor and McLennan, 1985)","dontUpdate":true,"noteIndex":0},"citationItems":[{"id":838,"uris":["http://zotero.org/users/local/01lnVYoF/items/P87ZQSZA"],"itemData":{"id":838,"type":"chapter","container-title":"Treatise on Geochemistry","ISBN":"978-0-08-043751-4","language":"en","note":"DOI: 10.1016/B0-08-043751-6/07088-2","page":"1-35","publisher":"Elsevier","source":"DOI.org (Crossref)","title":"Chemical Composition and Mineralogy of Marine Sediments","URL":"https://linkinghub.elsevier.com/retrieve/pii/B0080437516070882","author":[{"family":"Li","given":"Y.-H."},{"family":"Schoonmaker","given":"J.E."}],"accessed":{"date-parts":[["2022",7,11]]},"issued":{"date-parts":[["2003"]]}}},{"id":877,"uris":["http://zotero.org/users/local/01lnVYoF/items/XZK9B48G"],"itemData":{"id":877,"type":"article-journal","container-title":"Earth and Planetary Science Letters","DOI":"10.1016/0012-821X(73)90083-6","ISSN":"0012821X","issue":"3","journalAbbreviation":"Earth and Planetary Science Letters","language":"en","page":"330-336","source":"DOI.org (Crossref)","title":"Ferromanganoan sediments in the equatorial East Pacific","volume":"19","author":[{"family":"Sayles","given":"F.L."},{"family":"Bischoff","given":"James L."}],"issued":{"date-parts":[["1973",7]]}}},{"id":988,"uris":["http://zotero.org/users/local/01lnVYoF/items/7PBVFS8F"],"itemData":{"id":988,"type":"book","collection-number":"6","collection-title":"Geoscience texts","event-place":"Oxford","ISBN":"978-0-632-01148-3","number-of-pages":"312","publisher":"Blackwell","publisher-place":"Oxford","source":"K10plus ISBN","title":"The continental crust: its composition and evolution: an examination of the geochem. record preserved in sedimentary rocks","title-short":"The continental crust","author":[{"family":"Taylor","given":"Stuart Ross"},{"family":"McLennan","given":"Scott M."}],"issued":{"date-parts":[["1985"]]}}}],"schema":"https://github.com/citation-style-language/schema/raw/master/csl-citation.json"} </w:instrText>
      </w:r>
      <w:r>
        <w:rPr>
          <w:sz w:val="21"/>
          <w:szCs w:val="21"/>
          <w:lang w:eastAsia="ja-JP"/>
        </w:rPr>
        <w:fldChar w:fldCharType="separate"/>
      </w:r>
      <w:r w:rsidRPr="00334591">
        <w:rPr>
          <w:sz w:val="21"/>
        </w:rPr>
        <w:t>Li and Schoonmaker, 2003; Sayles and Bischoff, 1973; Taylor and McLennan, 1985)</w:t>
      </w:r>
      <w:r>
        <w:rPr>
          <w:sz w:val="21"/>
          <w:szCs w:val="21"/>
          <w:lang w:eastAsia="ja-JP"/>
        </w:rPr>
        <w:fldChar w:fldCharType="end"/>
      </w:r>
      <w:r w:rsidRPr="00334591">
        <w:rPr>
          <w:sz w:val="21"/>
          <w:szCs w:val="21"/>
          <w:lang w:eastAsia="ja-JP"/>
        </w:rPr>
        <w:t xml:space="preserve"> are shown </w:t>
      </w:r>
      <w:r w:rsidR="00B80BBB">
        <w:rPr>
          <w:sz w:val="21"/>
          <w:szCs w:val="21"/>
          <w:lang w:eastAsia="ja-JP"/>
        </w:rPr>
        <w:t>at the bottom</w:t>
      </w:r>
      <w:r w:rsidRPr="00334591">
        <w:rPr>
          <w:sz w:val="21"/>
          <w:szCs w:val="21"/>
          <w:lang w:eastAsia="ja-JP"/>
        </w:rPr>
        <w:t xml:space="preserve"> of the table.</w:t>
      </w:r>
      <w:r w:rsidR="00B80BBB" w:rsidRPr="00B80BBB">
        <w:rPr>
          <w:color w:val="000000"/>
        </w:rPr>
        <w:t xml:space="preserve"> </w:t>
      </w:r>
      <w:r w:rsidR="00B80BBB" w:rsidRPr="00B80BBB">
        <w:rPr>
          <w:color w:val="000000"/>
          <w:sz w:val="21"/>
          <w:szCs w:val="21"/>
        </w:rPr>
        <w:t>Note that the range of concentrations measured for each element in these references provides only a rough estimate of metal non-detrital enrichment in the material collected in this study. It may therefore over- or underestimate the magnitude of these enrichments.</w:t>
      </w:r>
    </w:p>
    <w:p w14:paraId="22908B15" w14:textId="1D1B067B" w:rsidR="00BD23D9" w:rsidRDefault="00452E08" w:rsidP="00BD23D9">
      <w:pPr>
        <w:spacing w:line="480" w:lineRule="auto"/>
        <w:jc w:val="both"/>
        <w:rPr>
          <w:rFonts w:eastAsia="Times New Roman" w:cs="Times New Roman"/>
          <w:szCs w:val="24"/>
          <w:lang w:eastAsia="en-GB"/>
        </w:rPr>
      </w:pPr>
      <w:bookmarkStart w:id="18" w:name="_Hlk125559589"/>
      <w:bookmarkEnd w:id="17"/>
      <w:r>
        <w:rPr>
          <w:i/>
          <w:iCs/>
          <w:szCs w:val="24"/>
        </w:rPr>
        <w:t>Elemental excess in s</w:t>
      </w:r>
      <w:r w:rsidR="000E367A" w:rsidRPr="00DE4A90">
        <w:rPr>
          <w:i/>
          <w:iCs/>
          <w:szCs w:val="24"/>
        </w:rPr>
        <w:t>eafloor sediments</w:t>
      </w:r>
      <w:r w:rsidR="000E367A" w:rsidRPr="00DE4A90">
        <w:rPr>
          <w:szCs w:val="24"/>
        </w:rPr>
        <w:t xml:space="preserve">. </w:t>
      </w:r>
      <w:r w:rsidR="00BD23D9">
        <w:rPr>
          <w:rFonts w:eastAsiaTheme="minorEastAsia"/>
        </w:rPr>
        <w:t xml:space="preserve">For seafloor sediments, metal excess relative to reference pelagic clay composition was determined by correcting </w:t>
      </w:r>
      <w:r w:rsidR="00BD23D9">
        <w:rPr>
          <w:rFonts w:eastAsia="Times New Roman" w:cs="Times New Roman"/>
          <w:szCs w:val="24"/>
          <w:lang w:eastAsia="en-GB"/>
        </w:rPr>
        <w:t>[E]</w:t>
      </w:r>
      <w:r w:rsidR="00BD23D9" w:rsidRPr="00E92CBE">
        <w:rPr>
          <w:rFonts w:eastAsia="Times New Roman" w:cs="Times New Roman"/>
          <w:szCs w:val="24"/>
          <w:vertAlign w:val="subscript"/>
          <w:lang w:eastAsia="en-GB"/>
        </w:rPr>
        <w:t>cfb</w:t>
      </w:r>
      <w:r w:rsidR="00BD23D9">
        <w:rPr>
          <w:rFonts w:eastAsia="Times New Roman" w:cs="Times New Roman"/>
          <w:szCs w:val="24"/>
          <w:lang w:eastAsia="en-GB"/>
        </w:rPr>
        <w:t xml:space="preserve"> for detrital inputs (</w:t>
      </w:r>
      <w:r w:rsidR="00BD23D9">
        <w:rPr>
          <w:rFonts w:eastAsia="Times New Roman" w:cs="Times New Roman"/>
          <w:szCs w:val="24"/>
          <w:lang w:eastAsia="en-GB"/>
        </w:rPr>
        <w:fldChar w:fldCharType="begin"/>
      </w:r>
      <w:r w:rsidR="00BD23D9">
        <w:rPr>
          <w:rFonts w:eastAsia="Times New Roman" w:cs="Times New Roman"/>
          <w:szCs w:val="24"/>
          <w:lang w:eastAsia="en-GB"/>
        </w:rPr>
        <w:instrText xml:space="preserve"> ADDIN ZOTERO_ITEM CSL_CITATION {"citationID":"72SOiB2t","properties":{"formattedCitation":"(German et al., 1997)","plainCitation":"(German et al., 1997)","dontUpdate":true,"noteIndex":0},"citationItems":[{"id":946,"uris":["http://zotero.org/users/local/01lnVYoF/items/3Z8AXS2B"],"itemData":{"id":946,"type":"article-journal","container-title":"Geochimica et Cosmochimica Acta","DOI":"10.1016/S0016-7037(97)00230-5","ISSN":"00167037","issue":"19","journalAbbreviation":"Geochimica et Cosmochimica Acta","language":"en","page":"4067-4078","source":"DOI.org (Crossref)","title":"Hydrothermal scavenging on the Juan de Fuca Ridge: 23OThxs, 10Be, and REEs in ridge-flank sediments","title-short":"Hydrothermal scavenging on the Juan de Fuca Ridge","volume":"61","author":[{"family":"German","given":"C.R."},{"family":"Bourlés","given":"D.L."},{"family":"Brown","given":"E.T."},{"family":"Hergt","given":"J."},{"family":"Colley","given":"S."},{"family":"Higgs","given":"N.C."},{"family":"Ludford","given":"E.M."},{"family":"Nelsen","given":"T.A."},{"family":"Feely","given":"R.A."},{"family":"Raisbeck","given":"G."},{"family":"Yiou","given":"F."}],"issued":{"date-parts":[["1997",10]]}}}],"schema":"https://github.com/citation-style-language/schema/raw/master/csl-citation.json"} </w:instrText>
      </w:r>
      <w:r w:rsidR="00BD23D9">
        <w:rPr>
          <w:rFonts w:eastAsia="Times New Roman" w:cs="Times New Roman"/>
          <w:szCs w:val="24"/>
          <w:lang w:eastAsia="en-GB"/>
        </w:rPr>
        <w:fldChar w:fldCharType="separate"/>
      </w:r>
      <w:r w:rsidR="00BD23D9" w:rsidRPr="009D53C9">
        <w:rPr>
          <w:rFonts w:cs="Times New Roman"/>
        </w:rPr>
        <w:t>German et al.</w:t>
      </w:r>
      <w:r w:rsidR="00BD23D9">
        <w:rPr>
          <w:rFonts w:cs="Times New Roman"/>
        </w:rPr>
        <w:t xml:space="preserve">, </w:t>
      </w:r>
      <w:r w:rsidR="00BD23D9" w:rsidRPr="009D53C9">
        <w:rPr>
          <w:rFonts w:cs="Times New Roman"/>
        </w:rPr>
        <w:t>1997)</w:t>
      </w:r>
      <w:r w:rsidR="00BD23D9">
        <w:rPr>
          <w:rFonts w:eastAsia="Times New Roman" w:cs="Times New Roman"/>
          <w:szCs w:val="24"/>
          <w:lang w:eastAsia="en-GB"/>
        </w:rPr>
        <w:fldChar w:fldCharType="end"/>
      </w:r>
      <w:r w:rsidR="00BD23D9">
        <w:rPr>
          <w:rFonts w:eastAsia="Times New Roman" w:cs="Times New Roman"/>
          <w:szCs w:val="24"/>
          <w:lang w:eastAsia="en-GB"/>
        </w:rPr>
        <w:t xml:space="preserve"> assuming that this reference material was representative of a deep-sea detrital end-member. Detrital concentrations of each element were calculated according to:</w:t>
      </w:r>
    </w:p>
    <w:p w14:paraId="1E34612C" w14:textId="77777777" w:rsidR="00BD23D9" w:rsidRDefault="00B21FD9" w:rsidP="00BD23D9">
      <w:pPr>
        <w:spacing w:line="480" w:lineRule="auto"/>
        <w:jc w:val="both"/>
        <w:rPr>
          <w:rFonts w:eastAsia="Times New Roman" w:cs="Times New Roman"/>
          <w:szCs w:val="24"/>
          <w:lang w:eastAsia="en-GB"/>
        </w:rPr>
      </w:pPr>
      <m:oMathPara>
        <m:oMath>
          <m:eqArr>
            <m:eqArrPr>
              <m:maxDist m:val="1"/>
              <m:ctrlPr>
                <w:rPr>
                  <w:rFonts w:ascii="Cambria Math" w:eastAsia="Times New Roman" w:hAnsi="Cambria Math" w:cs="Times New Roman"/>
                  <w:i/>
                  <w:szCs w:val="24"/>
                  <w:lang w:eastAsia="en-GB"/>
                </w:rPr>
              </m:ctrlPr>
            </m:eqArrPr>
            <m:e>
              <m:sSub>
                <m:sSubPr>
                  <m:ctrlPr>
                    <w:rPr>
                      <w:rFonts w:ascii="Cambria Math" w:eastAsia="Times New Roman" w:hAnsi="Cambria Math" w:cs="Times New Roman"/>
                      <w:i/>
                      <w:szCs w:val="24"/>
                      <w:lang w:eastAsia="en-GB"/>
                    </w:rPr>
                  </m:ctrlPr>
                </m:sSubPr>
                <m:e>
                  <m:d>
                    <m:dPr>
                      <m:begChr m:val="["/>
                      <m:endChr m:val="]"/>
                      <m:ctrlPr>
                        <w:rPr>
                          <w:rFonts w:ascii="Cambria Math" w:eastAsia="Times New Roman" w:hAnsi="Cambria Math" w:cs="Times New Roman"/>
                          <w:i/>
                          <w:szCs w:val="24"/>
                          <w:lang w:eastAsia="en-GB"/>
                        </w:rPr>
                      </m:ctrlPr>
                    </m:dPr>
                    <m:e>
                      <m:r>
                        <w:rPr>
                          <w:rFonts w:ascii="Cambria Math" w:eastAsia="Times New Roman" w:hAnsi="Cambria Math" w:cs="Times New Roman"/>
                          <w:szCs w:val="24"/>
                          <w:lang w:eastAsia="en-GB"/>
                        </w:rPr>
                        <m:t>E</m:t>
                      </m:r>
                    </m:e>
                  </m:d>
                </m:e>
                <m:sub>
                  <m:r>
                    <w:rPr>
                      <w:rFonts w:ascii="Cambria Math" w:eastAsia="Times New Roman" w:hAnsi="Cambria Math" w:cs="Times New Roman"/>
                      <w:szCs w:val="24"/>
                      <w:lang w:eastAsia="en-GB"/>
                    </w:rPr>
                    <m:t>det</m:t>
                  </m:r>
                </m:sub>
              </m:sSub>
              <m:r>
                <w:rPr>
                  <w:rFonts w:ascii="Cambria Math" w:eastAsia="Times New Roman" w:hAnsi="Cambria Math" w:cs="Times New Roman"/>
                  <w:szCs w:val="24"/>
                  <w:lang w:eastAsia="en-GB"/>
                </w:rPr>
                <m:t xml:space="preserve">= </m:t>
              </m:r>
              <m:sSub>
                <m:sSubPr>
                  <m:ctrlPr>
                    <w:rPr>
                      <w:rFonts w:ascii="Cambria Math" w:eastAsia="Times New Roman" w:hAnsi="Cambria Math" w:cs="Times New Roman"/>
                      <w:i/>
                      <w:szCs w:val="24"/>
                      <w:lang w:eastAsia="en-GB"/>
                    </w:rPr>
                  </m:ctrlPr>
                </m:sSubPr>
                <m:e>
                  <m:d>
                    <m:dPr>
                      <m:begChr m:val="["/>
                      <m:endChr m:val="]"/>
                      <m:ctrlPr>
                        <w:rPr>
                          <w:rFonts w:ascii="Cambria Math" w:eastAsia="Times New Roman" w:hAnsi="Cambria Math" w:cs="Times New Roman"/>
                          <w:i/>
                          <w:szCs w:val="24"/>
                          <w:lang w:eastAsia="en-GB"/>
                        </w:rPr>
                      </m:ctrlPr>
                    </m:dPr>
                    <m:e>
                      <m:r>
                        <w:rPr>
                          <w:rFonts w:ascii="Cambria Math" w:eastAsia="Times New Roman" w:hAnsi="Cambria Math" w:cs="Times New Roman"/>
                          <w:szCs w:val="24"/>
                          <w:lang w:eastAsia="en-GB"/>
                        </w:rPr>
                        <m:t>Al</m:t>
                      </m:r>
                    </m:e>
                  </m:d>
                </m:e>
                <m:sub>
                  <m:r>
                    <w:rPr>
                      <w:rFonts w:ascii="Cambria Math" w:eastAsia="Times New Roman" w:hAnsi="Cambria Math" w:cs="Times New Roman"/>
                      <w:szCs w:val="24"/>
                      <w:lang w:eastAsia="en-GB"/>
                    </w:rPr>
                    <m:t>cfb</m:t>
                  </m:r>
                </m:sub>
              </m:sSub>
              <m:r>
                <w:rPr>
                  <w:rFonts w:ascii="Cambria Math" w:eastAsia="Times New Roman" w:hAnsi="Cambria Math" w:cs="Times New Roman"/>
                  <w:szCs w:val="24"/>
                  <w:lang w:eastAsia="en-GB"/>
                </w:rPr>
                <m:t xml:space="preserve">* </m:t>
              </m:r>
              <m:f>
                <m:fPr>
                  <m:ctrlPr>
                    <w:rPr>
                      <w:rFonts w:ascii="Cambria Math" w:eastAsia="Times New Roman" w:hAnsi="Cambria Math" w:cs="Times New Roman"/>
                      <w:i/>
                      <w:szCs w:val="24"/>
                      <w:lang w:eastAsia="en-GB"/>
                    </w:rPr>
                  </m:ctrlPr>
                </m:fPr>
                <m:num>
                  <m:sSub>
                    <m:sSubPr>
                      <m:ctrlPr>
                        <w:rPr>
                          <w:rFonts w:ascii="Cambria Math" w:eastAsia="Times New Roman" w:hAnsi="Cambria Math" w:cs="Times New Roman"/>
                          <w:i/>
                          <w:szCs w:val="24"/>
                          <w:lang w:eastAsia="en-GB"/>
                        </w:rPr>
                      </m:ctrlPr>
                    </m:sSubPr>
                    <m:e>
                      <m:d>
                        <m:dPr>
                          <m:begChr m:val="["/>
                          <m:endChr m:val="]"/>
                          <m:ctrlPr>
                            <w:rPr>
                              <w:rFonts w:ascii="Cambria Math" w:eastAsia="Times New Roman" w:hAnsi="Cambria Math" w:cs="Times New Roman"/>
                              <w:i/>
                              <w:szCs w:val="24"/>
                              <w:lang w:eastAsia="en-GB"/>
                            </w:rPr>
                          </m:ctrlPr>
                        </m:dPr>
                        <m:e>
                          <m:r>
                            <w:rPr>
                              <w:rFonts w:ascii="Cambria Math" w:eastAsia="Times New Roman" w:hAnsi="Cambria Math" w:cs="Times New Roman"/>
                              <w:szCs w:val="24"/>
                              <w:lang w:eastAsia="en-GB"/>
                            </w:rPr>
                            <m:t>E</m:t>
                          </m:r>
                        </m:e>
                      </m:d>
                    </m:e>
                    <m:sub>
                      <m:r>
                        <w:rPr>
                          <w:rFonts w:ascii="Cambria Math" w:eastAsia="Times New Roman" w:hAnsi="Cambria Math" w:cs="Times New Roman"/>
                          <w:szCs w:val="24"/>
                          <w:lang w:eastAsia="en-GB"/>
                        </w:rPr>
                        <m:t>pc</m:t>
                      </m:r>
                    </m:sub>
                  </m:sSub>
                </m:num>
                <m:den>
                  <m:sSub>
                    <m:sSubPr>
                      <m:ctrlPr>
                        <w:rPr>
                          <w:rFonts w:ascii="Cambria Math" w:eastAsia="Times New Roman" w:hAnsi="Cambria Math" w:cs="Times New Roman"/>
                          <w:i/>
                          <w:szCs w:val="24"/>
                          <w:lang w:eastAsia="en-GB"/>
                        </w:rPr>
                      </m:ctrlPr>
                    </m:sSubPr>
                    <m:e>
                      <m:d>
                        <m:dPr>
                          <m:begChr m:val="["/>
                          <m:endChr m:val="]"/>
                          <m:ctrlPr>
                            <w:rPr>
                              <w:rFonts w:ascii="Cambria Math" w:eastAsia="Times New Roman" w:hAnsi="Cambria Math" w:cs="Times New Roman"/>
                              <w:i/>
                              <w:szCs w:val="24"/>
                              <w:lang w:eastAsia="en-GB"/>
                            </w:rPr>
                          </m:ctrlPr>
                        </m:dPr>
                        <m:e>
                          <m:r>
                            <w:rPr>
                              <w:rFonts w:ascii="Cambria Math" w:eastAsia="Times New Roman" w:hAnsi="Cambria Math" w:cs="Times New Roman"/>
                              <w:szCs w:val="24"/>
                              <w:lang w:eastAsia="en-GB"/>
                            </w:rPr>
                            <m:t>Al</m:t>
                          </m:r>
                        </m:e>
                      </m:d>
                    </m:e>
                    <m:sub>
                      <m:r>
                        <w:rPr>
                          <w:rFonts w:ascii="Cambria Math" w:eastAsia="Times New Roman" w:hAnsi="Cambria Math" w:cs="Times New Roman"/>
                          <w:szCs w:val="24"/>
                          <w:lang w:eastAsia="en-GB"/>
                        </w:rPr>
                        <m:t>pc</m:t>
                      </m:r>
                    </m:sub>
                  </m:sSub>
                </m:den>
              </m:f>
              <m:r>
                <w:rPr>
                  <w:rFonts w:ascii="Cambria Math" w:eastAsia="Times New Roman" w:hAnsi="Cambria Math" w:cs="Times New Roman"/>
                  <w:szCs w:val="24"/>
                  <w:lang w:eastAsia="en-GB"/>
                </w:rPr>
                <m:t xml:space="preserve"> #</m:t>
              </m:r>
              <m:d>
                <m:dPr>
                  <m:ctrlPr>
                    <w:rPr>
                      <w:rFonts w:ascii="Cambria Math" w:eastAsia="Times New Roman" w:hAnsi="Cambria Math" w:cs="Times New Roman"/>
                      <w:i/>
                      <w:szCs w:val="24"/>
                      <w:lang w:eastAsia="en-GB"/>
                    </w:rPr>
                  </m:ctrlPr>
                </m:dPr>
                <m:e>
                  <m:r>
                    <w:rPr>
                      <w:rFonts w:ascii="Cambria Math" w:eastAsia="Times New Roman" w:hAnsi="Cambria Math" w:cs="Times New Roman"/>
                      <w:szCs w:val="24"/>
                      <w:lang w:eastAsia="en-GB"/>
                    </w:rPr>
                    <m:t>4</m:t>
                  </m:r>
                </m:e>
              </m:d>
            </m:e>
          </m:eqArr>
        </m:oMath>
      </m:oMathPara>
    </w:p>
    <w:p w14:paraId="5A80A5D5" w14:textId="1DB7C7F7" w:rsidR="00BD23D9" w:rsidRDefault="00BD23D9" w:rsidP="00BD23D9">
      <w:pPr>
        <w:spacing w:line="480" w:lineRule="auto"/>
        <w:jc w:val="both"/>
        <w:rPr>
          <w:rFonts w:eastAsiaTheme="minorEastAsia"/>
          <w:i/>
          <w:iCs/>
        </w:rPr>
      </w:pPr>
      <w:r>
        <w:rPr>
          <w:rFonts w:eastAsia="Times New Roman" w:cs="Times New Roman"/>
          <w:szCs w:val="24"/>
          <w:lang w:eastAsia="en-GB"/>
        </w:rPr>
        <w:lastRenderedPageBreak/>
        <w:t xml:space="preserve">It is important to note that this calculation assumes that all sedimentary Al originates from detrital material. However, sedimentary Al concentrations could originate from both hydrothermal and detrital sources </w:t>
      </w:r>
      <w:r>
        <w:rPr>
          <w:rFonts w:eastAsia="Times New Roman" w:cs="Times New Roman"/>
          <w:szCs w:val="24"/>
          <w:lang w:eastAsia="en-GB"/>
        </w:rPr>
        <w:fldChar w:fldCharType="begin"/>
      </w:r>
      <w:r>
        <w:rPr>
          <w:rFonts w:eastAsia="Times New Roman" w:cs="Times New Roman"/>
          <w:szCs w:val="24"/>
          <w:lang w:eastAsia="en-GB"/>
        </w:rPr>
        <w:instrText xml:space="preserve"> ADDIN ZOTERO_ITEM CSL_CITATION {"citationID":"kQyGqSV0","properties":{"formattedCitation":"(Massoth et al., 1998; Resing and Sansone, 1999; Von Damm, 1990)","plainCitation":"(Massoth et al., 1998; Resing and Sansone, 1999; Von Damm, 1990)","noteIndex":0},"citationItems":[{"id":621,"uris":["http://zotero.org/users/local/01lnVYoF/items/5R77ADDB"],"itemData":{"id":621,"type":"article-journal","container-title":"Deep Sea Research Part II: Topical Studies in Oceanography","DOI":"10.1016/S0967-0645(98)00089-7","ISSN":"09670645","issue":"12","journalAbbreviation":"Deep Sea Research Part II: Topical Studies in Oceanography","language":"en","page":"2683-2712","source":"DOI.org (Crossref)","title":"Manganese and iron in hydrothermal plumes resulting from the 1996 Gorda Ridge Event","volume":"45","author":[{"family":"Massoth","given":"Gary J."},{"family":"Baker","given":"Edward T."},{"family":"Feely","given":"Richard A."},{"family":"Lupton","given":"John E."},{"family":"Collier","given":"Robert W."},{"family":"Gendron","given":"James F."},{"family":"Roe","given":"Kevin K."},{"family":"Maenner","given":"Stacy M."},{"family":"Resing","given":"Joseph A."}],"issued":{"date-parts":[["1998",12]]}}},{"id":1408,"uris":["http://zotero.org/users/local/01lnVYoF/items/L25VGBAQ"],"itemData":{"id":1408,"type":"article-journal","container-title":"Geochimica et Cosmochimica Acta","DOI":"10.1016/S0016-7037(99)00193-3","ISSN":"00167037","issue":"15","journalAbbreviation":"Geochimica et Cosmochimica Acta","language":"en","page":"2183-2198","source":"DOI.org (Crossref)","title":"The chemistry of lava–seawater interactions: the generation of acidity","title-short":"The chemistry of lava–seawater interactions","volume":"63","author":[{"family":"Resing","given":"Joseph A."},{"family":"Sansone","given":"Francis J."}],"issued":{"date-parts":[["1999",8]]}}},{"id":380,"uris":["http://zotero.org/users/local/01lnVYoF/items/TQVYHCFW"],"itemData":{"id":380,"type":"article-journal","container-title":"Annual Review of Earth and Planetary Sciences","issue":"1","page":"173-204","title":"Seafloor hydrothermal activity: black smoker chemistry and chimneys","volume":"18","author":[{"family":"Von Damm","given":"K.L."}],"issued":{"date-parts":[["1990"]]}}}],"schema":"https://github.com/citation-style-language/schema/raw/master/csl-citation.json"} </w:instrText>
      </w:r>
      <w:r>
        <w:rPr>
          <w:rFonts w:eastAsia="Times New Roman" w:cs="Times New Roman"/>
          <w:szCs w:val="24"/>
          <w:lang w:eastAsia="en-GB"/>
        </w:rPr>
        <w:fldChar w:fldCharType="separate"/>
      </w:r>
      <w:r w:rsidRPr="00E3529B">
        <w:rPr>
          <w:rFonts w:cs="Times New Roman"/>
        </w:rPr>
        <w:t>(Massoth et al., 1998; Resing and Sansone, 1999; Von Damm, 1990)</w:t>
      </w:r>
      <w:r>
        <w:rPr>
          <w:rFonts w:eastAsia="Times New Roman" w:cs="Times New Roman"/>
          <w:szCs w:val="24"/>
          <w:lang w:eastAsia="en-GB"/>
        </w:rPr>
        <w:fldChar w:fldCharType="end"/>
      </w:r>
      <w:r>
        <w:rPr>
          <w:rFonts w:eastAsia="Times New Roman" w:cs="Times New Roman"/>
          <w:szCs w:val="24"/>
          <w:lang w:eastAsia="en-GB"/>
        </w:rPr>
        <w:t xml:space="preserve">. Consequently, Al </w:t>
      </w:r>
      <w:r w:rsidRPr="00A62CB6">
        <w:rPr>
          <w:rFonts w:eastAsia="Times New Roman" w:cs="Times New Roman"/>
          <w:i/>
          <w:iCs/>
          <w:szCs w:val="24"/>
          <w:lang w:eastAsia="en-GB"/>
        </w:rPr>
        <w:t>normalization</w:t>
      </w:r>
      <w:r>
        <w:rPr>
          <w:rFonts w:eastAsia="Times New Roman" w:cs="Times New Roman"/>
          <w:szCs w:val="24"/>
          <w:lang w:eastAsia="en-GB"/>
        </w:rPr>
        <w:t xml:space="preserve"> may have underestimated the extent of hydrothermal enrichment in our seafloor sediments </w:t>
      </w:r>
      <w:r>
        <w:rPr>
          <w:rFonts w:eastAsia="Times New Roman" w:cs="Times New Roman"/>
          <w:szCs w:val="24"/>
          <w:lang w:eastAsia="en-GB"/>
        </w:rPr>
        <w:fldChar w:fldCharType="begin"/>
      </w:r>
      <w:r>
        <w:rPr>
          <w:rFonts w:eastAsia="Times New Roman" w:cs="Times New Roman"/>
          <w:szCs w:val="24"/>
          <w:lang w:eastAsia="en-GB"/>
        </w:rPr>
        <w:instrText xml:space="preserve"> ADDIN ZOTERO_ITEM CSL_CITATION {"citationID":"OLt9wxSX","properties":{"formattedCitation":"(V. Chavagnac et al., 2008)","plainCitation":"(V. Chavagnac et al., 2008)","dontUpdate":true,"noteIndex":0},"citationItems":[{"id":893,"uris":["http://zotero.org/users/local/01lnVYoF/items/5UDSPWBG"],"itemData":{"id":893,"type":"article-journal","container-title":"Journal of Geophysical Research","DOI":"10.1029/2007JB005333","ISSN":"0148-0227","issue":"B6","journalAbbreviation":"J. Geophys. Res.","language":"en","page":"B06201","source":"DOI.org (Crossref)","title":"Global environmental effects of large volcanic eruptions on ocean chemistry: Evidence from “hydrothermal” sediments (ODP Leg 185, Site 1149B)","title-short":"Global environmental effects of large volcanic eruptions on ocean chemistry","volume":"113","author":[{"family":"Chavagnac","given":"V."},{"family":"German","given":"C. R."},{"family":"Taylor","given":"R. N."}],"issued":{"date-parts":[["2008",6,3]]}}}],"schema":"https://github.com/citation-style-language/schema/raw/master/csl-citation.json"} </w:instrText>
      </w:r>
      <w:r>
        <w:rPr>
          <w:rFonts w:eastAsia="Times New Roman" w:cs="Times New Roman"/>
          <w:szCs w:val="24"/>
          <w:lang w:eastAsia="en-GB"/>
        </w:rPr>
        <w:fldChar w:fldCharType="separate"/>
      </w:r>
      <w:r w:rsidRPr="000A2955">
        <w:rPr>
          <w:rFonts w:cs="Times New Roman"/>
        </w:rPr>
        <w:t>(Chavagnac et al., 2008)</w:t>
      </w:r>
      <w:r>
        <w:rPr>
          <w:rFonts w:eastAsia="Times New Roman" w:cs="Times New Roman"/>
          <w:szCs w:val="24"/>
          <w:lang w:eastAsia="en-GB"/>
        </w:rPr>
        <w:fldChar w:fldCharType="end"/>
      </w:r>
      <w:r>
        <w:rPr>
          <w:rFonts w:eastAsia="Times New Roman" w:cs="Times New Roman"/>
          <w:szCs w:val="24"/>
          <w:lang w:eastAsia="en-GB"/>
        </w:rPr>
        <w:t>. That fraction of non-detrital origin, denoted [E]</w:t>
      </w:r>
      <w:r w:rsidR="00A21D6B">
        <w:rPr>
          <w:rFonts w:eastAsia="Times New Roman" w:cs="Times New Roman"/>
          <w:szCs w:val="24"/>
          <w:vertAlign w:val="subscript"/>
          <w:lang w:eastAsia="en-GB"/>
        </w:rPr>
        <w:t>XS</w:t>
      </w:r>
      <w:r>
        <w:rPr>
          <w:rFonts w:eastAsia="Times New Roman" w:cs="Times New Roman"/>
          <w:szCs w:val="24"/>
          <w:lang w:eastAsia="en-GB"/>
        </w:rPr>
        <w:t>, was determined by subtracting [E]</w:t>
      </w:r>
      <w:r w:rsidRPr="00EC6270">
        <w:rPr>
          <w:rFonts w:eastAsia="Times New Roman" w:cs="Times New Roman"/>
          <w:szCs w:val="24"/>
          <w:vertAlign w:val="subscript"/>
          <w:lang w:eastAsia="en-GB"/>
        </w:rPr>
        <w:t>det</w:t>
      </w:r>
      <w:r>
        <w:rPr>
          <w:rFonts w:eastAsia="Times New Roman" w:cs="Times New Roman"/>
          <w:szCs w:val="24"/>
          <w:lang w:eastAsia="en-GB"/>
        </w:rPr>
        <w:t xml:space="preserve"> from [E]</w:t>
      </w:r>
      <w:r w:rsidRPr="00A62CB6">
        <w:rPr>
          <w:rFonts w:eastAsia="Times New Roman" w:cs="Times New Roman"/>
          <w:i/>
          <w:iCs/>
          <w:szCs w:val="24"/>
          <w:vertAlign w:val="subscript"/>
          <w:lang w:eastAsia="en-GB"/>
        </w:rPr>
        <w:t>cfb</w:t>
      </w:r>
      <w:r>
        <w:rPr>
          <w:rFonts w:eastAsia="Times New Roman" w:cs="Times New Roman"/>
          <w:szCs w:val="24"/>
          <w:lang w:eastAsia="en-GB"/>
        </w:rPr>
        <w:t>.</w:t>
      </w:r>
    </w:p>
    <w:p w14:paraId="5B797FAB" w14:textId="33C75AD0" w:rsidR="00801493" w:rsidRPr="00DE4A90" w:rsidRDefault="00BD23D9" w:rsidP="00D23535">
      <w:pPr>
        <w:spacing w:line="480" w:lineRule="auto"/>
        <w:jc w:val="both"/>
        <w:rPr>
          <w:szCs w:val="24"/>
        </w:rPr>
      </w:pPr>
      <w:r>
        <w:rPr>
          <w:color w:val="000000"/>
          <w:szCs w:val="24"/>
        </w:rPr>
        <w:t>S</w:t>
      </w:r>
      <w:r w:rsidR="00A15BCB" w:rsidRPr="00DE4A90">
        <w:rPr>
          <w:color w:val="000000"/>
          <w:szCs w:val="24"/>
        </w:rPr>
        <w:t>everal metals were in excess</w:t>
      </w:r>
      <w:r>
        <w:rPr>
          <w:color w:val="000000"/>
          <w:szCs w:val="24"/>
        </w:rPr>
        <w:t xml:space="preserve"> in the sampled sediments</w:t>
      </w:r>
      <w:r w:rsidR="00A15BCB" w:rsidRPr="00DE4A90">
        <w:rPr>
          <w:color w:val="000000"/>
          <w:szCs w:val="24"/>
        </w:rPr>
        <w:t xml:space="preserve"> relative to </w:t>
      </w:r>
      <w:r w:rsidR="00145698" w:rsidRPr="00DE4A90">
        <w:rPr>
          <w:color w:val="000000"/>
          <w:szCs w:val="24"/>
        </w:rPr>
        <w:t xml:space="preserve">the composition of </w:t>
      </w:r>
      <w:r w:rsidR="00A15BCB" w:rsidRPr="00DE4A90">
        <w:rPr>
          <w:color w:val="000000"/>
          <w:szCs w:val="24"/>
        </w:rPr>
        <w:t xml:space="preserve">reference pelagic </w:t>
      </w:r>
      <w:r>
        <w:rPr>
          <w:color w:val="000000"/>
          <w:szCs w:val="24"/>
        </w:rPr>
        <w:t>clay</w:t>
      </w:r>
      <w:r w:rsidR="00A15BCB" w:rsidRPr="00DE4A90">
        <w:rPr>
          <w:color w:val="000000"/>
          <w:szCs w:val="24"/>
        </w:rPr>
        <w:t xml:space="preserve">s </w:t>
      </w:r>
      <w:r w:rsidR="004D4F6E" w:rsidRPr="00DE4A90">
        <w:rPr>
          <w:color w:val="000000"/>
          <w:szCs w:val="24"/>
        </w:rPr>
        <w:t>of</w:t>
      </w:r>
      <w:r w:rsidR="000B51F5" w:rsidRPr="00DE4A90">
        <w:rPr>
          <w:color w:val="000000"/>
          <w:szCs w:val="24"/>
        </w:rPr>
        <w:t xml:space="preserve"> </w:t>
      </w:r>
      <w:r w:rsidR="00A15BCB" w:rsidRPr="00DE4A90">
        <w:rPr>
          <w:color w:val="000000"/>
          <w:szCs w:val="24"/>
        </w:rPr>
        <w:t>the Pacific (</w:t>
      </w:r>
      <w:r w:rsidR="00A15BCB" w:rsidRPr="00DE4A90">
        <w:rPr>
          <w:i/>
          <w:iCs/>
          <w:color w:val="000000"/>
          <w:szCs w:val="24"/>
        </w:rPr>
        <w:t>Fig. 3</w:t>
      </w:r>
      <w:r w:rsidR="00A15BCB" w:rsidRPr="00DE4A90">
        <w:rPr>
          <w:color w:val="000000"/>
          <w:szCs w:val="24"/>
        </w:rPr>
        <w:t>). At all depths, sediments showed marked Fe</w:t>
      </w:r>
      <w:r w:rsidR="00452E08" w:rsidRPr="00452E08">
        <w:rPr>
          <w:color w:val="000000"/>
          <w:szCs w:val="24"/>
          <w:vertAlign w:val="subscript"/>
        </w:rPr>
        <w:t>XS</w:t>
      </w:r>
      <w:r w:rsidR="00A15BCB" w:rsidRPr="00DE4A90">
        <w:rPr>
          <w:color w:val="000000"/>
          <w:szCs w:val="24"/>
        </w:rPr>
        <w:t xml:space="preserve">, </w:t>
      </w:r>
      <w:r w:rsidR="00B305B8" w:rsidRPr="00DE4A90">
        <w:rPr>
          <w:color w:val="000000"/>
          <w:szCs w:val="24"/>
        </w:rPr>
        <w:t>although</w:t>
      </w:r>
      <w:r w:rsidR="00A15BCB" w:rsidRPr="00DE4A90">
        <w:rPr>
          <w:color w:val="000000"/>
          <w:szCs w:val="24"/>
        </w:rPr>
        <w:t xml:space="preserve"> significantly lower at station 8 (</w:t>
      </w:r>
      <w:r w:rsidR="004D4F6E" w:rsidRPr="00DE4A90">
        <w:rPr>
          <w:color w:val="000000"/>
          <w:szCs w:val="24"/>
        </w:rPr>
        <w:t xml:space="preserve">on average </w:t>
      </w:r>
      <w:r w:rsidR="00A15BCB" w:rsidRPr="00DE4A90">
        <w:rPr>
          <w:color w:val="000000"/>
          <w:szCs w:val="24"/>
        </w:rPr>
        <w:t>~</w:t>
      </w:r>
      <w:r w:rsidR="00145698" w:rsidRPr="00DE4A90">
        <w:rPr>
          <w:color w:val="000000"/>
          <w:szCs w:val="24"/>
        </w:rPr>
        <w:t>3</w:t>
      </w:r>
      <w:r w:rsidR="00A15BCB" w:rsidRPr="00DE4A90">
        <w:rPr>
          <w:color w:val="000000"/>
          <w:szCs w:val="24"/>
        </w:rPr>
        <w:t xml:space="preserve"> wt.%</w:t>
      </w:r>
      <w:r w:rsidR="00452E08">
        <w:rPr>
          <w:color w:val="000000"/>
          <w:szCs w:val="24"/>
        </w:rPr>
        <w:t xml:space="preserve"> </w:t>
      </w:r>
      <w:r w:rsidR="00452E08" w:rsidRPr="00DE4A90">
        <w:rPr>
          <w:color w:val="000000"/>
          <w:szCs w:val="24"/>
        </w:rPr>
        <w:t>Fe</w:t>
      </w:r>
      <w:r w:rsidR="00452E08" w:rsidRPr="00452E08">
        <w:rPr>
          <w:color w:val="000000"/>
          <w:szCs w:val="24"/>
          <w:vertAlign w:val="subscript"/>
        </w:rPr>
        <w:t>XS</w:t>
      </w:r>
      <w:r w:rsidR="00A15BCB" w:rsidRPr="00DE4A90">
        <w:rPr>
          <w:color w:val="000000"/>
          <w:szCs w:val="24"/>
        </w:rPr>
        <w:t xml:space="preserve">, </w:t>
      </w:r>
      <w:r w:rsidR="00A15BCB" w:rsidRPr="00DE4A90">
        <w:rPr>
          <w:i/>
          <w:iCs/>
          <w:color w:val="000000"/>
          <w:szCs w:val="24"/>
        </w:rPr>
        <w:t>p</w:t>
      </w:r>
      <w:r w:rsidR="00A15BCB" w:rsidRPr="00DE4A90">
        <w:rPr>
          <w:color w:val="000000"/>
          <w:szCs w:val="24"/>
        </w:rPr>
        <w:t xml:space="preserve"> &lt; 0.05) </w:t>
      </w:r>
      <w:r w:rsidR="004D4F6E" w:rsidRPr="00DE4A90">
        <w:rPr>
          <w:color w:val="000000"/>
          <w:szCs w:val="24"/>
        </w:rPr>
        <w:t xml:space="preserve">than at stations located in the Lau Basin </w:t>
      </w:r>
      <w:r w:rsidR="00A15BCB" w:rsidRPr="00DE4A90">
        <w:rPr>
          <w:color w:val="000000"/>
          <w:szCs w:val="24"/>
        </w:rPr>
        <w:t>(up to ~5 wt.%</w:t>
      </w:r>
      <w:r w:rsidR="00452E08">
        <w:rPr>
          <w:color w:val="000000"/>
          <w:szCs w:val="24"/>
        </w:rPr>
        <w:t xml:space="preserve"> </w:t>
      </w:r>
      <w:r w:rsidR="00452E08" w:rsidRPr="00DE4A90">
        <w:rPr>
          <w:color w:val="000000"/>
          <w:szCs w:val="24"/>
        </w:rPr>
        <w:t>Fe</w:t>
      </w:r>
      <w:r w:rsidR="00452E08" w:rsidRPr="00452E08">
        <w:rPr>
          <w:color w:val="000000"/>
          <w:szCs w:val="24"/>
          <w:vertAlign w:val="subscript"/>
        </w:rPr>
        <w:t>XS</w:t>
      </w:r>
      <w:r w:rsidR="00A15BCB" w:rsidRPr="00DE4A90">
        <w:rPr>
          <w:color w:val="000000"/>
          <w:szCs w:val="24"/>
        </w:rPr>
        <w:t>). Significant Mn</w:t>
      </w:r>
      <w:r w:rsidR="00452E08" w:rsidRPr="00452E08">
        <w:rPr>
          <w:color w:val="000000"/>
          <w:szCs w:val="24"/>
          <w:vertAlign w:val="subscript"/>
        </w:rPr>
        <w:t>XS</w:t>
      </w:r>
      <w:r w:rsidR="00A15BCB" w:rsidRPr="00DE4A90">
        <w:rPr>
          <w:color w:val="000000"/>
          <w:szCs w:val="24"/>
        </w:rPr>
        <w:t xml:space="preserve"> (~</w:t>
      </w:r>
      <w:r w:rsidR="00145698" w:rsidRPr="00DE4A90">
        <w:rPr>
          <w:color w:val="000000"/>
          <w:szCs w:val="24"/>
        </w:rPr>
        <w:t>2</w:t>
      </w:r>
      <w:r w:rsidR="00A15BCB" w:rsidRPr="00DE4A90">
        <w:rPr>
          <w:color w:val="000000"/>
          <w:szCs w:val="24"/>
        </w:rPr>
        <w:t>-18 wt.%) and Cu</w:t>
      </w:r>
      <w:r w:rsidR="00452E08" w:rsidRPr="00452E08">
        <w:rPr>
          <w:color w:val="000000"/>
          <w:szCs w:val="24"/>
          <w:vertAlign w:val="subscript"/>
        </w:rPr>
        <w:t>XS</w:t>
      </w:r>
      <w:r w:rsidR="00A15BCB" w:rsidRPr="00DE4A90">
        <w:rPr>
          <w:color w:val="000000"/>
          <w:szCs w:val="24"/>
        </w:rPr>
        <w:t xml:space="preserve"> (~</w:t>
      </w:r>
      <w:r w:rsidR="00145698" w:rsidRPr="00DE4A90">
        <w:rPr>
          <w:color w:val="000000"/>
          <w:szCs w:val="24"/>
        </w:rPr>
        <w:t>100</w:t>
      </w:r>
      <w:r w:rsidR="00A15BCB" w:rsidRPr="00DE4A90">
        <w:rPr>
          <w:color w:val="000000"/>
          <w:szCs w:val="24"/>
        </w:rPr>
        <w:t>-</w:t>
      </w:r>
      <w:r w:rsidR="001E6CF8" w:rsidRPr="00DE4A90">
        <w:rPr>
          <w:color w:val="000000"/>
          <w:szCs w:val="24"/>
        </w:rPr>
        <w:t>23</w:t>
      </w:r>
      <w:r w:rsidR="00145698" w:rsidRPr="00DE4A90">
        <w:rPr>
          <w:color w:val="000000"/>
          <w:szCs w:val="24"/>
        </w:rPr>
        <w:t>0</w:t>
      </w:r>
      <w:r w:rsidR="001E6CF8" w:rsidRPr="00DE4A90">
        <w:rPr>
          <w:color w:val="000000"/>
          <w:szCs w:val="24"/>
        </w:rPr>
        <w:t> </w:t>
      </w:r>
      <w:r w:rsidR="00DE4A90" w:rsidRPr="00DE4A90">
        <w:rPr>
          <w:color w:val="000000"/>
          <w:szCs w:val="24"/>
        </w:rPr>
        <w:t>ppm)</w:t>
      </w:r>
      <w:r w:rsidR="00A15BCB" w:rsidRPr="00DE4A90">
        <w:rPr>
          <w:color w:val="000000"/>
          <w:szCs w:val="24"/>
        </w:rPr>
        <w:t xml:space="preserve"> were detected in all sediments, with the highest excess measured at station 12 (</w:t>
      </w:r>
      <w:r w:rsidR="00A15BCB" w:rsidRPr="00DE4A90">
        <w:rPr>
          <w:i/>
          <w:iCs/>
          <w:color w:val="000000"/>
          <w:szCs w:val="24"/>
        </w:rPr>
        <w:t>p</w:t>
      </w:r>
      <w:r w:rsidR="00A15BCB" w:rsidRPr="00DE4A90">
        <w:rPr>
          <w:color w:val="000000"/>
          <w:szCs w:val="24"/>
        </w:rPr>
        <w:t xml:space="preserve"> &lt; 0.05). This station also had the unique characteristic of displaying Ni</w:t>
      </w:r>
      <w:r w:rsidR="00452E08" w:rsidRPr="00452E08">
        <w:rPr>
          <w:color w:val="000000"/>
          <w:szCs w:val="24"/>
          <w:vertAlign w:val="subscript"/>
        </w:rPr>
        <w:t>XS</w:t>
      </w:r>
      <w:r w:rsidR="00A15BCB" w:rsidRPr="00DE4A90">
        <w:rPr>
          <w:color w:val="000000"/>
          <w:szCs w:val="24"/>
        </w:rPr>
        <w:t xml:space="preserve"> </w:t>
      </w:r>
      <w:r w:rsidR="00386C19" w:rsidRPr="00DE4A90">
        <w:rPr>
          <w:color w:val="000000"/>
          <w:szCs w:val="24"/>
        </w:rPr>
        <w:t xml:space="preserve">(~100 </w:t>
      </w:r>
      <w:r w:rsidR="00DE4A90" w:rsidRPr="00DE4A90">
        <w:rPr>
          <w:color w:val="000000"/>
          <w:szCs w:val="24"/>
        </w:rPr>
        <w:t>ppm)</w:t>
      </w:r>
      <w:r w:rsidR="00F94AF3">
        <w:rPr>
          <w:color w:val="000000"/>
          <w:szCs w:val="24"/>
        </w:rPr>
        <w:t>,</w:t>
      </w:r>
      <w:r w:rsidR="00386C19" w:rsidRPr="00DE4A90">
        <w:rPr>
          <w:color w:val="000000"/>
          <w:szCs w:val="24"/>
        </w:rPr>
        <w:t xml:space="preserve"> Zn</w:t>
      </w:r>
      <w:r w:rsidR="00452E08" w:rsidRPr="00452E08">
        <w:rPr>
          <w:color w:val="000000"/>
          <w:szCs w:val="24"/>
          <w:vertAlign w:val="subscript"/>
        </w:rPr>
        <w:t>XS</w:t>
      </w:r>
      <w:r w:rsidR="00386C19" w:rsidRPr="00DE4A90">
        <w:rPr>
          <w:color w:val="000000"/>
          <w:szCs w:val="24"/>
        </w:rPr>
        <w:t xml:space="preserve"> (~10 </w:t>
      </w:r>
      <w:r w:rsidR="00DE4A90" w:rsidRPr="00DE4A90">
        <w:rPr>
          <w:color w:val="000000"/>
          <w:szCs w:val="24"/>
        </w:rPr>
        <w:t>ppm)</w:t>
      </w:r>
      <w:r w:rsidR="00386C19" w:rsidRPr="00DE4A90">
        <w:rPr>
          <w:color w:val="000000"/>
          <w:szCs w:val="24"/>
        </w:rPr>
        <w:t xml:space="preserve"> and Pb</w:t>
      </w:r>
      <w:r w:rsidR="00452E08" w:rsidRPr="00452E08">
        <w:rPr>
          <w:color w:val="000000"/>
          <w:szCs w:val="24"/>
          <w:vertAlign w:val="subscript"/>
        </w:rPr>
        <w:t>XS</w:t>
      </w:r>
      <w:r w:rsidR="00386C19" w:rsidRPr="00DE4A90">
        <w:rPr>
          <w:color w:val="000000"/>
          <w:szCs w:val="24"/>
        </w:rPr>
        <w:t xml:space="preserve"> (~20 </w:t>
      </w:r>
      <w:r w:rsidR="00DE4A90" w:rsidRPr="00DE4A90">
        <w:rPr>
          <w:color w:val="000000"/>
          <w:szCs w:val="24"/>
        </w:rPr>
        <w:t>ppm)</w:t>
      </w:r>
      <w:r w:rsidR="00386C19" w:rsidRPr="00DE4A90">
        <w:rPr>
          <w:color w:val="000000"/>
          <w:szCs w:val="24"/>
        </w:rPr>
        <w:t xml:space="preserve"> </w:t>
      </w:r>
      <w:r w:rsidR="00A15BCB" w:rsidRPr="00DE4A90">
        <w:rPr>
          <w:color w:val="000000"/>
          <w:szCs w:val="24"/>
        </w:rPr>
        <w:t xml:space="preserve">while no excess was detected at the other stations </w:t>
      </w:r>
      <w:r w:rsidR="00386C19" w:rsidRPr="00DE4A90">
        <w:rPr>
          <w:color w:val="000000"/>
          <w:szCs w:val="24"/>
        </w:rPr>
        <w:t xml:space="preserve">(excluding small occasional </w:t>
      </w:r>
      <w:r w:rsidR="00452E08">
        <w:rPr>
          <w:color w:val="000000"/>
          <w:szCs w:val="24"/>
        </w:rPr>
        <w:t>Pb</w:t>
      </w:r>
      <w:r w:rsidR="00452E08" w:rsidRPr="00452E08">
        <w:rPr>
          <w:color w:val="000000"/>
          <w:szCs w:val="24"/>
          <w:vertAlign w:val="subscript"/>
        </w:rPr>
        <w:t>XS</w:t>
      </w:r>
      <w:r w:rsidR="00386C19" w:rsidRPr="00DE4A90">
        <w:rPr>
          <w:color w:val="000000"/>
          <w:szCs w:val="24"/>
        </w:rPr>
        <w:t xml:space="preserve"> within the station 8 profile; up to 10 </w:t>
      </w:r>
      <w:r w:rsidR="00DE4A90" w:rsidRPr="00DE4A90">
        <w:rPr>
          <w:color w:val="000000"/>
          <w:szCs w:val="24"/>
        </w:rPr>
        <w:t>ppm).</w:t>
      </w:r>
      <w:r w:rsidR="00A15BCB" w:rsidRPr="00DE4A90">
        <w:rPr>
          <w:color w:val="000000"/>
          <w:szCs w:val="24"/>
        </w:rPr>
        <w:t xml:space="preserve"> </w:t>
      </w:r>
      <w:r w:rsidR="00882B48">
        <w:rPr>
          <w:color w:val="000000"/>
          <w:szCs w:val="24"/>
        </w:rPr>
        <w:t xml:space="preserve">High </w:t>
      </w:r>
      <w:r w:rsidR="00386C19" w:rsidRPr="00DE4A90">
        <w:rPr>
          <w:color w:val="000000"/>
          <w:szCs w:val="24"/>
        </w:rPr>
        <w:t>LSi</w:t>
      </w:r>
      <w:r w:rsidR="00452E08" w:rsidRPr="00452E08">
        <w:rPr>
          <w:color w:val="000000"/>
          <w:szCs w:val="24"/>
          <w:vertAlign w:val="subscript"/>
        </w:rPr>
        <w:t>XS</w:t>
      </w:r>
      <w:r w:rsidR="00386C19" w:rsidRPr="00DE4A90">
        <w:rPr>
          <w:color w:val="000000"/>
          <w:szCs w:val="24"/>
        </w:rPr>
        <w:t xml:space="preserve"> w</w:t>
      </w:r>
      <w:r w:rsidR="00882B48">
        <w:rPr>
          <w:color w:val="000000"/>
          <w:szCs w:val="24"/>
        </w:rPr>
        <w:t>ere measured</w:t>
      </w:r>
      <w:r w:rsidR="00386C19" w:rsidRPr="00DE4A90">
        <w:rPr>
          <w:color w:val="000000"/>
          <w:szCs w:val="24"/>
        </w:rPr>
        <w:t xml:space="preserve"> at stations 5 (~5 wt.%) and 10 (up to ~7 wt.%).</w:t>
      </w:r>
    </w:p>
    <w:bookmarkEnd w:id="18"/>
    <w:p w14:paraId="4A97AF2F" w14:textId="77777777" w:rsidR="005B18E2" w:rsidRDefault="005B18E2" w:rsidP="00426E0D">
      <w:pPr>
        <w:jc w:val="both"/>
        <w:rPr>
          <w:rFonts w:eastAsia="Times New Roman" w:cs="Times New Roman"/>
          <w:szCs w:val="24"/>
          <w:lang w:eastAsia="en-GB"/>
        </w:rPr>
        <w:sectPr w:rsidR="005B18E2" w:rsidSect="00D537FA">
          <w:footerReference w:type="even" r:id="rId13"/>
          <w:footerReference w:type="default" r:id="rId14"/>
          <w:headerReference w:type="first" r:id="rId15"/>
          <w:pgSz w:w="12240" w:h="15840"/>
          <w:pgMar w:top="1138" w:right="1181" w:bottom="1138" w:left="1282" w:header="283" w:footer="510" w:gutter="0"/>
          <w:lnNumType w:countBy="1" w:restart="continuous"/>
          <w:cols w:space="720"/>
          <w:titlePg/>
          <w:docGrid w:linePitch="360"/>
        </w:sectPr>
      </w:pPr>
    </w:p>
    <w:p w14:paraId="64DA77E2" w14:textId="7293E6B9" w:rsidR="00C326E1" w:rsidRPr="0062501B" w:rsidRDefault="00E912CD" w:rsidP="00426E0D">
      <w:pPr>
        <w:jc w:val="both"/>
        <w:rPr>
          <w:rFonts w:eastAsia="Times New Roman" w:cs="Times New Roman"/>
          <w:szCs w:val="24"/>
          <w:lang w:eastAsia="en-GB"/>
        </w:rPr>
      </w:pPr>
      <w:r>
        <w:rPr>
          <w:rFonts w:eastAsia="Times New Roman" w:cs="Times New Roman"/>
          <w:noProof/>
          <w:szCs w:val="24"/>
          <w:lang w:eastAsia="en-GB"/>
        </w:rPr>
        <w:lastRenderedPageBreak/>
        <w:drawing>
          <wp:inline distT="0" distB="0" distL="0" distR="0" wp14:anchorId="2F07295D" wp14:editId="11481FDD">
            <wp:extent cx="8613140" cy="5422265"/>
            <wp:effectExtent l="0" t="0" r="0" b="698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6">
                      <a:extLst>
                        <a:ext uri="{28A0092B-C50C-407E-A947-70E740481C1C}">
                          <a14:useLocalDpi xmlns:a14="http://schemas.microsoft.com/office/drawing/2010/main" val="0"/>
                        </a:ext>
                      </a:extLst>
                    </a:blip>
                    <a:stretch>
                      <a:fillRect/>
                    </a:stretch>
                  </pic:blipFill>
                  <pic:spPr>
                    <a:xfrm>
                      <a:off x="0" y="0"/>
                      <a:ext cx="8613140" cy="5422265"/>
                    </a:xfrm>
                    <a:prstGeom prst="rect">
                      <a:avLst/>
                    </a:prstGeom>
                  </pic:spPr>
                </pic:pic>
              </a:graphicData>
            </a:graphic>
          </wp:inline>
        </w:drawing>
      </w:r>
    </w:p>
    <w:p w14:paraId="1EC69EE6" w14:textId="5896954E" w:rsidR="005B18E2" w:rsidRDefault="00C326E1" w:rsidP="00A158F1">
      <w:pPr>
        <w:spacing w:line="360" w:lineRule="auto"/>
        <w:jc w:val="both"/>
        <w:rPr>
          <w:sz w:val="21"/>
          <w:szCs w:val="20"/>
        </w:rPr>
        <w:sectPr w:rsidR="005B18E2" w:rsidSect="005B18E2">
          <w:pgSz w:w="15840" w:h="12240" w:orient="landscape"/>
          <w:pgMar w:top="1282" w:right="1138" w:bottom="1181" w:left="1138" w:header="283" w:footer="510" w:gutter="0"/>
          <w:lnNumType w:countBy="1" w:restart="continuous"/>
          <w:cols w:space="720"/>
          <w:titlePg/>
          <w:docGrid w:linePitch="360"/>
        </w:sectPr>
      </w:pPr>
      <w:r w:rsidRPr="00B833A0">
        <w:rPr>
          <w:b/>
          <w:bCs/>
          <w:i/>
          <w:iCs/>
          <w:sz w:val="21"/>
          <w:szCs w:val="20"/>
        </w:rPr>
        <w:t xml:space="preserve">Figure </w:t>
      </w:r>
      <w:r w:rsidR="006812C9">
        <w:rPr>
          <w:b/>
          <w:bCs/>
          <w:i/>
          <w:iCs/>
          <w:sz w:val="21"/>
          <w:szCs w:val="20"/>
        </w:rPr>
        <w:t>3</w:t>
      </w:r>
      <w:r>
        <w:rPr>
          <w:b/>
          <w:bCs/>
          <w:i/>
          <w:iCs/>
          <w:sz w:val="21"/>
          <w:szCs w:val="20"/>
        </w:rPr>
        <w:t xml:space="preserve">. </w:t>
      </w:r>
      <w:r w:rsidR="00145698">
        <w:rPr>
          <w:color w:val="000000"/>
          <w:sz w:val="21"/>
          <w:szCs w:val="21"/>
        </w:rPr>
        <w:t>Excess of metal</w:t>
      </w:r>
      <w:r w:rsidR="00FC129D">
        <w:rPr>
          <w:color w:val="000000"/>
          <w:sz w:val="21"/>
          <w:szCs w:val="21"/>
        </w:rPr>
        <w:t xml:space="preserve"> </w:t>
      </w:r>
      <w:r w:rsidR="00F94AF3">
        <w:rPr>
          <w:color w:val="000000"/>
          <w:sz w:val="21"/>
          <w:szCs w:val="21"/>
        </w:rPr>
        <w:t>(E</w:t>
      </w:r>
      <w:r w:rsidR="00F94AF3" w:rsidRPr="00F94AF3">
        <w:rPr>
          <w:color w:val="000000"/>
          <w:sz w:val="21"/>
          <w:szCs w:val="21"/>
          <w:vertAlign w:val="subscript"/>
        </w:rPr>
        <w:t>XS</w:t>
      </w:r>
      <w:r w:rsidR="00F94AF3">
        <w:rPr>
          <w:color w:val="000000"/>
          <w:sz w:val="21"/>
          <w:szCs w:val="21"/>
        </w:rPr>
        <w:t>)</w:t>
      </w:r>
      <w:r w:rsidR="00D766C5">
        <w:rPr>
          <w:color w:val="000000"/>
          <w:sz w:val="21"/>
          <w:szCs w:val="21"/>
        </w:rPr>
        <w:t xml:space="preserve"> in each slice of seafloor sediments</w:t>
      </w:r>
      <w:r w:rsidR="00145698">
        <w:rPr>
          <w:color w:val="000000"/>
          <w:sz w:val="21"/>
          <w:szCs w:val="21"/>
        </w:rPr>
        <w:t xml:space="preserve"> relative to the composition of reference pelagic clays:</w:t>
      </w:r>
      <w:r w:rsidR="00145698" w:rsidRPr="00145698">
        <w:rPr>
          <w:color w:val="000000"/>
          <w:sz w:val="21"/>
          <w:szCs w:val="21"/>
        </w:rPr>
        <w:t xml:space="preserve"> </w:t>
      </w:r>
      <w:r w:rsidR="001E6CF8">
        <w:rPr>
          <w:b/>
          <w:bCs/>
          <w:color w:val="000000"/>
          <w:sz w:val="21"/>
          <w:szCs w:val="21"/>
        </w:rPr>
        <w:t>(a)</w:t>
      </w:r>
      <w:r w:rsidR="001E6CF8">
        <w:rPr>
          <w:color w:val="000000"/>
          <w:sz w:val="21"/>
          <w:szCs w:val="21"/>
        </w:rPr>
        <w:t xml:space="preserve"> iron (Fe</w:t>
      </w:r>
      <w:r w:rsidR="004D7A2F">
        <w:rPr>
          <w:color w:val="000000"/>
          <w:sz w:val="21"/>
          <w:szCs w:val="21"/>
          <w:vertAlign w:val="subscript"/>
        </w:rPr>
        <w:t>XS</w:t>
      </w:r>
      <w:r w:rsidR="001E6CF8">
        <w:rPr>
          <w:color w:val="000000"/>
          <w:sz w:val="21"/>
          <w:szCs w:val="21"/>
        </w:rPr>
        <w:t xml:space="preserve">), </w:t>
      </w:r>
      <w:r w:rsidR="001E6CF8">
        <w:rPr>
          <w:b/>
          <w:bCs/>
          <w:color w:val="000000"/>
          <w:sz w:val="21"/>
          <w:szCs w:val="21"/>
        </w:rPr>
        <w:t>(b)</w:t>
      </w:r>
      <w:r w:rsidR="001E6CF8">
        <w:rPr>
          <w:color w:val="000000"/>
          <w:sz w:val="21"/>
          <w:szCs w:val="21"/>
        </w:rPr>
        <w:t xml:space="preserve"> manganese (Mn</w:t>
      </w:r>
      <w:r w:rsidR="004D7A2F">
        <w:rPr>
          <w:color w:val="000000"/>
          <w:sz w:val="21"/>
          <w:szCs w:val="21"/>
          <w:vertAlign w:val="subscript"/>
        </w:rPr>
        <w:t>XS</w:t>
      </w:r>
      <w:r w:rsidR="001E6CF8">
        <w:rPr>
          <w:color w:val="000000"/>
          <w:sz w:val="21"/>
          <w:szCs w:val="21"/>
        </w:rPr>
        <w:t xml:space="preserve">), </w:t>
      </w:r>
      <w:r w:rsidR="001E6CF8">
        <w:rPr>
          <w:b/>
          <w:bCs/>
          <w:color w:val="000000"/>
          <w:sz w:val="21"/>
          <w:szCs w:val="21"/>
        </w:rPr>
        <w:t>(c)</w:t>
      </w:r>
      <w:r w:rsidR="001E6CF8">
        <w:rPr>
          <w:color w:val="000000"/>
          <w:sz w:val="21"/>
          <w:szCs w:val="21"/>
        </w:rPr>
        <w:t xml:space="preserve"> lithogenic silica (</w:t>
      </w:r>
      <w:r w:rsidR="0062501B">
        <w:rPr>
          <w:color w:val="000000"/>
          <w:sz w:val="21"/>
          <w:szCs w:val="21"/>
        </w:rPr>
        <w:t>L</w:t>
      </w:r>
      <w:r w:rsidR="001E6CF8">
        <w:rPr>
          <w:color w:val="000000"/>
          <w:sz w:val="21"/>
          <w:szCs w:val="21"/>
        </w:rPr>
        <w:t>Si</w:t>
      </w:r>
      <w:r w:rsidR="004D7A2F">
        <w:rPr>
          <w:color w:val="000000"/>
          <w:sz w:val="21"/>
          <w:szCs w:val="21"/>
          <w:vertAlign w:val="subscript"/>
        </w:rPr>
        <w:t>XS</w:t>
      </w:r>
      <w:r w:rsidR="001E6CF8">
        <w:rPr>
          <w:color w:val="000000"/>
          <w:sz w:val="21"/>
          <w:szCs w:val="21"/>
        </w:rPr>
        <w:t xml:space="preserve">), </w:t>
      </w:r>
      <w:r w:rsidR="001E6CF8">
        <w:rPr>
          <w:b/>
          <w:bCs/>
          <w:color w:val="000000"/>
          <w:sz w:val="21"/>
          <w:szCs w:val="21"/>
        </w:rPr>
        <w:t>(d)</w:t>
      </w:r>
      <w:r w:rsidR="001E6CF8">
        <w:rPr>
          <w:color w:val="000000"/>
          <w:sz w:val="21"/>
          <w:szCs w:val="21"/>
        </w:rPr>
        <w:t xml:space="preserve"> zinc (Zn</w:t>
      </w:r>
      <w:r w:rsidR="004D7A2F">
        <w:rPr>
          <w:color w:val="000000"/>
          <w:sz w:val="21"/>
          <w:szCs w:val="21"/>
          <w:vertAlign w:val="subscript"/>
        </w:rPr>
        <w:t>XS</w:t>
      </w:r>
      <w:r w:rsidR="001E6CF8">
        <w:rPr>
          <w:color w:val="000000"/>
          <w:sz w:val="21"/>
          <w:szCs w:val="21"/>
        </w:rPr>
        <w:t xml:space="preserve">), </w:t>
      </w:r>
      <w:r w:rsidR="001E6CF8">
        <w:rPr>
          <w:b/>
          <w:bCs/>
          <w:color w:val="000000"/>
          <w:sz w:val="21"/>
          <w:szCs w:val="21"/>
        </w:rPr>
        <w:t>(e)</w:t>
      </w:r>
      <w:r w:rsidR="001E6CF8">
        <w:rPr>
          <w:color w:val="000000"/>
          <w:sz w:val="21"/>
          <w:szCs w:val="21"/>
        </w:rPr>
        <w:t xml:space="preserve"> nickel (Ni</w:t>
      </w:r>
      <w:r w:rsidR="004D7A2F">
        <w:rPr>
          <w:color w:val="000000"/>
          <w:sz w:val="21"/>
          <w:szCs w:val="21"/>
          <w:vertAlign w:val="subscript"/>
        </w:rPr>
        <w:t>XS</w:t>
      </w:r>
      <w:r w:rsidR="001E6CF8">
        <w:rPr>
          <w:color w:val="000000"/>
          <w:sz w:val="21"/>
          <w:szCs w:val="21"/>
        </w:rPr>
        <w:t xml:space="preserve">), </w:t>
      </w:r>
      <w:r w:rsidR="001E6CF8">
        <w:rPr>
          <w:b/>
          <w:bCs/>
          <w:color w:val="000000"/>
          <w:sz w:val="21"/>
          <w:szCs w:val="21"/>
        </w:rPr>
        <w:t>(f)</w:t>
      </w:r>
      <w:r w:rsidR="001E6CF8">
        <w:rPr>
          <w:color w:val="000000"/>
          <w:sz w:val="21"/>
          <w:szCs w:val="21"/>
        </w:rPr>
        <w:t xml:space="preserve"> copper (Cu</w:t>
      </w:r>
      <w:r w:rsidR="004D7A2F">
        <w:rPr>
          <w:color w:val="000000"/>
          <w:sz w:val="21"/>
          <w:szCs w:val="21"/>
          <w:vertAlign w:val="subscript"/>
        </w:rPr>
        <w:t>XS</w:t>
      </w:r>
      <w:r w:rsidR="001E6CF8">
        <w:rPr>
          <w:color w:val="000000"/>
          <w:sz w:val="21"/>
          <w:szCs w:val="21"/>
        </w:rPr>
        <w:t>)</w:t>
      </w:r>
      <w:r w:rsidR="00DE4A90">
        <w:rPr>
          <w:color w:val="000000"/>
          <w:sz w:val="21"/>
          <w:szCs w:val="21"/>
        </w:rPr>
        <w:t xml:space="preserve"> and </w:t>
      </w:r>
      <w:r w:rsidR="001E6CF8">
        <w:rPr>
          <w:b/>
          <w:bCs/>
          <w:color w:val="000000"/>
          <w:sz w:val="21"/>
          <w:szCs w:val="21"/>
        </w:rPr>
        <w:t>(g)</w:t>
      </w:r>
      <w:r w:rsidR="001E6CF8">
        <w:rPr>
          <w:color w:val="000000"/>
          <w:sz w:val="21"/>
          <w:szCs w:val="21"/>
        </w:rPr>
        <w:t xml:space="preserve"> lead (Pb</w:t>
      </w:r>
      <w:r w:rsidR="004D7A2F">
        <w:rPr>
          <w:color w:val="000000"/>
          <w:sz w:val="21"/>
          <w:szCs w:val="21"/>
          <w:vertAlign w:val="subscript"/>
        </w:rPr>
        <w:t>XS</w:t>
      </w:r>
      <w:r w:rsidR="001E6CF8">
        <w:rPr>
          <w:color w:val="000000"/>
          <w:sz w:val="21"/>
          <w:szCs w:val="21"/>
        </w:rPr>
        <w:t xml:space="preserve">). </w:t>
      </w:r>
      <w:r w:rsidR="006F4F31">
        <w:rPr>
          <w:color w:val="000000"/>
          <w:sz w:val="21"/>
          <w:szCs w:val="21"/>
        </w:rPr>
        <w:t>Excess in m</w:t>
      </w:r>
      <w:r w:rsidR="001E6CF8">
        <w:rPr>
          <w:color w:val="000000"/>
          <w:sz w:val="21"/>
          <w:szCs w:val="21"/>
        </w:rPr>
        <w:t xml:space="preserve">ajor elements </w:t>
      </w:r>
      <w:proofErr w:type="gramStart"/>
      <w:r w:rsidR="006F4F31">
        <w:rPr>
          <w:color w:val="000000"/>
          <w:sz w:val="21"/>
          <w:szCs w:val="21"/>
        </w:rPr>
        <w:t>are</w:t>
      </w:r>
      <w:proofErr w:type="gramEnd"/>
      <w:r w:rsidR="001E6CF8">
        <w:rPr>
          <w:color w:val="000000"/>
          <w:sz w:val="21"/>
          <w:szCs w:val="21"/>
        </w:rPr>
        <w:t xml:space="preserve"> represented in wt.% (Fe, Mn, Si, Ca) </w:t>
      </w:r>
      <w:r w:rsidR="004C4806">
        <w:rPr>
          <w:color w:val="000000"/>
          <w:sz w:val="21"/>
          <w:szCs w:val="21"/>
        </w:rPr>
        <w:t>and</w:t>
      </w:r>
      <w:r w:rsidR="006F4F31">
        <w:rPr>
          <w:color w:val="000000"/>
          <w:sz w:val="21"/>
          <w:szCs w:val="21"/>
        </w:rPr>
        <w:t xml:space="preserve"> </w:t>
      </w:r>
      <w:r w:rsidR="001E6CF8">
        <w:rPr>
          <w:color w:val="000000"/>
          <w:sz w:val="21"/>
          <w:szCs w:val="21"/>
        </w:rPr>
        <w:t>minor elements (Zn, Ni, Cu, Pb)</w:t>
      </w:r>
      <w:r w:rsidR="004C4806">
        <w:rPr>
          <w:color w:val="000000"/>
          <w:sz w:val="21"/>
          <w:szCs w:val="21"/>
        </w:rPr>
        <w:t xml:space="preserve"> </w:t>
      </w:r>
      <w:r w:rsidR="001E6CF8">
        <w:rPr>
          <w:color w:val="000000"/>
          <w:sz w:val="21"/>
          <w:szCs w:val="21"/>
        </w:rPr>
        <w:t xml:space="preserve">in </w:t>
      </w:r>
      <w:r w:rsidR="005B18E2">
        <w:rPr>
          <w:color w:val="000000"/>
          <w:sz w:val="21"/>
          <w:szCs w:val="21"/>
        </w:rPr>
        <w:t>ppm.</w:t>
      </w:r>
      <w:r w:rsidR="001E6CF8">
        <w:rPr>
          <w:color w:val="000000"/>
          <w:sz w:val="21"/>
          <w:szCs w:val="21"/>
        </w:rPr>
        <w:t xml:space="preserve"> </w:t>
      </w:r>
      <w:r>
        <w:rPr>
          <w:sz w:val="21"/>
          <w:szCs w:val="20"/>
        </w:rPr>
        <w:t xml:space="preserve"> </w:t>
      </w:r>
    </w:p>
    <w:p w14:paraId="4B72DD61" w14:textId="5E6124E4" w:rsidR="002F744D" w:rsidRDefault="00482CAB" w:rsidP="00D5722F">
      <w:pPr>
        <w:pStyle w:val="Titre2"/>
      </w:pPr>
      <w:r>
        <w:lastRenderedPageBreak/>
        <w:t>Gra</w:t>
      </w:r>
      <w:r w:rsidR="00670FBC">
        <w:t>in size distribution</w:t>
      </w:r>
      <w:r w:rsidR="00C1590E">
        <w:t xml:space="preserve"> of seafloor sediments</w:t>
      </w:r>
    </w:p>
    <w:p w14:paraId="6648795E" w14:textId="1EAE875F" w:rsidR="00C1590E" w:rsidRDefault="00386C19" w:rsidP="00D23535">
      <w:pPr>
        <w:spacing w:line="480" w:lineRule="auto"/>
        <w:jc w:val="both"/>
      </w:pPr>
      <w:r>
        <w:rPr>
          <w:color w:val="000000"/>
        </w:rPr>
        <w:t>The smallest particle sizes, mainly between 2 and 16 µm, were measured at station 8 (</w:t>
      </w:r>
      <w:r>
        <w:rPr>
          <w:i/>
          <w:iCs/>
          <w:color w:val="000000"/>
        </w:rPr>
        <w:t>Fig. 4</w:t>
      </w:r>
      <w:r>
        <w:rPr>
          <w:color w:val="000000"/>
        </w:rPr>
        <w:t xml:space="preserve">). Larger particles were identified at stations 5 and 10, primarily between 30 and 110 µm. A wide range of particle sizes was measured </w:t>
      </w:r>
      <w:r w:rsidR="00B305B8">
        <w:rPr>
          <w:color w:val="000000"/>
        </w:rPr>
        <w:t>at</w:t>
      </w:r>
      <w:r>
        <w:rPr>
          <w:color w:val="000000"/>
        </w:rPr>
        <w:t xml:space="preserve"> station 12, mainly ranging from 1 to 310 µm and up to 976 µm</w:t>
      </w:r>
      <w:r w:rsidR="000606B5">
        <w:t xml:space="preserve">. </w:t>
      </w:r>
    </w:p>
    <w:p w14:paraId="24BBA26C" w14:textId="74105306" w:rsidR="00C326E1" w:rsidRDefault="008E21B8" w:rsidP="00C326E1">
      <w:pPr>
        <w:jc w:val="center"/>
      </w:pPr>
      <w:r>
        <w:rPr>
          <w:noProof/>
        </w:rPr>
        <w:drawing>
          <wp:inline distT="0" distB="0" distL="0" distR="0" wp14:anchorId="314E0238" wp14:editId="00AAF023">
            <wp:extent cx="6208395" cy="3525520"/>
            <wp:effectExtent l="0" t="0" r="190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7">
                      <a:extLst>
                        <a:ext uri="{28A0092B-C50C-407E-A947-70E740481C1C}">
                          <a14:useLocalDpi xmlns:a14="http://schemas.microsoft.com/office/drawing/2010/main" val="0"/>
                        </a:ext>
                      </a:extLst>
                    </a:blip>
                    <a:stretch>
                      <a:fillRect/>
                    </a:stretch>
                  </pic:blipFill>
                  <pic:spPr>
                    <a:xfrm>
                      <a:off x="0" y="0"/>
                      <a:ext cx="6208395" cy="3525520"/>
                    </a:xfrm>
                    <a:prstGeom prst="rect">
                      <a:avLst/>
                    </a:prstGeom>
                  </pic:spPr>
                </pic:pic>
              </a:graphicData>
            </a:graphic>
          </wp:inline>
        </w:drawing>
      </w:r>
    </w:p>
    <w:p w14:paraId="4A333922" w14:textId="24CD9969" w:rsidR="00C326E1" w:rsidRPr="00C326E1" w:rsidRDefault="00C326E1" w:rsidP="00C326E1">
      <w:pPr>
        <w:spacing w:line="360" w:lineRule="auto"/>
        <w:jc w:val="both"/>
        <w:rPr>
          <w:sz w:val="21"/>
          <w:szCs w:val="20"/>
        </w:rPr>
      </w:pPr>
      <w:r w:rsidRPr="00B833A0">
        <w:rPr>
          <w:b/>
          <w:bCs/>
          <w:i/>
          <w:iCs/>
          <w:sz w:val="21"/>
          <w:szCs w:val="20"/>
        </w:rPr>
        <w:t xml:space="preserve">Figure </w:t>
      </w:r>
      <w:r w:rsidR="006812C9">
        <w:rPr>
          <w:b/>
          <w:bCs/>
          <w:i/>
          <w:iCs/>
          <w:sz w:val="21"/>
          <w:szCs w:val="20"/>
        </w:rPr>
        <w:t>4</w:t>
      </w:r>
      <w:r w:rsidRPr="00B833A0">
        <w:rPr>
          <w:sz w:val="21"/>
          <w:szCs w:val="20"/>
        </w:rPr>
        <w:t xml:space="preserve">. </w:t>
      </w:r>
      <w:r w:rsidR="00B305B8">
        <w:rPr>
          <w:color w:val="000000"/>
          <w:sz w:val="21"/>
          <w:szCs w:val="21"/>
        </w:rPr>
        <w:t>Grain size distribution averaged for all sediment slices at each station</w:t>
      </w:r>
      <w:r>
        <w:rPr>
          <w:sz w:val="21"/>
          <w:szCs w:val="20"/>
        </w:rPr>
        <w:t>.</w:t>
      </w:r>
      <w:r w:rsidRPr="0067795C">
        <w:t xml:space="preserve"> </w:t>
      </w:r>
      <w:r w:rsidRPr="0067795C">
        <w:rPr>
          <w:sz w:val="21"/>
          <w:szCs w:val="20"/>
        </w:rPr>
        <w:t xml:space="preserve">The distribution for each sediment slice is shown in </w:t>
      </w:r>
      <w:r w:rsidRPr="0067795C">
        <w:rPr>
          <w:i/>
          <w:iCs/>
          <w:sz w:val="21"/>
          <w:szCs w:val="20"/>
        </w:rPr>
        <w:t>Figure S</w:t>
      </w:r>
      <w:r w:rsidR="000B7F9E">
        <w:rPr>
          <w:i/>
          <w:iCs/>
          <w:sz w:val="21"/>
          <w:szCs w:val="20"/>
        </w:rPr>
        <w:t>5</w:t>
      </w:r>
      <w:r w:rsidRPr="0067795C">
        <w:rPr>
          <w:sz w:val="21"/>
          <w:szCs w:val="20"/>
        </w:rPr>
        <w:t>.</w:t>
      </w:r>
    </w:p>
    <w:p w14:paraId="6DA3ADAA" w14:textId="78F4C554" w:rsidR="00DD26AF" w:rsidRDefault="00506461" w:rsidP="00DD26AF">
      <w:pPr>
        <w:pStyle w:val="Titre2"/>
      </w:pPr>
      <w:r>
        <w:t>Sedimentation</w:t>
      </w:r>
      <w:r w:rsidR="00DD26AF">
        <w:t xml:space="preserve"> rate of seafloor sediments</w:t>
      </w:r>
    </w:p>
    <w:p w14:paraId="10CC37A7" w14:textId="7D18F66E" w:rsidR="006C6F88" w:rsidRPr="00783842" w:rsidRDefault="00783842" w:rsidP="00D23535">
      <w:pPr>
        <w:spacing w:line="480" w:lineRule="auto"/>
        <w:jc w:val="both"/>
        <w:rPr>
          <w:rFonts w:cs="Times New Roman"/>
          <w:szCs w:val="24"/>
        </w:rPr>
      </w:pPr>
      <w:r w:rsidRPr="00783842">
        <w:rPr>
          <w:color w:val="000000"/>
          <w:szCs w:val="24"/>
          <w:vertAlign w:val="superscript"/>
        </w:rPr>
        <w:t>210</w:t>
      </w:r>
      <w:r w:rsidRPr="00783842">
        <w:rPr>
          <w:color w:val="000000"/>
          <w:szCs w:val="24"/>
        </w:rPr>
        <w:t xml:space="preserve">Pb and </w:t>
      </w:r>
      <w:r w:rsidRPr="00783842">
        <w:rPr>
          <w:color w:val="000000"/>
          <w:szCs w:val="24"/>
          <w:vertAlign w:val="superscript"/>
        </w:rPr>
        <w:t>210</w:t>
      </w:r>
      <w:r w:rsidRPr="00783842">
        <w:rPr>
          <w:color w:val="000000"/>
          <w:szCs w:val="24"/>
        </w:rPr>
        <w:t>Pb</w:t>
      </w:r>
      <w:r w:rsidRPr="00783842">
        <w:rPr>
          <w:color w:val="000000"/>
          <w:szCs w:val="24"/>
          <w:vertAlign w:val="subscript"/>
        </w:rPr>
        <w:t>XS</w:t>
      </w:r>
      <w:r w:rsidRPr="00783842">
        <w:rPr>
          <w:color w:val="000000"/>
          <w:szCs w:val="24"/>
        </w:rPr>
        <w:t xml:space="preserve"> activities ranged from 11 to 290 mBq g</w:t>
      </w:r>
      <w:r w:rsidRPr="00783842">
        <w:rPr>
          <w:color w:val="000000"/>
          <w:szCs w:val="24"/>
          <w:vertAlign w:val="superscript"/>
        </w:rPr>
        <w:t>-1</w:t>
      </w:r>
      <w:r w:rsidRPr="00783842">
        <w:rPr>
          <w:color w:val="000000"/>
          <w:szCs w:val="24"/>
        </w:rPr>
        <w:t xml:space="preserve"> and from 1 to 259 mBq g</w:t>
      </w:r>
      <w:r w:rsidRPr="00783842">
        <w:rPr>
          <w:color w:val="000000"/>
          <w:szCs w:val="24"/>
          <w:vertAlign w:val="superscript"/>
        </w:rPr>
        <w:t>-1</w:t>
      </w:r>
      <w:r w:rsidRPr="00783842">
        <w:rPr>
          <w:color w:val="000000"/>
          <w:szCs w:val="24"/>
        </w:rPr>
        <w:t>, respectively (</w:t>
      </w:r>
      <w:r w:rsidRPr="00783842">
        <w:rPr>
          <w:i/>
          <w:iCs/>
          <w:color w:val="000000"/>
          <w:szCs w:val="24"/>
        </w:rPr>
        <w:t>Fig. S</w:t>
      </w:r>
      <w:r w:rsidR="000B7F9E">
        <w:rPr>
          <w:i/>
          <w:iCs/>
          <w:color w:val="000000"/>
          <w:szCs w:val="24"/>
        </w:rPr>
        <w:t>6</w:t>
      </w:r>
      <w:r w:rsidRPr="00783842">
        <w:rPr>
          <w:color w:val="000000"/>
          <w:szCs w:val="24"/>
        </w:rPr>
        <w:t xml:space="preserve">). Values of </w:t>
      </w:r>
      <w:r w:rsidRPr="00783842">
        <w:rPr>
          <w:color w:val="000000"/>
          <w:szCs w:val="24"/>
          <w:vertAlign w:val="superscript"/>
        </w:rPr>
        <w:t>210</w:t>
      </w:r>
      <w:r w:rsidRPr="00783842">
        <w:rPr>
          <w:color w:val="000000"/>
          <w:szCs w:val="24"/>
        </w:rPr>
        <w:t>Pb</w:t>
      </w:r>
      <w:r w:rsidRPr="00783842">
        <w:rPr>
          <w:color w:val="000000"/>
          <w:szCs w:val="24"/>
          <w:vertAlign w:val="subscript"/>
        </w:rPr>
        <w:t>XS</w:t>
      </w:r>
      <w:r w:rsidRPr="00783842">
        <w:rPr>
          <w:color w:val="000000"/>
          <w:szCs w:val="24"/>
        </w:rPr>
        <w:t xml:space="preserve"> decreased exponentially with depth in the sediments cored at stations 5, 10 and 12, reaching negligible levels at about 6 to 10 cm, depending on the core considered. This was not the case for core 8, which still exhibited high </w:t>
      </w:r>
      <w:r w:rsidRPr="00783842">
        <w:rPr>
          <w:color w:val="000000"/>
          <w:szCs w:val="24"/>
          <w:vertAlign w:val="superscript"/>
        </w:rPr>
        <w:t>210</w:t>
      </w:r>
      <w:r w:rsidRPr="00783842">
        <w:rPr>
          <w:color w:val="000000"/>
          <w:szCs w:val="24"/>
        </w:rPr>
        <w:t>Pb</w:t>
      </w:r>
      <w:r w:rsidRPr="00783842">
        <w:rPr>
          <w:color w:val="000000"/>
          <w:szCs w:val="24"/>
          <w:vertAlign w:val="subscript"/>
        </w:rPr>
        <w:t xml:space="preserve">XS </w:t>
      </w:r>
      <w:r w:rsidRPr="00783842">
        <w:rPr>
          <w:color w:val="000000"/>
          <w:szCs w:val="24"/>
        </w:rPr>
        <w:t xml:space="preserve">in the 10-15 cm sediment layer, associated with the highest </w:t>
      </w:r>
      <w:r w:rsidRPr="00783842">
        <w:rPr>
          <w:color w:val="000000"/>
          <w:szCs w:val="24"/>
          <w:vertAlign w:val="superscript"/>
        </w:rPr>
        <w:t>226</w:t>
      </w:r>
      <w:r w:rsidRPr="00783842">
        <w:rPr>
          <w:color w:val="000000"/>
          <w:szCs w:val="24"/>
        </w:rPr>
        <w:t>Ra values measured in the studied cores (100-200 mBq</w:t>
      </w:r>
      <w:r w:rsidRPr="00783842">
        <w:rPr>
          <w:color w:val="000000"/>
          <w:szCs w:val="24"/>
          <w:vertAlign w:val="superscript"/>
        </w:rPr>
        <w:t>-1</w:t>
      </w:r>
      <w:r w:rsidRPr="00783842">
        <w:rPr>
          <w:color w:val="000000"/>
          <w:szCs w:val="24"/>
        </w:rPr>
        <w:t xml:space="preserve">). Such high </w:t>
      </w:r>
      <w:r w:rsidRPr="00783842">
        <w:rPr>
          <w:color w:val="000000"/>
          <w:szCs w:val="24"/>
          <w:vertAlign w:val="superscript"/>
        </w:rPr>
        <w:t>226</w:t>
      </w:r>
      <w:r w:rsidRPr="00783842">
        <w:rPr>
          <w:color w:val="000000"/>
          <w:szCs w:val="24"/>
        </w:rPr>
        <w:t xml:space="preserve">Ra activities may be related to hydrothermal enrichment. Indeed, it could be suspected that below 3-5 cm, total </w:t>
      </w:r>
      <w:r w:rsidRPr="00783842">
        <w:rPr>
          <w:color w:val="000000"/>
          <w:szCs w:val="24"/>
          <w:vertAlign w:val="superscript"/>
        </w:rPr>
        <w:t>210</w:t>
      </w:r>
      <w:r w:rsidRPr="00783842">
        <w:rPr>
          <w:color w:val="000000"/>
          <w:szCs w:val="24"/>
        </w:rPr>
        <w:t xml:space="preserve">Pb activities correspond to a combination of </w:t>
      </w:r>
      <w:r w:rsidRPr="00783842">
        <w:rPr>
          <w:color w:val="000000"/>
          <w:szCs w:val="24"/>
          <w:vertAlign w:val="superscript"/>
        </w:rPr>
        <w:t>210</w:t>
      </w:r>
      <w:r w:rsidRPr="00783842">
        <w:rPr>
          <w:color w:val="000000"/>
          <w:szCs w:val="24"/>
        </w:rPr>
        <w:t>Pb</w:t>
      </w:r>
      <w:r w:rsidRPr="00783842">
        <w:rPr>
          <w:color w:val="000000"/>
          <w:szCs w:val="24"/>
          <w:vertAlign w:val="subscript"/>
        </w:rPr>
        <w:t>XS</w:t>
      </w:r>
      <w:r w:rsidRPr="00783842">
        <w:rPr>
          <w:color w:val="000000"/>
          <w:szCs w:val="24"/>
        </w:rPr>
        <w:t xml:space="preserve"> and </w:t>
      </w:r>
      <w:r w:rsidRPr="00783842">
        <w:rPr>
          <w:color w:val="000000"/>
          <w:szCs w:val="24"/>
          <w:vertAlign w:val="superscript"/>
        </w:rPr>
        <w:t>210</w:t>
      </w:r>
      <w:r w:rsidRPr="00783842">
        <w:rPr>
          <w:color w:val="000000"/>
          <w:szCs w:val="24"/>
        </w:rPr>
        <w:t xml:space="preserve">Pb ingrowth from Ra enrichment: the deepest </w:t>
      </w:r>
      <w:r w:rsidRPr="00783842">
        <w:rPr>
          <w:color w:val="000000"/>
          <w:szCs w:val="24"/>
          <w:vertAlign w:val="superscript"/>
        </w:rPr>
        <w:lastRenderedPageBreak/>
        <w:t>210</w:t>
      </w:r>
      <w:r w:rsidRPr="00783842">
        <w:rPr>
          <w:color w:val="000000"/>
          <w:szCs w:val="24"/>
        </w:rPr>
        <w:t>Pb</w:t>
      </w:r>
      <w:r w:rsidRPr="00783842">
        <w:rPr>
          <w:color w:val="000000"/>
          <w:szCs w:val="24"/>
          <w:vertAlign w:val="subscript"/>
        </w:rPr>
        <w:t>XS</w:t>
      </w:r>
      <w:r w:rsidRPr="00783842">
        <w:rPr>
          <w:color w:val="000000"/>
          <w:szCs w:val="24"/>
        </w:rPr>
        <w:t xml:space="preserve"> activities are then not reliable to estimate the sedimentation accumulation rate. For stations 5, 10 and 12, sediment accumulation rates ranged from 47 to 61 cm kyr</w:t>
      </w:r>
      <w:r w:rsidRPr="00783842">
        <w:rPr>
          <w:color w:val="000000"/>
          <w:szCs w:val="24"/>
          <w:vertAlign w:val="superscript"/>
        </w:rPr>
        <w:t>-1</w:t>
      </w:r>
      <w:r w:rsidRPr="00783842">
        <w:rPr>
          <w:color w:val="000000"/>
          <w:szCs w:val="24"/>
        </w:rPr>
        <w:t xml:space="preserve"> (</w:t>
      </w:r>
      <w:r w:rsidRPr="00783842">
        <w:rPr>
          <w:i/>
          <w:iCs/>
          <w:color w:val="000000"/>
          <w:szCs w:val="24"/>
        </w:rPr>
        <w:t>Table 1</w:t>
      </w:r>
      <w:r w:rsidRPr="00783842">
        <w:rPr>
          <w:color w:val="000000"/>
          <w:szCs w:val="24"/>
        </w:rPr>
        <w:t>). For station 8, considering only the first two levels of the profile, it was possible to calculate a sedimentation rate of 58 cm kyr</w:t>
      </w:r>
      <w:r w:rsidRPr="00783842">
        <w:rPr>
          <w:color w:val="000000"/>
          <w:szCs w:val="24"/>
          <w:vertAlign w:val="superscript"/>
        </w:rPr>
        <w:t>-1</w:t>
      </w:r>
      <w:r w:rsidRPr="00783842">
        <w:rPr>
          <w:color w:val="000000"/>
          <w:szCs w:val="24"/>
        </w:rPr>
        <w:t>, close to those obtained at the other stations</w:t>
      </w:r>
      <w:r w:rsidR="00B12033" w:rsidRPr="00783842">
        <w:rPr>
          <w:rFonts w:cs="Times New Roman"/>
          <w:szCs w:val="24"/>
        </w:rPr>
        <w:t xml:space="preserve">. </w:t>
      </w:r>
    </w:p>
    <w:p w14:paraId="1EB2356A" w14:textId="58D0A072" w:rsidR="006C6F88" w:rsidRPr="00714BB6" w:rsidRDefault="006C6F88" w:rsidP="00676BE6">
      <w:pPr>
        <w:pStyle w:val="Titre1"/>
      </w:pPr>
      <w:r>
        <w:t>Discussion</w:t>
      </w:r>
    </w:p>
    <w:p w14:paraId="156B9D3A" w14:textId="7F81939D" w:rsidR="00B657B8" w:rsidRPr="00376CC5" w:rsidRDefault="00131195" w:rsidP="00676BE6">
      <w:pPr>
        <w:pStyle w:val="Titre2"/>
        <w:rPr>
          <w:lang w:val="en-GB" w:eastAsia="en-GB"/>
        </w:rPr>
      </w:pPr>
      <w:r>
        <w:rPr>
          <w:lang w:val="en-GB" w:eastAsia="en-GB"/>
        </w:rPr>
        <w:t>Potential b</w:t>
      </w:r>
      <w:r w:rsidR="00DF79DC">
        <w:rPr>
          <w:lang w:val="en-GB" w:eastAsia="en-GB"/>
        </w:rPr>
        <w:t>iases of sediment traps</w:t>
      </w:r>
    </w:p>
    <w:p w14:paraId="6D45C1BA" w14:textId="77E755E2" w:rsidR="00DF79DC" w:rsidRDefault="00DF79DC" w:rsidP="00D23535">
      <w:pPr>
        <w:spacing w:line="480" w:lineRule="auto"/>
        <w:jc w:val="both"/>
        <w:rPr>
          <w:rFonts w:eastAsia="Times New Roman" w:cs="Times New Roman"/>
          <w:szCs w:val="24"/>
          <w:lang w:val="en-GB" w:eastAsia="en-GB"/>
        </w:rPr>
      </w:pPr>
      <w:r>
        <w:rPr>
          <w:rFonts w:eastAsia="Times New Roman" w:cs="Times New Roman"/>
          <w:szCs w:val="24"/>
          <w:lang w:val="en-GB" w:eastAsia="en-GB"/>
        </w:rPr>
        <w:t>Sediment traps have been a standard tool for measuring sinking particle</w:t>
      </w:r>
      <w:r w:rsidR="007469FF">
        <w:rPr>
          <w:rFonts w:eastAsia="Times New Roman" w:cs="Times New Roman"/>
          <w:szCs w:val="24"/>
          <w:lang w:val="en-GB" w:eastAsia="en-GB"/>
        </w:rPr>
        <w:t xml:space="preserve"> fluxe</w:t>
      </w:r>
      <w:r w:rsidR="00D9794A">
        <w:rPr>
          <w:rFonts w:eastAsia="Times New Roman" w:cs="Times New Roman"/>
          <w:szCs w:val="24"/>
          <w:lang w:val="en-GB" w:eastAsia="en-GB"/>
        </w:rPr>
        <w:t>s</w:t>
      </w:r>
      <w:r>
        <w:rPr>
          <w:rFonts w:eastAsia="Times New Roman" w:cs="Times New Roman"/>
          <w:szCs w:val="24"/>
          <w:lang w:val="en-GB" w:eastAsia="en-GB"/>
        </w:rPr>
        <w:t xml:space="preserve"> for decades, yet uncertainties </w:t>
      </w:r>
      <w:r w:rsidR="00E971A3">
        <w:rPr>
          <w:rFonts w:eastAsia="Times New Roman" w:cs="Times New Roman"/>
          <w:szCs w:val="24"/>
          <w:lang w:val="en-GB" w:eastAsia="en-GB"/>
        </w:rPr>
        <w:t>remain</w:t>
      </w:r>
      <w:r>
        <w:rPr>
          <w:rFonts w:eastAsia="Times New Roman" w:cs="Times New Roman"/>
          <w:szCs w:val="24"/>
          <w:lang w:val="en-GB" w:eastAsia="en-GB"/>
        </w:rPr>
        <w:t xml:space="preserve"> regarding their collection efficiency (e.g., </w:t>
      </w:r>
      <w:r w:rsidR="00B74BF4">
        <w:rPr>
          <w:rFonts w:eastAsia="Times New Roman" w:cs="Times New Roman"/>
          <w:szCs w:val="24"/>
          <w:lang w:val="en-GB" w:eastAsia="en-GB"/>
        </w:rPr>
        <w:fldChar w:fldCharType="begin"/>
      </w:r>
      <w:r w:rsidR="00250BDC">
        <w:rPr>
          <w:rFonts w:eastAsia="Times New Roman" w:cs="Times New Roman"/>
          <w:szCs w:val="24"/>
          <w:lang w:val="en-GB" w:eastAsia="en-GB"/>
        </w:rPr>
        <w:instrText xml:space="preserve"> ADDIN ZOTERO_ITEM CSL_CITATION {"citationID":"PGoleFT2","properties":{"formattedCitation":"(Baker et al., 2020; Buesseler et al., 2007; Butman, 1986; Gardner, 1980; Hargrave and Burns, 1979)","plainCitation":"(Baker et al., 2020; Buesseler et al., 2007; Butman, 1986; Gardner, 1980; Hargrave and Burns, 1979)","dontUpdate":true,"noteIndex":0},"citationItems":[{"id":1080,"uris":["http://zotero.org/users/local/01lnVYoF/items/9LH2P8LZ"],"itemData":{"id":1080,"type":"article-journal","container-title":"Progress in Oceanography","DOI":"10.1016/j.pocean.2020.102317","ISSN":"00796611","journalAbbreviation":"Progress in Oceanography","language":"en","page":"102317","source":"DOI.org (Crossref)","title":"Are all sediment traps created equal? An intercomparison study of carbon export methodologies at the PAP-SO site","title-short":"Are all sediment traps created equal?","volume":"184","author":[{"family":"Baker","given":"Chelsey A."},{"family":"Estapa","given":"Margaret L."},{"family":"Iversen","given":"Morten"},{"family":"Lampitt","given":"Richard"},{"family":"Buesseler","given":"Ken"}],"issued":{"date-parts":[["2020",5]]}}},{"id":1071,"uris":["http://zotero.org/users/local/01lnVYoF/items/FXR8EVBL"],"itemData":{"id":1071,"type":"article-journal","container-title":"Journal of Marine Research","DOI":"10.1357/002224007781567621","ISSN":"0022-2402","issue":"3","journalAbbreviation":"j mar res","language":"en","page":"345-416","source":"DOI.org (Crossref)","title":"An assessment of the use of sediment traps for estimating upper ocean particle fluxes","volume":"65","author":[{"family":"Buesseler","given":"Ken O."},{"family":"Antia","given":"Avan N."},{"family":"Chen","given":"Min"},{"family":"Fowler","given":"Scott W."},{"family":"Gardner","given":"Wilford D."},{"family":"Gustafsson","given":"Orjan"},{"family":"Harada","given":"Koh"},{"family":"Michaels","given":"Anthony F."},{"family":"Rutgers van der Loeff","given":"Michiel"},{"family":"Sarin","given":"Manmohan"},{"family":"Steinberg","given":"Deborah K."},{"family":"Trull","given":"Thomas"}],"issued":{"date-parts":[["2007",5,1]]}}},{"id":1110,"uris":["http://zotero.org/users/local/01lnVYoF/items/AI926CHX"],"itemData":{"id":1110,"type":"article-journal","abstract":"Several cylindrical and noncylindrical sediment trap designs were tested in a recirculating steady-flow flume. The laboratory study was conducted to achieve dynamic- and geometric-similarity to conditions in a specific field environment where traps eventually would be deployed. Relative (to a \"standard\" trap design) particle collection efficiencies of the traps were quantified in </w:instrText>
      </w:r>
      <w:r w:rsidR="00250BDC">
        <w:rPr>
          <w:rFonts w:ascii="Cambria Math" w:eastAsia="Times New Roman" w:hAnsi="Cambria Math" w:cs="Cambria Math"/>
          <w:szCs w:val="24"/>
          <w:lang w:val="en-GB" w:eastAsia="en-GB"/>
        </w:rPr>
        <w:instrText>∼</w:instrText>
      </w:r>
      <w:r w:rsidR="00250BDC">
        <w:rPr>
          <w:rFonts w:eastAsia="Times New Roman" w:cs="Times New Roman"/>
          <w:szCs w:val="24"/>
          <w:lang w:val="en-GB" w:eastAsia="en-GB"/>
        </w:rPr>
        <w:instrText xml:space="preserve">10 cm/sec turbulent flows that were continuously seeded with particles having fall velocities of about 10−2 to 10−1 cm/sec (the upper range of silt-sized quartz sediments). The nature of flow through the trap mouths was qualitatively described using dye.The following trap biases were demonstrated in the study. For unbaffled cylinders, efficiency decreased over a range of increasing trap Reynolds number (Rt) when aspect ratio (H/D) was held constant, and efficiency increased over a range of H/D when Rt was held constant. Baffling cylinders with various H/D but constant Rt, gave mixed results. Any disturbance to flow near the trap mouth or through the trap tended to increase between-replicate variability. For unbaffled, noncylindrical traps, small-mouth, wide-body traps overcollected particles and funnel-type traps tended to undercollect particles, relative to cylinders of the same height and mouth diameter.The biases demonstrated here are for specific parameter combinations and cannot be generalized outside the range of values tested. The results do indicate that significant biased collections are possible by a variety of trap designs and may be flow-regime dependent. Trap-users thus are urged to interpret vertical flux results with caution. Further quantitative studies of trap biases for the ranges of conditions common in field trapping environments and process-oriented studies of physical trapping mechanisms are needed to determine the utility of sediment traps for flux estimates in ocean flows.","container-title":"Journal of Marine Research","DOI":"10.1357/002224086788403051","issue":"3","journalAbbreviation":"Journal of Marine Research","page":"645-693","source":"IngentaConnect","title":"Sediment trap biases in turbulent flows: Results from a laboratory flume study","title-short":"Sediment trap biases in turbulent flows","volume":"44","author":[{"family":"Butman","given":"Cheryl Ann"}],"issued":{"date-parts":[["1986",8,1]]}}},{"id":1117,"uris":["http://zotero.org/users/local/01lnVYoF/items/579BAHI6"],"itemData":{"id":1117,"type":"article-journal","container-title":"Journal of Marine Research","page":"311-323","title":"Field calibration of sediment traps","volume":"30","author":[{"family":"Gardner","given":"Wilford"}],"issued":{"date-parts":[["1980"]]}}},{"id":1113,"uris":["http://zotero.org/users/local/01lnVYoF/items/VXAHGADM"],"itemData":{"id":1113,"type":"article-journal","container-title":"Limnology and Oceanography","DOI":"10.4319/lo.1979.24.6.1124","ISSN":"00243590","issue":"6","journalAbbreviation":"Limnol. Oceanogr.","language":"en","page":"1124-1136","source":"DOI.org (Crossref)","title":"Assessment of sediment trap collection efficiency","volume":"24","author":[{"family":"Hargrave","given":"Barry T."},{"family":"Burns","given":"Noel M."}],"issued":{"date-parts":[["1979",11]]}}}],"schema":"https://github.com/citation-style-language/schema/raw/master/csl-citation.json"} </w:instrText>
      </w:r>
      <w:r w:rsidR="00B74BF4">
        <w:rPr>
          <w:rFonts w:eastAsia="Times New Roman" w:cs="Times New Roman"/>
          <w:szCs w:val="24"/>
          <w:lang w:val="en-GB" w:eastAsia="en-GB"/>
        </w:rPr>
        <w:fldChar w:fldCharType="separate"/>
      </w:r>
      <w:r w:rsidR="00B74BF4" w:rsidRPr="00B74BF4">
        <w:rPr>
          <w:rFonts w:cs="Times New Roman"/>
        </w:rPr>
        <w:t>Baker et al., 2020; Buesseler et al., 2007; Butman, 1986; Gardner, 1980; Hargrave and Burns, 1979)</w:t>
      </w:r>
      <w:r w:rsidR="00B74BF4">
        <w:rPr>
          <w:rFonts w:eastAsia="Times New Roman" w:cs="Times New Roman"/>
          <w:szCs w:val="24"/>
          <w:lang w:val="en-GB" w:eastAsia="en-GB"/>
        </w:rPr>
        <w:fldChar w:fldCharType="end"/>
      </w:r>
      <w:r w:rsidR="00B74BF4">
        <w:rPr>
          <w:rFonts w:eastAsia="Times New Roman" w:cs="Times New Roman"/>
          <w:szCs w:val="24"/>
          <w:lang w:val="en-GB" w:eastAsia="en-GB"/>
        </w:rPr>
        <w:t xml:space="preserve">. Advantages of these instruments include </w:t>
      </w:r>
      <w:r w:rsidR="00215B45">
        <w:rPr>
          <w:rFonts w:eastAsia="Times New Roman" w:cs="Times New Roman"/>
          <w:szCs w:val="24"/>
          <w:lang w:val="en-GB" w:eastAsia="en-GB"/>
        </w:rPr>
        <w:t xml:space="preserve">their </w:t>
      </w:r>
      <w:r w:rsidR="00B74BF4">
        <w:rPr>
          <w:rFonts w:eastAsia="Times New Roman" w:cs="Times New Roman"/>
          <w:szCs w:val="24"/>
          <w:lang w:val="en-GB" w:eastAsia="en-GB"/>
        </w:rPr>
        <w:t xml:space="preserve">unequivocal separation of sinking material from suspended one, </w:t>
      </w:r>
      <w:r w:rsidR="00E971A3">
        <w:rPr>
          <w:rFonts w:eastAsia="Times New Roman" w:cs="Times New Roman"/>
          <w:szCs w:val="24"/>
          <w:lang w:val="en-GB" w:eastAsia="en-GB"/>
        </w:rPr>
        <w:t>proper preservation of samples</w:t>
      </w:r>
      <w:r w:rsidR="00B74BF4">
        <w:rPr>
          <w:rFonts w:eastAsia="Times New Roman" w:cs="Times New Roman"/>
          <w:szCs w:val="24"/>
          <w:lang w:val="en-GB" w:eastAsia="en-GB"/>
        </w:rPr>
        <w:t xml:space="preserve"> for laboratory analyses and </w:t>
      </w:r>
      <w:r w:rsidR="0028573D">
        <w:rPr>
          <w:rFonts w:eastAsia="Times New Roman" w:cs="Times New Roman"/>
          <w:szCs w:val="24"/>
          <w:lang w:val="en-GB" w:eastAsia="en-GB"/>
        </w:rPr>
        <w:t>accurate sampling periods. Disadvantages include their potential hydrodynamic effects, short collection time-scales (for drifting lines)</w:t>
      </w:r>
      <w:r w:rsidR="00215B45">
        <w:rPr>
          <w:rFonts w:eastAsia="Times New Roman" w:cs="Times New Roman"/>
          <w:szCs w:val="24"/>
          <w:lang w:val="en-GB" w:eastAsia="en-GB"/>
        </w:rPr>
        <w:t xml:space="preserve">, </w:t>
      </w:r>
      <w:r w:rsidR="0028573D">
        <w:rPr>
          <w:rFonts w:eastAsia="Times New Roman" w:cs="Times New Roman"/>
          <w:szCs w:val="24"/>
          <w:lang w:val="en-GB" w:eastAsia="en-GB"/>
        </w:rPr>
        <w:t xml:space="preserve">possible contamination by swimmers and attachment of non-swimming material on them </w:t>
      </w:r>
      <w:r w:rsidR="0028573D">
        <w:rPr>
          <w:rFonts w:eastAsia="Times New Roman" w:cs="Times New Roman"/>
          <w:szCs w:val="24"/>
          <w:lang w:val="en-GB" w:eastAsia="en-GB"/>
        </w:rPr>
        <w:fldChar w:fldCharType="begin"/>
      </w:r>
      <w:r w:rsidR="00C04BF6">
        <w:rPr>
          <w:rFonts w:eastAsia="Times New Roman" w:cs="Times New Roman"/>
          <w:szCs w:val="24"/>
          <w:lang w:val="en-GB" w:eastAsia="en-GB"/>
        </w:rPr>
        <w:instrText xml:space="preserve"> ADDIN ZOTERO_ITEM CSL_CITATION {"citationID":"UshZIsWN","properties":{"formattedCitation":"(Buesseler et al., 2007)","plainCitation":"(Buesseler et al., 2007)","noteIndex":0},"citationItems":[{"id":1071,"uris":["http://zotero.org/users/local/01lnVYoF/items/FXR8EVBL"],"itemData":{"id":1071,"type":"article-journal","container-title":"Journal of Marine Research","DOI":"10.1357/002224007781567621","ISSN":"0022-2402","issue":"3","journalAbbreviation":"j mar res","language":"en","page":"345-416","source":"DOI.org (Crossref)","title":"An assessment of the use of sediment traps for estimating upper ocean particle fluxes","volume":"65","author":[{"family":"Buesseler","given":"Ken O."},{"family":"Antia","given":"Avan N."},{"family":"Chen","given":"Min"},{"family":"Fowler","given":"Scott W."},{"family":"Gardner","given":"Wilford D."},{"family":"Gustafsson","given":"Orjan"},{"family":"Harada","given":"Koh"},{"family":"Michaels","given":"Anthony F."},{"family":"Rutgers van der Loeff","given":"Michiel"},{"family":"Sarin","given":"Manmohan"},{"family":"Steinberg","given":"Deborah K."},{"family":"Trull","given":"Thomas"}],"issued":{"date-parts":[["2007",5,1]]}}}],"schema":"https://github.com/citation-style-language/schema/raw/master/csl-citation.json"} </w:instrText>
      </w:r>
      <w:r w:rsidR="0028573D">
        <w:rPr>
          <w:rFonts w:eastAsia="Times New Roman" w:cs="Times New Roman"/>
          <w:szCs w:val="24"/>
          <w:lang w:val="en-GB" w:eastAsia="en-GB"/>
        </w:rPr>
        <w:fldChar w:fldCharType="separate"/>
      </w:r>
      <w:r w:rsidR="00C04BF6" w:rsidRPr="00C04BF6">
        <w:rPr>
          <w:rFonts w:cs="Times New Roman"/>
        </w:rPr>
        <w:t>(Buesseler et al., 2007)</w:t>
      </w:r>
      <w:r w:rsidR="0028573D">
        <w:rPr>
          <w:rFonts w:eastAsia="Times New Roman" w:cs="Times New Roman"/>
          <w:szCs w:val="24"/>
          <w:lang w:val="en-GB" w:eastAsia="en-GB"/>
        </w:rPr>
        <w:fldChar w:fldCharType="end"/>
      </w:r>
      <w:r w:rsidR="0028573D">
        <w:rPr>
          <w:rFonts w:eastAsia="Times New Roman" w:cs="Times New Roman"/>
          <w:szCs w:val="24"/>
          <w:lang w:val="en-GB" w:eastAsia="en-GB"/>
        </w:rPr>
        <w:t xml:space="preserve">. Such biases </w:t>
      </w:r>
      <w:r w:rsidR="00215B45">
        <w:rPr>
          <w:rFonts w:eastAsia="Times New Roman" w:cs="Times New Roman"/>
          <w:szCs w:val="24"/>
          <w:lang w:val="en-GB" w:eastAsia="en-GB"/>
        </w:rPr>
        <w:t>could result</w:t>
      </w:r>
      <w:r w:rsidR="0028573D">
        <w:rPr>
          <w:rFonts w:eastAsia="Times New Roman" w:cs="Times New Roman"/>
          <w:szCs w:val="24"/>
          <w:lang w:val="en-GB" w:eastAsia="en-GB"/>
        </w:rPr>
        <w:t xml:space="preserve"> in under- or over-trapping. Field comparison of d</w:t>
      </w:r>
      <w:r w:rsidR="003B0F63">
        <w:rPr>
          <w:rFonts w:eastAsia="Times New Roman" w:cs="Times New Roman"/>
          <w:szCs w:val="24"/>
          <w:lang w:val="en-GB" w:eastAsia="en-GB"/>
        </w:rPr>
        <w:t xml:space="preserve">ifferent trap designs </w:t>
      </w:r>
      <w:r w:rsidR="0028573D">
        <w:rPr>
          <w:rFonts w:eastAsia="Times New Roman" w:cs="Times New Roman"/>
          <w:szCs w:val="24"/>
          <w:lang w:val="en-GB" w:eastAsia="en-GB"/>
        </w:rPr>
        <w:t>provided valuable insight into the appropriate procedures for these tools</w:t>
      </w:r>
      <w:r w:rsidR="0025594D">
        <w:rPr>
          <w:rFonts w:eastAsia="Times New Roman" w:cs="Times New Roman"/>
          <w:szCs w:val="24"/>
          <w:lang w:val="en-GB" w:eastAsia="en-GB"/>
        </w:rPr>
        <w:t xml:space="preserve"> </w:t>
      </w:r>
      <w:r w:rsidR="0025594D">
        <w:rPr>
          <w:rFonts w:eastAsia="Times New Roman" w:cs="Times New Roman"/>
          <w:szCs w:val="24"/>
          <w:lang w:val="en-GB" w:eastAsia="en-GB"/>
        </w:rPr>
        <w:fldChar w:fldCharType="begin"/>
      </w:r>
      <w:r w:rsidR="00B305B8">
        <w:rPr>
          <w:rFonts w:eastAsia="Times New Roman" w:cs="Times New Roman"/>
          <w:szCs w:val="24"/>
          <w:lang w:val="en-GB" w:eastAsia="en-GB"/>
        </w:rPr>
        <w:instrText xml:space="preserve"> ADDIN ZOTERO_ITEM CSL_CITATION {"citationID":"dusaeR7R","properties":{"formattedCitation":"(Baker et al., 2020; Gardner, 1980; Scholten et al., 2001)","plainCitation":"(Baker et al., 2020; Gardner, 1980; Scholten et al., 2001)","dontUpdate":true,"noteIndex":0},"citationItems":[{"id":1080,"uris":["http://zotero.org/users/local/01lnVYoF/items/9LH2P8LZ"],"itemData":{"id":1080,"type":"article-journal","container-title":"Progress in Oceanography","DOI":"10.1016/j.pocean.2020.102317","ISSN":"00796611","journalAbbreviation":"Progress in Oceanography","language":"en","page":"102317","source":"DOI.org (Crossref)","title":"Are all sediment traps created equal? An intercomparison study of carbon export methodologies at the PAP-SO site","title-short":"Are all sediment traps created equal?","volume":"184","author":[{"family":"Baker","given":"Chelsey A."},{"family":"Estapa","given":"Margaret L."},{"family":"Iversen","given":"Morten"},{"family":"Lampitt","given":"Richard"},{"family":"Buesseler","given":"Ken"}],"issued":{"date-parts":[["2020",5]]}}},{"id":1117,"uris":["http://zotero.org/users/local/01lnVYoF/items/579BAHI6"],"itemData":{"id":1117,"type":"article-journal","container-title":"Journal of Marine Research","page":"311-323","title":"Field calibration of sediment traps","volume":"30","author":[{"family":"Gardner","given":"Wilford"}],"issued":{"date-parts":[["1980"]]}}},{"id":973,"uris":["http://zotero.org/users/local/01lnVYoF/items/P29S7DM7"],"itemData":{"id":973,"type":"article-journal","container-title":"Deep Sea Research Part II: Topical Studies in Oceanography","DOI":"10.1016/S0967-0645(00)00176-4","ISSN":"09670645","issue":"10","journalAbbreviation":"Deep Sea Research Part II: Topical Studies in Oceanography","language":"en","page":"2383-2408","source":"DOI.org (Crossref)","title":"Trapping efficiencies of sediment traps from the deep Eastern North Atlantic:","title-short":"Trapping efficiencies of sediment traps from the deep Eastern North Atlantic","volume":"48","author":[{"family":"Scholten","given":"J.C."},{"family":"Fietzke","given":"J."},{"family":"Vogler","given":"S."},{"family":"Rutgers van der Loeff","given":"M.M."},{"family":"Mangini","given":"A."},{"family":"Koeve","given":"W."},{"family":"Waniek","given":"J."},{"family":"Stoffers","given":"P."},{"family":"Antia","given":"A."},{"family":"Kuss","given":"J."}],"issued":{"date-parts":[["2001",1]]}}}],"schema":"https://github.com/citation-style-language/schema/raw/master/csl-citation.json"} </w:instrText>
      </w:r>
      <w:r w:rsidR="0025594D">
        <w:rPr>
          <w:rFonts w:eastAsia="Times New Roman" w:cs="Times New Roman"/>
          <w:szCs w:val="24"/>
          <w:lang w:val="en-GB" w:eastAsia="en-GB"/>
        </w:rPr>
        <w:fldChar w:fldCharType="separate"/>
      </w:r>
      <w:r w:rsidR="00A10F4B" w:rsidRPr="00A10F4B">
        <w:rPr>
          <w:rFonts w:cs="Times New Roman"/>
        </w:rPr>
        <w:t>(Baker et al., 2020; Gardner, 1980; Scholten et al., 2001</w:t>
      </w:r>
      <w:r w:rsidR="00A10F4B">
        <w:rPr>
          <w:rFonts w:cs="Times New Roman"/>
        </w:rPr>
        <w:t xml:space="preserve"> and references therein</w:t>
      </w:r>
      <w:r w:rsidR="00A10F4B" w:rsidRPr="00A10F4B">
        <w:rPr>
          <w:rFonts w:cs="Times New Roman"/>
        </w:rPr>
        <w:t>)</w:t>
      </w:r>
      <w:r w:rsidR="0025594D">
        <w:rPr>
          <w:rFonts w:eastAsia="Times New Roman" w:cs="Times New Roman"/>
          <w:szCs w:val="24"/>
          <w:lang w:val="en-GB" w:eastAsia="en-GB"/>
        </w:rPr>
        <w:fldChar w:fldCharType="end"/>
      </w:r>
      <w:r w:rsidR="003B0F63">
        <w:rPr>
          <w:rFonts w:eastAsia="Times New Roman" w:cs="Times New Roman"/>
          <w:szCs w:val="24"/>
          <w:lang w:val="en-GB" w:eastAsia="en-GB"/>
        </w:rPr>
        <w:t xml:space="preserve">. </w:t>
      </w:r>
      <w:r w:rsidR="00E971A3">
        <w:rPr>
          <w:rFonts w:eastAsia="Times New Roman" w:cs="Times New Roman"/>
          <w:szCs w:val="24"/>
          <w:lang w:val="en-GB" w:eastAsia="en-GB"/>
        </w:rPr>
        <w:t>In the present</w:t>
      </w:r>
      <w:r w:rsidR="00A26D24">
        <w:rPr>
          <w:rFonts w:eastAsia="Times New Roman" w:cs="Times New Roman"/>
          <w:szCs w:val="24"/>
          <w:lang w:val="en-GB" w:eastAsia="en-GB"/>
        </w:rPr>
        <w:t xml:space="preserve"> study, efforts were employed to accurately collect sinking particles by </w:t>
      </w:r>
      <w:r w:rsidR="00A26D24" w:rsidRPr="00DA4B15">
        <w:rPr>
          <w:rFonts w:eastAsia="Times New Roman" w:cs="Times New Roman"/>
          <w:b/>
          <w:bCs/>
          <w:szCs w:val="24"/>
          <w:lang w:val="en-GB" w:eastAsia="en-GB"/>
        </w:rPr>
        <w:t>(1)</w:t>
      </w:r>
      <w:r w:rsidR="00A26D24">
        <w:rPr>
          <w:rFonts w:eastAsia="Times New Roman" w:cs="Times New Roman"/>
          <w:szCs w:val="24"/>
          <w:lang w:val="en-GB" w:eastAsia="en-GB"/>
        </w:rPr>
        <w:t xml:space="preserve"> ensuring that traps were deployed below the mixed layer </w:t>
      </w:r>
      <w:r w:rsidR="00A26D24">
        <w:rPr>
          <w:rFonts w:eastAsia="Times New Roman" w:cs="Times New Roman"/>
          <w:szCs w:val="24"/>
          <w:lang w:val="en-GB" w:eastAsia="en-GB"/>
        </w:rPr>
        <w:fldChar w:fldCharType="begin"/>
      </w:r>
      <w:r w:rsidR="00A26D24">
        <w:rPr>
          <w:rFonts w:eastAsia="Times New Roman" w:cs="Times New Roman"/>
          <w:szCs w:val="24"/>
          <w:lang w:val="en-GB" w:eastAsia="en-GB"/>
        </w:rPr>
        <w:instrText xml:space="preserve"> ADDIN ZOTERO_ITEM CSL_CITATION {"citationID":"wyBFSLcl","properties":{"formattedCitation":"(Owens et al., 2013)","plainCitation":"(Owens et al., 2013)","noteIndex":0},"citationItems":[{"id":1276,"uris":["http://zotero.org/users/local/01lnVYoF/items/R8TPL4JB"],"itemData":{"id":1276,"type":"article-journal","abstract":"Neutrally buoyant sediment traps (NBSTs) were deployed concurrently with particle interceptor traps (PITs) on monthly cruises of the Bermuda Atlantic Time-series Study (BATS) from June 2007 to July 2010. In most months, particulate organic carbon flux measured by the two sediment trap systems agreed within the range of variability for two separate NBSTs. In three periods of this study however, the PITs collected more than three times the amount of particulate organic carbon (POC) than the NBSTs. One of these periods coincided with two instances when the mixed layer was deeper than the trap deployment depth, which may lead to biased collection. One of the anomalous periods occurred during summer months, for which we were unable to find existing evidence of biogeochemical changes that would lead to such increases in POC flux. The third anomalous period occurred when the POC flux measured by the NBSTs was near zero. We hypothesize that the PITs may have a positive bias at low fluxes relative to the NBSTs. Zooplankton swimmers accounted for 49±20% of the total measured carbon flux over the three year period and swimmer removal by screening of samples through a 350μm mesh was established as an effective method for this site. Process blank corrections based on sample-identical blanks were important for determining mass and carbon flux from both the NBSTs and the PITs. This new record of particle export from NBSTs suggests that the observed carbon imbalance in this region of the ocean (Michaels et al., 1994) is not due to undersampling by the PITs and that export ratios may be even lower than previously thought.","container-title":"Deep Sea Research Part I: Oceanographic Research Papers","DOI":"10.1016/j.dsr.2012.10.011","ISSN":"0967-0637","journalAbbreviation":"Deep Sea Research Part I: Oceanographic Research Papers","language":"en","page":"34-47","source":"ScienceDirect","title":"A new time series of particle export from neutrally buoyant sediments traps at the Bermuda Atlantic Time-series Study site","volume":"72","author":[{"family":"Owens","given":"Stephanie"},{"family":"Buesseler","given":"K. O."},{"family":"Lamborg","given":"C.H."},{"family":"Valdes","given":"James R."},{"family":"Lomas","given":"Lomas"},{"family":"Johnson","given":"R."},{"family":"Steinberg","given":"Deborah"},{"family":"Siegel","given":"D. A."}],"issued":{"date-parts":[["2013",2,1]]}}}],"schema":"https://github.com/citation-style-language/schema/raw/master/csl-citation.json"} </w:instrText>
      </w:r>
      <w:r w:rsidR="00A26D24">
        <w:rPr>
          <w:rFonts w:eastAsia="Times New Roman" w:cs="Times New Roman"/>
          <w:szCs w:val="24"/>
          <w:lang w:val="en-GB" w:eastAsia="en-GB"/>
        </w:rPr>
        <w:fldChar w:fldCharType="separate"/>
      </w:r>
      <w:r w:rsidR="00A26D24" w:rsidRPr="00A26D24">
        <w:rPr>
          <w:rFonts w:cs="Times New Roman"/>
        </w:rPr>
        <w:t>(Owens et al., 2013)</w:t>
      </w:r>
      <w:r w:rsidR="00A26D24">
        <w:rPr>
          <w:rFonts w:eastAsia="Times New Roman" w:cs="Times New Roman"/>
          <w:szCs w:val="24"/>
          <w:lang w:val="en-GB" w:eastAsia="en-GB"/>
        </w:rPr>
        <w:fldChar w:fldCharType="end"/>
      </w:r>
      <w:r w:rsidR="00A26D24">
        <w:rPr>
          <w:rFonts w:eastAsia="Times New Roman" w:cs="Times New Roman"/>
          <w:szCs w:val="24"/>
          <w:lang w:val="en-GB" w:eastAsia="en-GB"/>
        </w:rPr>
        <w:t xml:space="preserve">, </w:t>
      </w:r>
      <w:r w:rsidR="00A26D24" w:rsidRPr="00DA4B15">
        <w:rPr>
          <w:rFonts w:eastAsia="Times New Roman" w:cs="Times New Roman"/>
          <w:b/>
          <w:bCs/>
          <w:szCs w:val="24"/>
          <w:lang w:val="en-GB" w:eastAsia="en-GB"/>
        </w:rPr>
        <w:t>(</w:t>
      </w:r>
      <w:r w:rsidR="00386C19" w:rsidRPr="00DA4B15">
        <w:rPr>
          <w:rFonts w:eastAsia="Times New Roman" w:cs="Times New Roman"/>
          <w:b/>
          <w:bCs/>
          <w:szCs w:val="24"/>
          <w:lang w:val="en-GB" w:eastAsia="en-GB"/>
        </w:rPr>
        <w:t>2</w:t>
      </w:r>
      <w:r w:rsidR="00A26D24" w:rsidRPr="00DA4B15">
        <w:rPr>
          <w:rFonts w:eastAsia="Times New Roman" w:cs="Times New Roman"/>
          <w:b/>
          <w:bCs/>
          <w:szCs w:val="24"/>
          <w:lang w:val="en-GB" w:eastAsia="en-GB"/>
        </w:rPr>
        <w:t>)</w:t>
      </w:r>
      <w:r w:rsidR="00A26D24">
        <w:rPr>
          <w:rFonts w:eastAsia="Times New Roman" w:cs="Times New Roman"/>
          <w:szCs w:val="24"/>
          <w:lang w:val="en-GB" w:eastAsia="en-GB"/>
        </w:rPr>
        <w:t xml:space="preserve"> </w:t>
      </w:r>
      <w:r w:rsidR="00685103">
        <w:rPr>
          <w:color w:val="000000"/>
        </w:rPr>
        <w:t>focusing the discussion on collected relative weights and elemental ratios rather than material fluxes</w:t>
      </w:r>
      <w:r w:rsidR="00215B45">
        <w:rPr>
          <w:rFonts w:eastAsia="Times New Roman" w:cs="Times New Roman"/>
          <w:szCs w:val="24"/>
          <w:lang w:val="en-GB" w:eastAsia="en-GB"/>
        </w:rPr>
        <w:t>,</w:t>
      </w:r>
      <w:r w:rsidR="005D377D">
        <w:rPr>
          <w:rFonts w:eastAsia="Times New Roman" w:cs="Times New Roman"/>
          <w:szCs w:val="24"/>
          <w:lang w:val="en-GB" w:eastAsia="en-GB"/>
        </w:rPr>
        <w:t xml:space="preserve"> and </w:t>
      </w:r>
      <w:r w:rsidR="005D377D" w:rsidRPr="00DA4B15">
        <w:rPr>
          <w:rFonts w:eastAsia="Times New Roman" w:cs="Times New Roman"/>
          <w:b/>
          <w:bCs/>
          <w:szCs w:val="24"/>
          <w:lang w:val="en-GB" w:eastAsia="en-GB"/>
        </w:rPr>
        <w:t>(</w:t>
      </w:r>
      <w:r w:rsidR="00386C19" w:rsidRPr="00DA4B15">
        <w:rPr>
          <w:rFonts w:eastAsia="Times New Roman" w:cs="Times New Roman"/>
          <w:b/>
          <w:bCs/>
          <w:szCs w:val="24"/>
          <w:lang w:val="en-GB" w:eastAsia="en-GB"/>
        </w:rPr>
        <w:t>3</w:t>
      </w:r>
      <w:r w:rsidR="005D377D" w:rsidRPr="00DA4B15">
        <w:rPr>
          <w:rFonts w:eastAsia="Times New Roman" w:cs="Times New Roman"/>
          <w:b/>
          <w:bCs/>
          <w:szCs w:val="24"/>
          <w:lang w:val="en-GB" w:eastAsia="en-GB"/>
        </w:rPr>
        <w:t>)</w:t>
      </w:r>
      <w:r w:rsidR="005D377D">
        <w:rPr>
          <w:rFonts w:eastAsia="Times New Roman" w:cs="Times New Roman"/>
          <w:szCs w:val="24"/>
          <w:lang w:val="en-GB" w:eastAsia="en-GB"/>
        </w:rPr>
        <w:t xml:space="preserve"> unhooking any visible material attached to swimmers whenever possible before </w:t>
      </w:r>
      <w:r w:rsidR="00215B45">
        <w:rPr>
          <w:rFonts w:eastAsia="Times New Roman" w:cs="Times New Roman"/>
          <w:szCs w:val="24"/>
          <w:lang w:val="en-GB" w:eastAsia="en-GB"/>
        </w:rPr>
        <w:t>removal</w:t>
      </w:r>
      <w:r w:rsidR="005D377D">
        <w:rPr>
          <w:rFonts w:eastAsia="Times New Roman" w:cs="Times New Roman"/>
          <w:szCs w:val="24"/>
          <w:lang w:val="en-GB" w:eastAsia="en-GB"/>
        </w:rPr>
        <w:t xml:space="preserve">. </w:t>
      </w:r>
      <w:r w:rsidR="002D0007">
        <w:rPr>
          <w:color w:val="000000"/>
        </w:rPr>
        <w:t>Furthermore, the deployment position of the fixed mooring line (i.e., station 12) was predetermined by Ariane modeling simulations (Grima and Maes, pers. comm., 2019) to minimize the impact of regional dynamics features (e.g., current velocities and physical dynamics that can drag the mooring line, tilt the trap or cause upward motions)</w:t>
      </w:r>
      <w:r w:rsidR="00685103">
        <w:rPr>
          <w:color w:val="000000"/>
        </w:rPr>
        <w:t xml:space="preserve">. </w:t>
      </w:r>
      <w:r w:rsidR="00E97425">
        <w:rPr>
          <w:rFonts w:eastAsia="Times New Roman" w:cs="Times New Roman"/>
          <w:szCs w:val="24"/>
          <w:lang w:val="en-GB" w:eastAsia="en-GB"/>
        </w:rPr>
        <w:t xml:space="preserve">Although we are aware of these biases, sediment traps remain the only way </w:t>
      </w:r>
      <w:r w:rsidR="00386C19">
        <w:rPr>
          <w:rFonts w:eastAsia="Times New Roman" w:cs="Times New Roman"/>
          <w:szCs w:val="24"/>
          <w:lang w:val="en-GB" w:eastAsia="en-GB"/>
        </w:rPr>
        <w:t>to collect free-</w:t>
      </w:r>
      <w:r w:rsidR="00E97425">
        <w:rPr>
          <w:rFonts w:eastAsia="Times New Roman" w:cs="Times New Roman"/>
          <w:szCs w:val="24"/>
          <w:lang w:val="en-GB" w:eastAsia="en-GB"/>
        </w:rPr>
        <w:t>sinking particles from the suspended pool</w:t>
      </w:r>
      <w:r w:rsidR="003D0AFD">
        <w:rPr>
          <w:rFonts w:eastAsia="Times New Roman" w:cs="Times New Roman"/>
          <w:szCs w:val="24"/>
          <w:lang w:val="en-GB" w:eastAsia="en-GB"/>
        </w:rPr>
        <w:t>,</w:t>
      </w:r>
      <w:r w:rsidR="00E97425">
        <w:rPr>
          <w:rFonts w:eastAsia="Times New Roman" w:cs="Times New Roman"/>
          <w:szCs w:val="24"/>
          <w:lang w:val="en-GB" w:eastAsia="en-GB"/>
        </w:rPr>
        <w:t xml:space="preserve"> and </w:t>
      </w:r>
      <w:r w:rsidR="00807D21">
        <w:rPr>
          <w:rFonts w:eastAsia="Times New Roman" w:cs="Times New Roman"/>
          <w:szCs w:val="24"/>
          <w:lang w:val="en-GB" w:eastAsia="en-GB"/>
        </w:rPr>
        <w:t>fix</w:t>
      </w:r>
      <w:r w:rsidR="00E97425">
        <w:rPr>
          <w:rFonts w:eastAsia="Times New Roman" w:cs="Times New Roman"/>
          <w:szCs w:val="24"/>
          <w:lang w:val="en-GB" w:eastAsia="en-GB"/>
        </w:rPr>
        <w:t xml:space="preserve">ed traps are </w:t>
      </w:r>
      <w:r w:rsidR="00E97425">
        <w:rPr>
          <w:rFonts w:eastAsia="Times New Roman" w:cs="Times New Roman"/>
          <w:szCs w:val="24"/>
          <w:lang w:val="en-GB" w:eastAsia="en-GB"/>
        </w:rPr>
        <w:lastRenderedPageBreak/>
        <w:t xml:space="preserve">the only tool capable of collecting </w:t>
      </w:r>
      <w:r w:rsidR="00386C19">
        <w:rPr>
          <w:rFonts w:eastAsia="Times New Roman" w:cs="Times New Roman"/>
          <w:szCs w:val="24"/>
          <w:lang w:val="en-GB" w:eastAsia="en-GB"/>
        </w:rPr>
        <w:t>free-</w:t>
      </w:r>
      <w:r w:rsidR="00E97425">
        <w:rPr>
          <w:rFonts w:eastAsia="Times New Roman" w:cs="Times New Roman"/>
          <w:szCs w:val="24"/>
          <w:lang w:val="en-GB" w:eastAsia="en-GB"/>
        </w:rPr>
        <w:t xml:space="preserve">sinking material annually in a specific region. The physical conditions of the </w:t>
      </w:r>
      <w:r w:rsidR="00B4693F">
        <w:rPr>
          <w:rFonts w:eastAsia="Times New Roman" w:cs="Times New Roman"/>
          <w:szCs w:val="24"/>
          <w:lang w:val="en-GB" w:eastAsia="en-GB"/>
        </w:rPr>
        <w:t>fix</w:t>
      </w:r>
      <w:r w:rsidR="00E97425">
        <w:rPr>
          <w:rFonts w:eastAsia="Times New Roman" w:cs="Times New Roman"/>
          <w:szCs w:val="24"/>
          <w:lang w:val="en-GB" w:eastAsia="en-GB"/>
        </w:rPr>
        <w:t>ed sediment trap</w:t>
      </w:r>
      <w:r w:rsidR="00685103">
        <w:rPr>
          <w:rFonts w:eastAsia="Times New Roman" w:cs="Times New Roman"/>
          <w:szCs w:val="24"/>
          <w:lang w:val="en-GB" w:eastAsia="en-GB"/>
        </w:rPr>
        <w:t>s</w:t>
      </w:r>
      <w:r w:rsidR="00E97425">
        <w:rPr>
          <w:rFonts w:eastAsia="Times New Roman" w:cs="Times New Roman"/>
          <w:szCs w:val="24"/>
          <w:lang w:val="en-GB" w:eastAsia="en-GB"/>
        </w:rPr>
        <w:t xml:space="preserve"> at different deployment depths are described in </w:t>
      </w:r>
      <w:r w:rsidR="00E97425" w:rsidRPr="00E97425">
        <w:rPr>
          <w:rFonts w:eastAsia="Times New Roman" w:cs="Times New Roman"/>
          <w:i/>
          <w:iCs/>
          <w:szCs w:val="24"/>
          <w:lang w:val="en-GB" w:eastAsia="en-GB"/>
        </w:rPr>
        <w:t>Text S1</w:t>
      </w:r>
      <w:r w:rsidR="00E97425">
        <w:rPr>
          <w:rFonts w:eastAsia="Times New Roman" w:cs="Times New Roman"/>
          <w:szCs w:val="24"/>
          <w:lang w:val="en-GB" w:eastAsia="en-GB"/>
        </w:rPr>
        <w:t>.</w:t>
      </w:r>
    </w:p>
    <w:p w14:paraId="0579B27E" w14:textId="3A7374AF" w:rsidR="00562536" w:rsidRPr="00376CC5" w:rsidRDefault="00562536" w:rsidP="00562536">
      <w:pPr>
        <w:pStyle w:val="Titre2"/>
        <w:rPr>
          <w:lang w:val="en-GB" w:eastAsia="en-GB"/>
        </w:rPr>
      </w:pPr>
      <w:r>
        <w:rPr>
          <w:lang w:val="en-GB" w:eastAsia="en-GB"/>
        </w:rPr>
        <w:t xml:space="preserve">Non-vertical sinking of particles collected in </w:t>
      </w:r>
      <w:r w:rsidR="005E1217">
        <w:rPr>
          <w:lang w:val="en-GB" w:eastAsia="en-GB"/>
        </w:rPr>
        <w:t xml:space="preserve">the fixed </w:t>
      </w:r>
      <w:r>
        <w:rPr>
          <w:lang w:val="en-GB" w:eastAsia="en-GB"/>
        </w:rPr>
        <w:t>sediment trap</w:t>
      </w:r>
    </w:p>
    <w:p w14:paraId="1FA14B05" w14:textId="414B0E91" w:rsidR="00562536" w:rsidRPr="00CB3BA5" w:rsidRDefault="00DA26A6" w:rsidP="002D0DDD">
      <w:pPr>
        <w:spacing w:line="480" w:lineRule="auto"/>
        <w:jc w:val="both"/>
        <w:rPr>
          <w:rFonts w:eastAsia="Times New Roman" w:cs="Times New Roman"/>
          <w:szCs w:val="24"/>
          <w:lang w:eastAsia="en-GB"/>
        </w:rPr>
      </w:pPr>
      <w:r>
        <w:rPr>
          <w:color w:val="000000"/>
        </w:rPr>
        <w:t>The peaks of the different fractions composing the material were not simultaneously observed in the traps deployed at 200 and 1000 m at the same site (</w:t>
      </w:r>
      <w:r>
        <w:rPr>
          <w:i/>
          <w:iCs/>
          <w:color w:val="000000"/>
        </w:rPr>
        <w:t>Fig. 2</w:t>
      </w:r>
      <w:r>
        <w:rPr>
          <w:color w:val="000000"/>
        </w:rPr>
        <w:t xml:space="preserve">). The temporal shift of these peaks would indicate that particles would be collected at 1000 m, 30 to 56 days after being collected at 200 m. This observation suggests that while sinking toward the seafloor, the particles were subject to horizontal transport, in view of the westward main current </w:t>
      </w:r>
      <w:r w:rsidR="00C52539">
        <w:rPr>
          <w:rFonts w:eastAsia="Times New Roman" w:cs="Times New Roman"/>
          <w:szCs w:val="24"/>
          <w:lang w:val="en-GB" w:eastAsia="en-GB"/>
        </w:rPr>
        <w:fldChar w:fldCharType="begin"/>
      </w:r>
      <w:r w:rsidR="00C52539">
        <w:rPr>
          <w:rFonts w:eastAsia="Times New Roman" w:cs="Times New Roman"/>
          <w:szCs w:val="24"/>
          <w:lang w:val="en-GB" w:eastAsia="en-GB"/>
        </w:rPr>
        <w:instrText xml:space="preserve"> ADDIN ZOTERO_ITEM CSL_CITATION {"citationID":"lfHUmYBh","properties":{"formattedCitation":"(Tilliette et al., 2022)","plainCitation":"(Tilliette et al., 2022)","noteIndex":0},"citationItems":[{"id":819,"uris":["http://zotero.org/users/local/01lnVYoF/items/YIPANZYN"],"itemData":{"id":819,"type":"article-journal","container-title":"Global Biogeochemical Cycles","DOI":"10.1029/2022GB007363","ISSN":"0886-6236, 1944-9224","journalAbbreviation":"Global Biogeochemical Cycles","language":"en","source":"DOI.org (Crossref)","title":"Dissolved iron patterns impacted by shallow hydrothermal sources along a transect through the Tonga‐Kermadec arc","URL":"https://onlinelibrary.wiley.com/doi/10.1029/2022GB007363","author":[{"family":"Tilliette","given":"Chloé"},{"family":"Taillandier","given":"Vincent"},{"family":"Bouruet‐Aubertot","given":"Pascale"},{"family":"Grima","given":"Nicolas"},{"family":"Maes","given":"Christophe"},{"family":"Montanes","given":"Maryline"},{"family":"Sarthou","given":"Géraldine"},{"family":"Vorrath","given":"Maria-Elena"},{"family":"Arnone","given":"Veronica"},{"family":"Bressac","given":"Matthieu"},{"family":"González‐Santana","given":"David"},{"family":"Gazeau","given":"Frédéric"},{"family":"Guieu","given":"Cécile"}],"accessed":{"date-parts":[["2022",7,4]]},"issued":{"date-parts":[["2022",7,4]]}}}],"schema":"https://github.com/citation-style-language/schema/raw/master/csl-citation.json"} </w:instrText>
      </w:r>
      <w:r w:rsidR="00C52539">
        <w:rPr>
          <w:rFonts w:eastAsia="Times New Roman" w:cs="Times New Roman"/>
          <w:szCs w:val="24"/>
          <w:lang w:val="en-GB" w:eastAsia="en-GB"/>
        </w:rPr>
        <w:fldChar w:fldCharType="separate"/>
      </w:r>
      <w:r w:rsidR="00C52539" w:rsidRPr="00C52539">
        <w:rPr>
          <w:rFonts w:cs="Times New Roman"/>
        </w:rPr>
        <w:t>(Tilliette et al., 2022)</w:t>
      </w:r>
      <w:r w:rsidR="00C52539">
        <w:rPr>
          <w:rFonts w:eastAsia="Times New Roman" w:cs="Times New Roman"/>
          <w:szCs w:val="24"/>
          <w:lang w:val="en-GB" w:eastAsia="en-GB"/>
        </w:rPr>
        <w:fldChar w:fldCharType="end"/>
      </w:r>
      <w:r w:rsidR="00C52539" w:rsidRPr="00C52539">
        <w:rPr>
          <w:rFonts w:eastAsia="Times New Roman" w:cs="Times New Roman"/>
          <w:szCs w:val="24"/>
          <w:lang w:val="en-GB" w:eastAsia="en-GB"/>
        </w:rPr>
        <w:t xml:space="preserve">. Thus, the collected particles sank progressively from the photic layer near the arc (0-150 m) while being horizontally advected toward the location of the fixed mooring. The time lag between the collection at 200 and 1000 m is due to depth-dependent physical dynamics (faster current velocity at surface and </w:t>
      </w:r>
      <w:r w:rsidR="00C52539">
        <w:rPr>
          <w:color w:val="000000"/>
        </w:rPr>
        <w:t>influence of mesoscale structures predominant in the sub-region</w:t>
      </w:r>
      <w:r w:rsidR="00C52539" w:rsidRPr="00C52539">
        <w:rPr>
          <w:rFonts w:eastAsia="Times New Roman" w:cs="Times New Roman"/>
          <w:szCs w:val="24"/>
          <w:lang w:val="en-GB" w:eastAsia="en-GB"/>
        </w:rPr>
        <w:t>;</w:t>
      </w:r>
      <w:r w:rsidR="00C52539">
        <w:rPr>
          <w:rFonts w:eastAsia="Times New Roman" w:cs="Times New Roman"/>
          <w:szCs w:val="24"/>
          <w:lang w:val="en-GB" w:eastAsia="en-GB"/>
        </w:rPr>
        <w:t xml:space="preserve"> </w:t>
      </w:r>
      <w:r w:rsidR="00C52539">
        <w:rPr>
          <w:rFonts w:eastAsia="Times New Roman" w:cs="Times New Roman"/>
          <w:szCs w:val="24"/>
          <w:lang w:val="en-GB" w:eastAsia="en-GB"/>
        </w:rPr>
        <w:fldChar w:fldCharType="begin"/>
      </w:r>
      <w:r w:rsidR="00187405">
        <w:rPr>
          <w:rFonts w:eastAsia="Times New Roman" w:cs="Times New Roman"/>
          <w:szCs w:val="24"/>
          <w:lang w:val="en-GB" w:eastAsia="en-GB"/>
        </w:rPr>
        <w:instrText xml:space="preserve"> ADDIN ZOTERO_ITEM CSL_CITATION {"citationID":"UNDcr464","properties":{"formattedCitation":"(Rousselet et al., 2018)","plainCitation":"(Rousselet et al., 2018)","dontUpdate":true,"noteIndex":0},"citationItems":[{"id":361,"uris":["http://zotero.org/users/local/01lnVYoF/items/QT8YTM8C"],"itemData":{"id":361,"type":"article-journal","abstract":"Abstract. The patterns of the large-scale, meso- and submesoscale surface circulation\non biogeochemical and biological distributions are examined in the western\ntropical South Pacific (WTSP) in the context of the OUTPACE cruise\n(February–April 2015). Multi-disciplinary original in situ observations were\nachieved along a zonal transect through the WTSP and their analysis was\ncoupled with satellite data. The use of Lagrangian diagnostics allows for the\nidentification of water mass pathways, mesoscale structures, and submesoscale\nfeatures such as fronts. In particular, we confirmed the existence of a\nglobal wind-driven southward circulation of surface waters in the entire\nWTSP, using a new high-resolution altimetry-derived product, validated by in\nsitu drifters, that includes cyclogeostrophy and Ekman components with\ngeostrophy. The mesoscale activity is shown to be responsible for\ncounter-intuitive water mass trajectories in two subregions: (i) the Coral\nSea, with surface exchanges between the North Vanuatu Jet and the North\nCaledonian Jet, and (ii) around 170</w:instrText>
      </w:r>
      <w:r w:rsidR="00187405">
        <w:rPr>
          <w:rFonts w:ascii="Cambria Math" w:eastAsia="Times New Roman" w:hAnsi="Cambria Math" w:cs="Cambria Math"/>
          <w:szCs w:val="24"/>
          <w:lang w:val="en-GB" w:eastAsia="en-GB"/>
        </w:rPr>
        <w:instrText>∘</w:instrText>
      </w:r>
      <w:r w:rsidR="00187405">
        <w:rPr>
          <w:rFonts w:eastAsia="Times New Roman" w:cs="Times New Roman"/>
          <w:szCs w:val="24"/>
          <w:lang w:val="en-GB" w:eastAsia="en-GB"/>
        </w:rPr>
        <w:instrText xml:space="preserve"> W, with an eastward pathway,\nwhereas a westward general direction dominates. Fronts and small-scale\nfeatures, detected with finite-size Lyapunov exponents (FSLEs), are correlated\nwith 25 % of surface tracer gradients, which reveals the significance of\nsuch structures in the generation of submesoscale surface gradients.\nAdditionally, two high-frequency sampling transects of biogeochemical\nparameters and microorganism abundances demonstrate the influence of fronts\nin controlling the spatial distribution of bacteria and phytoplankton, and as\na consequence the microbial community structure. All circulation scales play\nan important role that has to be taken into account not only when analysing the data\nfrom OUTPACE but also, more generally, for understanding the global distribution\nof biogeochemical components.","container-title":"Biogeosciences","DOI":"10.5194/bg-15-2411-2018","ISSN":"1726-4189","issue":"8","journalAbbreviation":"Biogeosciences","language":"en","page":"2411-2431","source":"DOI.org (Crossref)","title":"Large- to submesoscale surface circulation and its implications on biogeochemical/biological horizontal distributions during the OUTPACE cruise (southwest Pacific)","volume":"15","author":[{"family":"Rousselet","given":"Louise"},{"family":"Verneil","given":"Alain","non-dropping-particle":"de"},{"family":"Doglioli","given":"Andrea M."},{"family":"Petrenko","given":"Anne A."},{"family":"Duhamel","given":"Solange"},{"family":"Maes","given":"Christophe"},{"family":"Blanke","given":"Bruno"}],"issued":{"date-parts":[["2018",4,20]]}}}],"schema":"https://github.com/citation-style-language/schema/raw/master/csl-citation.json"} </w:instrText>
      </w:r>
      <w:r w:rsidR="00C52539">
        <w:rPr>
          <w:rFonts w:eastAsia="Times New Roman" w:cs="Times New Roman"/>
          <w:szCs w:val="24"/>
          <w:lang w:val="en-GB" w:eastAsia="en-GB"/>
        </w:rPr>
        <w:fldChar w:fldCharType="separate"/>
      </w:r>
      <w:r w:rsidR="00C52539" w:rsidRPr="00C52539">
        <w:rPr>
          <w:rFonts w:cs="Times New Roman"/>
        </w:rPr>
        <w:t>Rousselet et al., 2018)</w:t>
      </w:r>
      <w:r w:rsidR="00C52539">
        <w:rPr>
          <w:rFonts w:eastAsia="Times New Roman" w:cs="Times New Roman"/>
          <w:szCs w:val="24"/>
          <w:lang w:val="en-GB" w:eastAsia="en-GB"/>
        </w:rPr>
        <w:fldChar w:fldCharType="end"/>
      </w:r>
      <w:r w:rsidR="00C52539" w:rsidRPr="00C52539">
        <w:rPr>
          <w:rFonts w:eastAsia="Times New Roman" w:cs="Times New Roman"/>
          <w:szCs w:val="24"/>
          <w:lang w:val="en-GB" w:eastAsia="en-GB"/>
        </w:rPr>
        <w:t xml:space="preserve"> as well as the travel time of the water masses, much faster at 200 m than at 1000 m. Indeed, Lagrangian simulations through Ariane software showed that sinking particles from the Tonga Arc require 61 and 103 days to reach the fixed trap site at 200 and 1000 m, respectively (Grima, pers. comm., 2022). This is consistent with the time lag between the observed peaks at 200 and 1000 m</w:t>
      </w:r>
      <w:r w:rsidR="00AB11A6">
        <w:rPr>
          <w:rFonts w:eastAsia="Times New Roman" w:cs="Times New Roman"/>
          <w:szCs w:val="24"/>
          <w:lang w:val="en-GB" w:eastAsia="en-GB"/>
        </w:rPr>
        <w:t xml:space="preserve"> </w:t>
      </w:r>
      <w:r w:rsidR="00AB11A6">
        <w:rPr>
          <w:color w:val="000000"/>
        </w:rPr>
        <w:t>(e.g., current velocities and physical dynamics that can drag the mooring line, tilt the trap or cause upward motions)</w:t>
      </w:r>
      <w:r w:rsidR="00C52539" w:rsidRPr="00C52539">
        <w:rPr>
          <w:rFonts w:eastAsia="Times New Roman" w:cs="Times New Roman"/>
          <w:szCs w:val="24"/>
          <w:lang w:val="en-GB" w:eastAsia="en-GB"/>
        </w:rPr>
        <w:t xml:space="preserve">. These longer transport times (&gt; one month) of particles collected at 1000 m may also explain the larger amounts of particles collected in some cases </w:t>
      </w:r>
      <w:r w:rsidR="00D922EE">
        <w:rPr>
          <w:rFonts w:eastAsia="Times New Roman" w:cs="Times New Roman"/>
          <w:szCs w:val="24"/>
          <w:lang w:val="en-GB" w:eastAsia="en-GB"/>
        </w:rPr>
        <w:t>at depth</w:t>
      </w:r>
      <w:r w:rsidR="00C52539" w:rsidRPr="00C52539">
        <w:rPr>
          <w:rFonts w:eastAsia="Times New Roman" w:cs="Times New Roman"/>
          <w:szCs w:val="24"/>
          <w:lang w:val="en-GB" w:eastAsia="en-GB"/>
        </w:rPr>
        <w:t>. This reasoning suggests that an important portion of the sinking material collected in the sediment traps at station 12 would originate from the photic layer near the Tonga Arc, influenced by shallow hydrothermal fluids, as discussed later in this manuscript. Nevertheless, the finding of a non-vertical sinking of suspended particles highlights the importance of employing numerous precautions when interpreting sediment trap data, especially when estimating POC transfer efficiency, which would then be completely spurious in such a case.</w:t>
      </w:r>
    </w:p>
    <w:p w14:paraId="52397311" w14:textId="11CFCF39" w:rsidR="009243F3" w:rsidRDefault="00B07D59" w:rsidP="00676BE6">
      <w:pPr>
        <w:pStyle w:val="Titre2"/>
        <w:rPr>
          <w:lang w:val="en-GB" w:eastAsia="en-GB"/>
        </w:rPr>
      </w:pPr>
      <w:r>
        <w:rPr>
          <w:lang w:val="en-GB" w:eastAsia="en-GB"/>
        </w:rPr>
        <w:lastRenderedPageBreak/>
        <w:t>Biogenic</w:t>
      </w:r>
      <w:r w:rsidR="009243F3">
        <w:rPr>
          <w:lang w:val="en-GB" w:eastAsia="en-GB"/>
        </w:rPr>
        <w:t xml:space="preserve"> component</w:t>
      </w:r>
      <w:r w:rsidR="00B627E4">
        <w:rPr>
          <w:lang w:val="en-GB" w:eastAsia="en-GB"/>
        </w:rPr>
        <w:t>s</w:t>
      </w:r>
      <w:r w:rsidR="009243F3">
        <w:rPr>
          <w:lang w:val="en-GB" w:eastAsia="en-GB"/>
        </w:rPr>
        <w:t xml:space="preserve"> of sinking particles and seafloor sediments</w:t>
      </w:r>
    </w:p>
    <w:p w14:paraId="249B91BB" w14:textId="5FB12894" w:rsidR="009243F3" w:rsidRDefault="00E971A3" w:rsidP="00676BE6">
      <w:pPr>
        <w:pStyle w:val="Titre3"/>
        <w:rPr>
          <w:b w:val="0"/>
          <w:bCs/>
          <w:i/>
          <w:iCs/>
        </w:rPr>
      </w:pPr>
      <w:r>
        <w:rPr>
          <w:b w:val="0"/>
          <w:bCs/>
          <w:i/>
          <w:iCs/>
        </w:rPr>
        <w:t>Summary</w:t>
      </w:r>
      <w:r w:rsidR="009243F3">
        <w:rPr>
          <w:b w:val="0"/>
          <w:bCs/>
          <w:i/>
          <w:iCs/>
        </w:rPr>
        <w:t xml:space="preserve"> of producti</w:t>
      </w:r>
      <w:r w:rsidR="00827676">
        <w:rPr>
          <w:b w:val="0"/>
          <w:bCs/>
          <w:i/>
          <w:iCs/>
        </w:rPr>
        <w:t>on</w:t>
      </w:r>
      <w:r w:rsidR="009243F3">
        <w:rPr>
          <w:b w:val="0"/>
          <w:bCs/>
          <w:i/>
          <w:iCs/>
        </w:rPr>
        <w:t xml:space="preserve"> </w:t>
      </w:r>
      <w:r>
        <w:rPr>
          <w:b w:val="0"/>
          <w:bCs/>
          <w:i/>
          <w:iCs/>
        </w:rPr>
        <w:t>at</w:t>
      </w:r>
      <w:r w:rsidR="009243F3">
        <w:rPr>
          <w:b w:val="0"/>
          <w:bCs/>
          <w:i/>
          <w:iCs/>
        </w:rPr>
        <w:t xml:space="preserve"> </w:t>
      </w:r>
      <w:r w:rsidR="00D02F20">
        <w:rPr>
          <w:b w:val="0"/>
          <w:bCs/>
          <w:i/>
          <w:iCs/>
        </w:rPr>
        <w:t>studied</w:t>
      </w:r>
      <w:r w:rsidR="009243F3">
        <w:rPr>
          <w:b w:val="0"/>
          <w:bCs/>
          <w:i/>
          <w:iCs/>
        </w:rPr>
        <w:t xml:space="preserve"> stations </w:t>
      </w:r>
      <w:r w:rsidR="002229A9">
        <w:rPr>
          <w:b w:val="0"/>
          <w:bCs/>
          <w:i/>
          <w:iCs/>
        </w:rPr>
        <w:t>during austral summer conditions</w:t>
      </w:r>
    </w:p>
    <w:p w14:paraId="00D9D9DB" w14:textId="5A569564" w:rsidR="009243F3" w:rsidRDefault="00FE1A6F" w:rsidP="00FE1A6F">
      <w:pPr>
        <w:spacing w:line="480" w:lineRule="auto"/>
        <w:jc w:val="both"/>
      </w:pPr>
      <w:r>
        <w:t>During the T</w:t>
      </w:r>
      <w:r w:rsidR="00FD47E9">
        <w:t xml:space="preserve">ONGA </w:t>
      </w:r>
      <w:r>
        <w:t xml:space="preserve">cruise </w:t>
      </w:r>
      <w:r w:rsidR="00594ED9">
        <w:t>in</w:t>
      </w:r>
      <w:r>
        <w:t xml:space="preserve"> the austral summer</w:t>
      </w:r>
      <w:r w:rsidR="00B305B8">
        <w:t xml:space="preserve"> (Bonnet, pers. comm., 2022)</w:t>
      </w:r>
      <w:r>
        <w:t>, h</w:t>
      </w:r>
      <w:r w:rsidR="009243F3">
        <w:t>igh rates of primary producti</w:t>
      </w:r>
      <w:r w:rsidR="00827676">
        <w:t>on</w:t>
      </w:r>
      <w:r w:rsidR="00246760">
        <w:t xml:space="preserve"> </w:t>
      </w:r>
      <w:r w:rsidR="000847DB">
        <w:t xml:space="preserve">(PP) </w:t>
      </w:r>
      <w:r w:rsidR="009243F3">
        <w:t xml:space="preserve">were </w:t>
      </w:r>
      <w:r w:rsidR="007E31C5">
        <w:t>estimated in</w:t>
      </w:r>
      <w:r w:rsidR="0052651F">
        <w:t xml:space="preserve"> the Lau Basin</w:t>
      </w:r>
      <w:r w:rsidR="009243F3">
        <w:t xml:space="preserve"> </w:t>
      </w:r>
      <w:r w:rsidR="0052651F">
        <w:t>(up to</w:t>
      </w:r>
      <w:r w:rsidR="00246760">
        <w:t xml:space="preserve"> </w:t>
      </w:r>
      <w:r w:rsidR="00594ED9">
        <w:t xml:space="preserve">145 </w:t>
      </w:r>
      <w:r w:rsidR="003E0A86">
        <w:t>m</w:t>
      </w:r>
      <w:r w:rsidR="009243F3">
        <w:t>mol C m</w:t>
      </w:r>
      <w:r w:rsidR="009243F3" w:rsidRPr="00246760">
        <w:rPr>
          <w:vertAlign w:val="superscript"/>
        </w:rPr>
        <w:t>-2</w:t>
      </w:r>
      <w:r w:rsidR="009243F3">
        <w:t xml:space="preserve"> yr</w:t>
      </w:r>
      <w:r w:rsidR="009243F3" w:rsidRPr="00246760">
        <w:rPr>
          <w:vertAlign w:val="superscript"/>
        </w:rPr>
        <w:t>-</w:t>
      </w:r>
      <w:r w:rsidR="00246760" w:rsidRPr="00246760">
        <w:rPr>
          <w:vertAlign w:val="superscript"/>
        </w:rPr>
        <w:t>1</w:t>
      </w:r>
      <w:r w:rsidR="00594ED9">
        <w:t xml:space="preserve"> at </w:t>
      </w:r>
      <w:r w:rsidR="005418DE">
        <w:t>s</w:t>
      </w:r>
      <w:r w:rsidR="00594ED9">
        <w:t xml:space="preserve">tation 10; </w:t>
      </w:r>
      <w:r w:rsidR="00594ED9" w:rsidRPr="00594ED9">
        <w:rPr>
          <w:i/>
          <w:iCs/>
        </w:rPr>
        <w:t>Table S3</w:t>
      </w:r>
      <w:r w:rsidR="00594ED9">
        <w:t>)</w:t>
      </w:r>
      <w:r>
        <w:t>.</w:t>
      </w:r>
      <w:r w:rsidR="002E1446">
        <w:t xml:space="preserve"> </w:t>
      </w:r>
      <w:r>
        <w:t>This producti</w:t>
      </w:r>
      <w:r w:rsidR="00827676">
        <w:t>on</w:t>
      </w:r>
      <w:r>
        <w:t xml:space="preserve"> was largely supported by cyanobacteria (~70% of total </w:t>
      </w:r>
      <w:r w:rsidR="00594ED9">
        <w:t>chlorophyll-</w:t>
      </w:r>
      <w:r w:rsidR="00594ED9" w:rsidRPr="00594ED9">
        <w:rPr>
          <w:i/>
          <w:iCs/>
        </w:rPr>
        <w:t>a</w:t>
      </w:r>
      <w:r>
        <w:t xml:space="preserve">), primarily diazotrophs such as </w:t>
      </w:r>
      <w:r>
        <w:rPr>
          <w:i/>
          <w:iCs/>
        </w:rPr>
        <w:t>Trichodesmium</w:t>
      </w:r>
      <w:r>
        <w:t xml:space="preserve"> that led </w:t>
      </w:r>
      <w:r w:rsidR="00594ED9">
        <w:t xml:space="preserve">to </w:t>
      </w:r>
      <w:r w:rsidR="00386C19">
        <w:t xml:space="preserve">high </w:t>
      </w:r>
      <w:r>
        <w:t>N</w:t>
      </w:r>
      <w:r w:rsidRPr="00D2428B">
        <w:rPr>
          <w:vertAlign w:val="subscript"/>
        </w:rPr>
        <w:t>2</w:t>
      </w:r>
      <w:r>
        <w:t xml:space="preserve"> fixation rates </w:t>
      </w:r>
      <w:r w:rsidR="00246760">
        <w:t>(</w:t>
      </w:r>
      <w:r w:rsidR="0052651F">
        <w:t xml:space="preserve">up to </w:t>
      </w:r>
      <w:r w:rsidR="00246760">
        <w:t xml:space="preserve">2727 </w:t>
      </w:r>
      <w:r w:rsidR="003E0A86">
        <w:t>µ</w:t>
      </w:r>
      <w:r w:rsidR="00246760">
        <w:t>mol N m</w:t>
      </w:r>
      <w:r w:rsidR="00246760" w:rsidRPr="0052651F">
        <w:rPr>
          <w:vertAlign w:val="superscript"/>
        </w:rPr>
        <w:t>-2</w:t>
      </w:r>
      <w:r w:rsidR="00246760">
        <w:t xml:space="preserve"> d</w:t>
      </w:r>
      <w:r w:rsidR="00246760" w:rsidRPr="0052651F">
        <w:rPr>
          <w:vertAlign w:val="superscript"/>
        </w:rPr>
        <w:t>-</w:t>
      </w:r>
      <w:r w:rsidR="0052651F" w:rsidRPr="0052651F">
        <w:rPr>
          <w:vertAlign w:val="superscript"/>
        </w:rPr>
        <w:t>1</w:t>
      </w:r>
      <w:r w:rsidR="00594ED9">
        <w:t xml:space="preserve"> at station 5)</w:t>
      </w:r>
      <w:r>
        <w:t xml:space="preserve">. </w:t>
      </w:r>
      <w:r w:rsidR="0052651F">
        <w:t>A significant contribution of coccolithophores was also estimated (~25%)</w:t>
      </w:r>
      <w:r w:rsidR="00D02F20">
        <w:t xml:space="preserve"> </w:t>
      </w:r>
      <w:r w:rsidR="00386C19">
        <w:rPr>
          <w:color w:val="000000"/>
        </w:rPr>
        <w:t>while diatoms and dinoflagellates represented less than 10% of total chlorophyll-</w:t>
      </w:r>
      <w:r w:rsidR="00386C19">
        <w:rPr>
          <w:i/>
          <w:iCs/>
          <w:color w:val="000000"/>
        </w:rPr>
        <w:t>a</w:t>
      </w:r>
      <w:r w:rsidR="00386C19">
        <w:rPr>
          <w:color w:val="000000"/>
        </w:rPr>
        <w:t xml:space="preserve"> in the Lau Basin</w:t>
      </w:r>
      <w:r w:rsidR="0052651F">
        <w:t xml:space="preserve">. </w:t>
      </w:r>
      <w:r w:rsidR="00D02F20">
        <w:t xml:space="preserve">In comparison, </w:t>
      </w:r>
      <w:r w:rsidR="000847DB">
        <w:t>PP</w:t>
      </w:r>
      <w:r w:rsidR="00D02F20">
        <w:t xml:space="preserve"> and N</w:t>
      </w:r>
      <w:r w:rsidR="00D02F20" w:rsidRPr="001E0135">
        <w:rPr>
          <w:vertAlign w:val="subscript"/>
        </w:rPr>
        <w:t>2</w:t>
      </w:r>
      <w:r w:rsidR="00D02F20">
        <w:t xml:space="preserve"> fixation were much lower </w:t>
      </w:r>
      <w:r w:rsidR="00594ED9">
        <w:t>at</w:t>
      </w:r>
      <w:r w:rsidR="00D02F20">
        <w:t xml:space="preserve"> </w:t>
      </w:r>
      <w:r w:rsidR="005418DE">
        <w:t>s</w:t>
      </w:r>
      <w:r w:rsidR="00D02F20">
        <w:t xml:space="preserve">tation 8 (&lt; 35 </w:t>
      </w:r>
      <w:r w:rsidR="003E0A86">
        <w:t>m</w:t>
      </w:r>
      <w:r w:rsidR="00D02F20">
        <w:t>mol C m</w:t>
      </w:r>
      <w:r w:rsidR="00D02F20" w:rsidRPr="00246760">
        <w:rPr>
          <w:vertAlign w:val="superscript"/>
        </w:rPr>
        <w:t>-2</w:t>
      </w:r>
      <w:r w:rsidR="00D02F20">
        <w:t xml:space="preserve"> </w:t>
      </w:r>
      <w:r w:rsidR="00594ED9">
        <w:t>d</w:t>
      </w:r>
      <w:r w:rsidR="00D02F20" w:rsidRPr="00246760">
        <w:rPr>
          <w:vertAlign w:val="superscript"/>
        </w:rPr>
        <w:t>-1</w:t>
      </w:r>
      <w:r w:rsidR="00D02F20">
        <w:rPr>
          <w:vertAlign w:val="superscript"/>
        </w:rPr>
        <w:t xml:space="preserve"> </w:t>
      </w:r>
      <w:r w:rsidR="00D02F20">
        <w:t xml:space="preserve">and 225 </w:t>
      </w:r>
      <w:r w:rsidR="003E0A86">
        <w:t>µ</w:t>
      </w:r>
      <w:r w:rsidR="00D02F20">
        <w:t>mol N m</w:t>
      </w:r>
      <w:r w:rsidR="00E40EB8">
        <w:rPr>
          <w:vertAlign w:val="superscript"/>
        </w:rPr>
        <w:t>-</w:t>
      </w:r>
      <w:r w:rsidR="00D02F20" w:rsidRPr="0052651F">
        <w:rPr>
          <w:vertAlign w:val="superscript"/>
        </w:rPr>
        <w:t>2</w:t>
      </w:r>
      <w:r w:rsidR="00D02F20">
        <w:t xml:space="preserve"> d</w:t>
      </w:r>
      <w:r w:rsidR="00D02F20" w:rsidRPr="0052651F">
        <w:rPr>
          <w:vertAlign w:val="superscript"/>
        </w:rPr>
        <w:t>-1</w:t>
      </w:r>
      <w:r w:rsidR="00D02F20">
        <w:t>, respectively)</w:t>
      </w:r>
      <w:r w:rsidR="002E1446">
        <w:t xml:space="preserve"> and supported predominantly by non-diazotroph</w:t>
      </w:r>
      <w:r w:rsidR="00594ED9">
        <w:t>ic</w:t>
      </w:r>
      <w:r w:rsidR="002E1446">
        <w:t xml:space="preserve"> cyanobacteria</w:t>
      </w:r>
      <w:r w:rsidR="007E31C5">
        <w:t xml:space="preserve"> </w:t>
      </w:r>
      <w:r w:rsidR="00B305B8">
        <w:fldChar w:fldCharType="begin"/>
      </w:r>
      <w:r w:rsidR="00B305B8">
        <w:instrText xml:space="preserve"> ADDIN ZOTERO_ITEM CSL_CITATION {"citationID":"Nm3tGdwF","properties":{"formattedCitation":"(Bonnet et al., in rev.)","plainCitation":"(Bonnet et al., in rev.)","noteIndex":0},"citationItems":[{"id":647,"uris":["http://zotero.org/users/local/01lnVYoF/items/EC2B7ZIW"],"itemData":{"id":647,"type":"article-journal","abstract":"Iron is an essential nutrient, regulating productivity in ~30% of the ocean. Compared to deep (&gt;2000 m) hydrothermal activity at mid-ocean ridges that provide iron to the ocean’s interior, shallow (&lt;500 m) hydrothermal fluids are likely to influence the surface’s ecosystem. However, their effect is unknown. Here we show that fluids emitted along the Tonga volcanic Arc (South Pacific) have a dramatic impact on iron concentrations in the photic layer through vertical diffusion. This enrichment stimulates biological activity, resulting in an extensive patch of chlorophyll. Diazotroph activity is 2-8 times higher, and carbon export fluxes 2-3 times, compared to adjacent unfertilized waters. Such findings reveal a novel mechanism of natural iron fertilization in the ocean, fueling regional hot spot sinks for atmospheric CO2.","container-title":"Science","title":"Natural iron fertilization by shallow hydrothermal sources fuels diazotroph blooms in the Ocean","author":[{"family":"Bonnet","given":"S."},{"family":"Guieu","given":"C."},{"family":"Taillandier","given":"V."},{"family":"Boulart","given":"C."},{"family":"Bouruet-Aubertot","given":"P."},{"family":"Gazeau","given":"F."},{"family":"Bressac","given":"M."},{"family":"Knapp","given":"A. N."},{"family":"Cuypers","given":"Y."},{"family":"González-Santana","given":"D."},{"family":"Forrer","given":"H. J."},{"family":"Grisoni","given":"J.-M."},{"family":"Grosso","given":"O."},{"family":"Habasque","given":"J."},{"family":"Jardin-Camps","given":"M."},{"family":"Leblond","given":"N."},{"family":"Le Moigne","given":"F."},{"family":"Lebourges-Dhaussy","given":"A."},{"family":"Lory","given":"C."},{"family":"Nunige","given":"S."},{"family":"Pulido-Villena","given":"E."},{"family":"Rizzo","given":"A. L."},{"family":"Sarthou","given":"G."},{"family":"Tilliette","given":"C."}],"issued":{"literal":"in rev."}}}],"schema":"https://github.com/citation-style-language/schema/raw/master/csl-citation.json"} </w:instrText>
      </w:r>
      <w:r w:rsidR="00B305B8">
        <w:fldChar w:fldCharType="separate"/>
      </w:r>
      <w:r w:rsidR="00B305B8" w:rsidRPr="00B305B8">
        <w:rPr>
          <w:rFonts w:cs="Times New Roman"/>
        </w:rPr>
        <w:t>(Bonnet et al., in rev.)</w:t>
      </w:r>
      <w:r w:rsidR="00B305B8">
        <w:fldChar w:fldCharType="end"/>
      </w:r>
      <w:r w:rsidR="00B305B8">
        <w:t>.</w:t>
      </w:r>
    </w:p>
    <w:p w14:paraId="1BDE507C" w14:textId="00AC4061" w:rsidR="0052651F" w:rsidRDefault="00110394" w:rsidP="00676BE6">
      <w:pPr>
        <w:pStyle w:val="Titre3"/>
        <w:rPr>
          <w:b w:val="0"/>
          <w:bCs/>
          <w:i/>
          <w:iCs/>
        </w:rPr>
      </w:pPr>
      <w:r>
        <w:rPr>
          <w:b w:val="0"/>
          <w:bCs/>
          <w:i/>
          <w:iCs/>
        </w:rPr>
        <w:t>Calcium carbonate</w:t>
      </w:r>
    </w:p>
    <w:p w14:paraId="0FE700D4" w14:textId="3120803B" w:rsidR="009243F3" w:rsidRDefault="00946A63" w:rsidP="00D23535">
      <w:pPr>
        <w:spacing w:line="480" w:lineRule="auto"/>
        <w:jc w:val="both"/>
        <w:rPr>
          <w:rFonts w:cs="Times New Roman"/>
        </w:rPr>
      </w:pPr>
      <w:bookmarkStart w:id="19" w:name="_Hlk125561234"/>
      <w:r>
        <w:rPr>
          <w:color w:val="000000"/>
        </w:rPr>
        <w:t xml:space="preserve">In the </w:t>
      </w:r>
      <w:r w:rsidRPr="001C1E50">
        <w:rPr>
          <w:color w:val="000000"/>
          <w:szCs w:val="24"/>
        </w:rPr>
        <w:t>ocean, the dominant source of CaCO</w:t>
      </w:r>
      <w:r w:rsidRPr="001C1E50">
        <w:rPr>
          <w:color w:val="000000"/>
          <w:szCs w:val="24"/>
          <w:vertAlign w:val="subscript"/>
        </w:rPr>
        <w:t xml:space="preserve">3 </w:t>
      </w:r>
      <w:r w:rsidRPr="001C1E50">
        <w:rPr>
          <w:color w:val="000000"/>
          <w:szCs w:val="24"/>
        </w:rPr>
        <w:t xml:space="preserve">(mainly calcite) comes from a wide variety of pelagic organisms such as coccolithophores and foraminifera </w:t>
      </w:r>
      <w:r w:rsidR="00913F3D" w:rsidRPr="001C1E50">
        <w:rPr>
          <w:rFonts w:cs="Times New Roman"/>
          <w:szCs w:val="24"/>
        </w:rPr>
        <w:fldChar w:fldCharType="begin"/>
      </w:r>
      <w:r w:rsidR="00913F3D" w:rsidRPr="001C1E50">
        <w:rPr>
          <w:rFonts w:cs="Times New Roman"/>
          <w:szCs w:val="24"/>
        </w:rPr>
        <w:instrText xml:space="preserve"> ADDIN ZOTERO_ITEM CSL_CITATION {"citationID":"3PhxH2Kl","properties":{"formattedCitation":"(Morse et al., 2007)","plainCitation":"(Morse et al., 2007)","noteIndex":0},"citationItems":[{"id":865,"uris":["http://zotero.org/users/local/01lnVYoF/items/2F9R3IVD"],"itemData":{"id":865,"type":"article-journal","container-title":"Chemical Reviews","DOI":"10.1021/cr050358j","ISSN":"0009-2665, 1520-6890","issue":"2","journalAbbreviation":"Chem. Rev.","language":"en","page":"342-381","source":"DOI.org (Crossref)","title":"Calcium Carbonate Formation and Dissolution","volume":"107","author":[{"family":"Morse","given":"John W."},{"family":"Arvidson","given":"Rolf S."},{"family":"Lüttge","given":"Andreas"}],"issued":{"date-parts":[["2007",2,1]]}}}],"schema":"https://github.com/citation-style-language/schema/raw/master/csl-citation.json"} </w:instrText>
      </w:r>
      <w:r w:rsidR="00913F3D" w:rsidRPr="001C1E50">
        <w:rPr>
          <w:rFonts w:cs="Times New Roman"/>
          <w:szCs w:val="24"/>
        </w:rPr>
        <w:fldChar w:fldCharType="separate"/>
      </w:r>
      <w:r w:rsidR="00913F3D" w:rsidRPr="001C1E50">
        <w:rPr>
          <w:rFonts w:cs="Times New Roman"/>
          <w:szCs w:val="24"/>
        </w:rPr>
        <w:t>(Morse et al., 2007)</w:t>
      </w:r>
      <w:r w:rsidR="00913F3D" w:rsidRPr="001C1E50">
        <w:rPr>
          <w:rFonts w:cs="Times New Roman"/>
          <w:szCs w:val="24"/>
        </w:rPr>
        <w:fldChar w:fldCharType="end"/>
      </w:r>
      <w:r w:rsidR="00913F3D" w:rsidRPr="001C1E50">
        <w:rPr>
          <w:rFonts w:cs="Times New Roman"/>
          <w:szCs w:val="24"/>
        </w:rPr>
        <w:t>.</w:t>
      </w:r>
      <w:r w:rsidR="00913F3D" w:rsidRPr="001C1E50">
        <w:rPr>
          <w:szCs w:val="24"/>
          <w:lang w:eastAsia="en-GB"/>
        </w:rPr>
        <w:t xml:space="preserve"> </w:t>
      </w:r>
      <w:r w:rsidR="009A27B0" w:rsidRPr="001C1E50">
        <w:rPr>
          <w:szCs w:val="24"/>
          <w:lang w:eastAsia="en-GB"/>
        </w:rPr>
        <w:t xml:space="preserve">In </w:t>
      </w:r>
      <w:r w:rsidR="001C1E50">
        <w:rPr>
          <w:szCs w:val="24"/>
          <w:lang w:eastAsia="en-GB"/>
        </w:rPr>
        <w:t xml:space="preserve">the </w:t>
      </w:r>
      <w:r w:rsidR="009A27B0" w:rsidRPr="001C1E50">
        <w:rPr>
          <w:szCs w:val="24"/>
          <w:lang w:eastAsia="en-GB"/>
        </w:rPr>
        <w:t xml:space="preserve">sediment traps, high </w:t>
      </w:r>
      <w:r w:rsidR="009A27B0" w:rsidRPr="001C1E50">
        <w:rPr>
          <w:rFonts w:cs="Times New Roman"/>
          <w:szCs w:val="24"/>
        </w:rPr>
        <w:t>CaCO</w:t>
      </w:r>
      <w:r w:rsidR="009A27B0" w:rsidRPr="001C1E50">
        <w:rPr>
          <w:rFonts w:cs="Times New Roman"/>
          <w:szCs w:val="24"/>
          <w:vertAlign w:val="subscript"/>
        </w:rPr>
        <w:t xml:space="preserve">3 </w:t>
      </w:r>
      <w:r w:rsidR="009A27B0" w:rsidRPr="001C1E50">
        <w:rPr>
          <w:rFonts w:cs="Times New Roman"/>
          <w:szCs w:val="24"/>
        </w:rPr>
        <w:t xml:space="preserve">contents were measured </w:t>
      </w:r>
      <w:r w:rsidR="007B72E3" w:rsidRPr="001C1E50">
        <w:rPr>
          <w:rFonts w:cs="Times New Roman"/>
          <w:szCs w:val="24"/>
        </w:rPr>
        <w:t>at</w:t>
      </w:r>
      <w:r w:rsidR="009A27B0" w:rsidRPr="001C1E50">
        <w:rPr>
          <w:rFonts w:cs="Times New Roman"/>
          <w:szCs w:val="24"/>
        </w:rPr>
        <w:t xml:space="preserve"> all</w:t>
      </w:r>
      <w:r w:rsidR="009A27B0">
        <w:rPr>
          <w:rFonts w:cs="Times New Roman"/>
        </w:rPr>
        <w:t xml:space="preserve"> stations, regardless of depth (200 m: 16-82</w:t>
      </w:r>
      <w:r w:rsidR="000828DA">
        <w:rPr>
          <w:rFonts w:cs="Times New Roman"/>
        </w:rPr>
        <w:t xml:space="preserve"> wt.</w:t>
      </w:r>
      <w:r w:rsidR="009A27B0">
        <w:rPr>
          <w:rFonts w:cs="Times New Roman"/>
        </w:rPr>
        <w:t>%, 1000 m: 12-93</w:t>
      </w:r>
      <w:r w:rsidR="000828DA">
        <w:rPr>
          <w:rFonts w:cs="Times New Roman"/>
        </w:rPr>
        <w:t xml:space="preserve"> wt.</w:t>
      </w:r>
      <w:r w:rsidR="009A27B0">
        <w:rPr>
          <w:rFonts w:cs="Times New Roman"/>
        </w:rPr>
        <w:t>%</w:t>
      </w:r>
      <w:r w:rsidR="00DA26A6">
        <w:rPr>
          <w:rFonts w:cs="Times New Roman"/>
        </w:rPr>
        <w:t xml:space="preserve">; </w:t>
      </w:r>
      <w:r w:rsidR="00DA26A6" w:rsidRPr="00DA26A6">
        <w:rPr>
          <w:rFonts w:cs="Times New Roman"/>
          <w:i/>
          <w:iCs/>
        </w:rPr>
        <w:t>Fi</w:t>
      </w:r>
      <w:r w:rsidR="007B355B">
        <w:rPr>
          <w:rFonts w:cs="Times New Roman"/>
          <w:i/>
          <w:iCs/>
        </w:rPr>
        <w:t>g.</w:t>
      </w:r>
      <w:r w:rsidR="00DA26A6" w:rsidRPr="00DA26A6">
        <w:rPr>
          <w:rFonts w:cs="Times New Roman"/>
          <w:i/>
          <w:iCs/>
        </w:rPr>
        <w:t xml:space="preserve"> S2</w:t>
      </w:r>
      <w:r w:rsidR="009A27B0">
        <w:rPr>
          <w:rFonts w:cs="Times New Roman"/>
        </w:rPr>
        <w:t>), consistent with the high producti</w:t>
      </w:r>
      <w:r w:rsidR="00827676">
        <w:rPr>
          <w:rFonts w:cs="Times New Roman"/>
        </w:rPr>
        <w:t>vity</w:t>
      </w:r>
      <w:r w:rsidR="009A27B0">
        <w:rPr>
          <w:rFonts w:cs="Times New Roman"/>
        </w:rPr>
        <w:t xml:space="preserve"> of the Lau </w:t>
      </w:r>
      <w:r w:rsidR="003642DE">
        <w:rPr>
          <w:rFonts w:cs="Times New Roman"/>
        </w:rPr>
        <w:t>B</w:t>
      </w:r>
      <w:r w:rsidR="009A27B0">
        <w:rPr>
          <w:rFonts w:cs="Times New Roman"/>
        </w:rPr>
        <w:t>asin (</w:t>
      </w:r>
      <w:r w:rsidR="009A27B0" w:rsidRPr="009A27B0">
        <w:rPr>
          <w:rFonts w:cs="Times New Roman"/>
          <w:i/>
          <w:iCs/>
        </w:rPr>
        <w:t>Table S</w:t>
      </w:r>
      <w:r w:rsidR="0074189A">
        <w:rPr>
          <w:rFonts w:cs="Times New Roman"/>
          <w:i/>
          <w:iCs/>
        </w:rPr>
        <w:t>3</w:t>
      </w:r>
      <w:r w:rsidR="009A27B0">
        <w:rPr>
          <w:rFonts w:cs="Times New Roman"/>
        </w:rPr>
        <w:t xml:space="preserve">). </w:t>
      </w:r>
      <w:r w:rsidR="00590D51">
        <w:rPr>
          <w:rFonts w:cs="Times New Roman"/>
        </w:rPr>
        <w:t>High levels</w:t>
      </w:r>
      <w:r w:rsidR="001C1E50">
        <w:rPr>
          <w:rFonts w:cs="Times New Roman"/>
        </w:rPr>
        <w:t xml:space="preserve"> of CaCO</w:t>
      </w:r>
      <w:r w:rsidR="001C1E50" w:rsidRPr="00187405">
        <w:rPr>
          <w:rFonts w:cs="Times New Roman"/>
          <w:vertAlign w:val="subscript"/>
        </w:rPr>
        <w:t>3</w:t>
      </w:r>
      <w:r w:rsidR="00590D51">
        <w:rPr>
          <w:rFonts w:cs="Times New Roman"/>
        </w:rPr>
        <w:t xml:space="preserve"> were also measured in the sediments at station 12 (~64 wt.%)</w:t>
      </w:r>
      <w:r w:rsidR="00187405">
        <w:rPr>
          <w:rFonts w:cs="Times New Roman"/>
        </w:rPr>
        <w:t xml:space="preserve">, in agreement with values reported in the literature from the region </w:t>
      </w:r>
      <w:r w:rsidR="00187405">
        <w:rPr>
          <w:rFonts w:cs="Times New Roman"/>
        </w:rPr>
        <w:fldChar w:fldCharType="begin"/>
      </w:r>
      <w:r w:rsidR="00187405">
        <w:rPr>
          <w:rFonts w:cs="Times New Roman"/>
        </w:rPr>
        <w:instrText xml:space="preserve"> ADDIN ZOTERO_ITEM CSL_CITATION {"citationID":"RdpTbdZc","properties":{"formattedCitation":"(Zhang et al., 2022)","plainCitation":"(Zhang et al., 2022)","noteIndex":0},"citationItems":[{"id":1628,"uris":["http://zotero.org/users/local/01lnVYoF/items/AVC82TN3"],"itemData":{"id":1628,"type":"article-journal","abstract":"Distribution of calcium carbonate (CaCO\n              3\n              ) in marine sediment has been studied over the last century, and influence by multiple factors with regard to dissolution and dilution of sedimentary CaCO\n              3\n              has long been established. There is still lack of quantification on the influence of those factors, so it remains elusive to determine which specific process is driving the down-core variation of CaCO\n              3\n              content (\n              wt\n              CaCO\n              3\n              %) records. Here, based on a newly compiled CaCO\n              3\n              data set and a carbonate model, depth-profiles of sedimentary\n              wt\n              CaCO\n              3\n              % from the West Pacific Ocean can be well illustrated, and influence from different factors on their distribution features can be quantified. The deep ocean circulation is found to largely shape the inter-basin disparity in sedimentary\n              wt\n              CaCO\n              3\n              % distribution between the equatorial regions (e.g., the Western Equatorial Pacific Ocean and the Central Pacific Ocean) and the north–west regions (the Philippine Sea and the Northwest Pacific Ocean) in our study region. Moreover, the slow carbonate dissolution rate in the deep Central Pacific Ocean guarantees better accumulation of CaCO\n              3\n              at depth compared to that in other regions. However, enhanced dilution by non-carbonate materials of sedimentary CaCO\n              3\n              on a topographic complex can potentially obstruct the dissolution profiles constituted by sedimentary\n              wt\n              CaCO\n              3\n              % in the pelagic ocean. The aforementioned assertion suggests that changes of\n              wt\n              CaCO\n              3\n              % accumulation in marine sediment in the West Pacific Ocean can be used to dictate past changes of the deep ocean circulation (2,500 to 3,000 m) in this area but constraint on the non-carbonate flux, especially on the topographic complex, should be necessary.","container-title":"Frontiers in Earth Science","DOI":"10.3389/feart.2022.857260","ISSN":"2296-6463","journalAbbreviation":"Front. Earth Sci.","page":"857260","source":"DOI.org (Crossref)","title":"Sedimentary CaCO3 Accumulation in the Deep West Pacific Ocean","volume":"10","author":[{"family":"Zhang","given":"Handan"},{"family":"Che","given":"Hong"},{"family":"Xia","given":"Jinqi"},{"family":"Cheng","given":"Qi"},{"family":"Qi","given":"Di"},{"family":"Cao","given":"Junqian"},{"family":"Luo","given":"Yiming"}],"issued":{"date-parts":[["2022",4,27]]}}}],"schema":"https://github.com/citation-style-language/schema/raw/master/csl-citation.json"} </w:instrText>
      </w:r>
      <w:r w:rsidR="00187405">
        <w:rPr>
          <w:rFonts w:cs="Times New Roman"/>
        </w:rPr>
        <w:fldChar w:fldCharType="separate"/>
      </w:r>
      <w:r w:rsidR="00187405" w:rsidRPr="00187405">
        <w:rPr>
          <w:rFonts w:cs="Times New Roman"/>
        </w:rPr>
        <w:t>(Zhang et al., 2022)</w:t>
      </w:r>
      <w:r w:rsidR="00187405">
        <w:rPr>
          <w:rFonts w:cs="Times New Roman"/>
        </w:rPr>
        <w:fldChar w:fldCharType="end"/>
      </w:r>
      <w:r w:rsidR="00187405">
        <w:rPr>
          <w:rFonts w:cs="Times New Roman"/>
        </w:rPr>
        <w:t xml:space="preserve">, suggesting good preservation of the sinking material on the seafloor. </w:t>
      </w:r>
      <w:r w:rsidR="00187405">
        <w:rPr>
          <w:color w:val="000000"/>
          <w:szCs w:val="24"/>
        </w:rPr>
        <w:t>In contrast</w:t>
      </w:r>
      <w:r w:rsidR="00590D51" w:rsidRPr="00590D51">
        <w:rPr>
          <w:color w:val="000000"/>
          <w:szCs w:val="24"/>
        </w:rPr>
        <w:t>, the percentage of CaCO</w:t>
      </w:r>
      <w:r w:rsidR="00590D51" w:rsidRPr="00590D51">
        <w:rPr>
          <w:color w:val="000000"/>
          <w:szCs w:val="24"/>
          <w:vertAlign w:val="subscript"/>
        </w:rPr>
        <w:t xml:space="preserve">3 </w:t>
      </w:r>
      <w:r w:rsidR="00590D51" w:rsidRPr="00590D51">
        <w:rPr>
          <w:color w:val="000000"/>
          <w:szCs w:val="24"/>
        </w:rPr>
        <w:t xml:space="preserve">in </w:t>
      </w:r>
      <w:r w:rsidR="001C1E50">
        <w:rPr>
          <w:color w:val="000000"/>
          <w:szCs w:val="24"/>
        </w:rPr>
        <w:t xml:space="preserve">the </w:t>
      </w:r>
      <w:r w:rsidR="00590D51" w:rsidRPr="00590D51">
        <w:rPr>
          <w:color w:val="000000"/>
          <w:szCs w:val="24"/>
        </w:rPr>
        <w:t>seafloor sediments at stations 5, 8 and 10 was considerably lower (0.3-4 wt.%</w:t>
      </w:r>
      <w:r w:rsidR="007B355B">
        <w:rPr>
          <w:color w:val="000000"/>
          <w:szCs w:val="24"/>
        </w:rPr>
        <w:t xml:space="preserve">; </w:t>
      </w:r>
      <w:r w:rsidR="007B355B" w:rsidRPr="007B355B">
        <w:rPr>
          <w:i/>
          <w:iCs/>
          <w:color w:val="000000"/>
          <w:szCs w:val="24"/>
        </w:rPr>
        <w:t>Table 1</w:t>
      </w:r>
      <w:r w:rsidR="00590D51" w:rsidRPr="00590D51">
        <w:rPr>
          <w:color w:val="000000"/>
          <w:szCs w:val="24"/>
        </w:rPr>
        <w:t>). The low CaCO</w:t>
      </w:r>
      <w:r w:rsidR="00590D51" w:rsidRPr="00590D51">
        <w:rPr>
          <w:color w:val="000000"/>
          <w:szCs w:val="24"/>
          <w:vertAlign w:val="subscript"/>
        </w:rPr>
        <w:t xml:space="preserve">3 </w:t>
      </w:r>
      <w:r w:rsidR="00590D51" w:rsidRPr="00590D51">
        <w:rPr>
          <w:color w:val="000000"/>
          <w:szCs w:val="24"/>
        </w:rPr>
        <w:t xml:space="preserve">preservation at station 8 can easily be explained by the seafloor depth (5326 m), far below the calcite compensation depth (CCD; </w:t>
      </w:r>
      <w:r w:rsidR="00590D51" w:rsidRPr="00590D51">
        <w:rPr>
          <w:i/>
          <w:iCs/>
          <w:color w:val="000000"/>
          <w:szCs w:val="24"/>
        </w:rPr>
        <w:t>Fig. S</w:t>
      </w:r>
      <w:r w:rsidR="00BE48FD">
        <w:rPr>
          <w:i/>
          <w:iCs/>
          <w:color w:val="000000"/>
          <w:szCs w:val="24"/>
        </w:rPr>
        <w:t>7</w:t>
      </w:r>
      <w:r w:rsidR="00590D51" w:rsidRPr="00590D51">
        <w:rPr>
          <w:color w:val="000000"/>
          <w:szCs w:val="24"/>
        </w:rPr>
        <w:t>).</w:t>
      </w:r>
      <w:r w:rsidR="00590D51">
        <w:rPr>
          <w:color w:val="000000"/>
        </w:rPr>
        <w:t xml:space="preserve"> </w:t>
      </w:r>
      <w:r w:rsidR="001C1E50">
        <w:rPr>
          <w:rFonts w:cs="Times New Roman"/>
        </w:rPr>
        <w:t xml:space="preserve">Conversely, </w:t>
      </w:r>
      <w:r w:rsidR="001C1E50">
        <w:rPr>
          <w:color w:val="000000"/>
        </w:rPr>
        <w:t>t</w:t>
      </w:r>
      <w:r w:rsidR="000828DA">
        <w:rPr>
          <w:color w:val="000000"/>
        </w:rPr>
        <w:t>he seafloor at stations 5 and 10 (~2000 m)</w:t>
      </w:r>
      <w:r w:rsidR="003F0337">
        <w:rPr>
          <w:color w:val="000000"/>
        </w:rPr>
        <w:t xml:space="preserve">, </w:t>
      </w:r>
      <w:bookmarkStart w:id="20" w:name="_Hlk123137237"/>
      <w:r w:rsidR="000828DA">
        <w:rPr>
          <w:color w:val="000000"/>
        </w:rPr>
        <w:t xml:space="preserve">located </w:t>
      </w:r>
      <w:r w:rsidR="00355098">
        <w:rPr>
          <w:color w:val="000000"/>
        </w:rPr>
        <w:t>above the lysocline and therefore the CCD,</w:t>
      </w:r>
      <w:bookmarkEnd w:id="20"/>
      <w:r w:rsidR="00355098">
        <w:rPr>
          <w:color w:val="000000"/>
        </w:rPr>
        <w:t xml:space="preserve"> cannot explain the observed patterns</w:t>
      </w:r>
      <w:r w:rsidR="003F0337">
        <w:rPr>
          <w:color w:val="000000"/>
        </w:rPr>
        <w:t>.</w:t>
      </w:r>
      <w:r w:rsidR="00250BDC">
        <w:rPr>
          <w:rFonts w:cs="Times New Roman"/>
        </w:rPr>
        <w:t xml:space="preserve"> </w:t>
      </w:r>
      <w:r w:rsidR="003F0337">
        <w:rPr>
          <w:rFonts w:cs="Times New Roman"/>
        </w:rPr>
        <w:t>As</w:t>
      </w:r>
      <w:r w:rsidR="00452B3B">
        <w:rPr>
          <w:rFonts w:cs="Times New Roman"/>
        </w:rPr>
        <w:t xml:space="preserve"> the </w:t>
      </w:r>
      <w:r w:rsidR="003F0337">
        <w:rPr>
          <w:rFonts w:cs="Times New Roman"/>
        </w:rPr>
        <w:t>Tonga Arc</w:t>
      </w:r>
      <w:r w:rsidR="00452B3B">
        <w:rPr>
          <w:rFonts w:cs="Times New Roman"/>
        </w:rPr>
        <w:t xml:space="preserve"> </w:t>
      </w:r>
      <w:r w:rsidR="00386C19">
        <w:rPr>
          <w:rFonts w:cs="Times New Roman"/>
        </w:rPr>
        <w:t xml:space="preserve">harbors an intense </w:t>
      </w:r>
      <w:r w:rsidR="006B1E5D">
        <w:rPr>
          <w:rFonts w:cs="Times New Roman"/>
        </w:rPr>
        <w:t>hydrothermal activity</w:t>
      </w:r>
      <w:r w:rsidR="002627D4">
        <w:rPr>
          <w:rFonts w:cs="Times New Roman"/>
        </w:rPr>
        <w:t xml:space="preserve"> </w:t>
      </w:r>
      <w:r w:rsidR="00386C19">
        <w:rPr>
          <w:rFonts w:cs="Times New Roman"/>
        </w:rPr>
        <w:t>(see section 1)</w:t>
      </w:r>
      <w:r w:rsidR="005152B3">
        <w:rPr>
          <w:rFonts w:cs="Times New Roman"/>
        </w:rPr>
        <w:t xml:space="preserve">, its seafloor may be characterized by </w:t>
      </w:r>
      <w:r w:rsidR="002627D4">
        <w:rPr>
          <w:rFonts w:cs="Times New Roman"/>
        </w:rPr>
        <w:t xml:space="preserve">strong </w:t>
      </w:r>
      <w:r w:rsidR="005152B3">
        <w:rPr>
          <w:rFonts w:cs="Times New Roman"/>
        </w:rPr>
        <w:t>physical and chemical gradients (temperature, oxygen levels, multiple forms of chemical energy)</w:t>
      </w:r>
      <w:r w:rsidR="002627D4">
        <w:rPr>
          <w:rFonts w:cs="Times New Roman"/>
        </w:rPr>
        <w:t xml:space="preserve"> and </w:t>
      </w:r>
      <w:r w:rsidR="005152B3">
        <w:rPr>
          <w:rFonts w:cs="Times New Roman"/>
        </w:rPr>
        <w:t>encompas</w:t>
      </w:r>
      <w:r w:rsidR="002627D4">
        <w:rPr>
          <w:rFonts w:cs="Times New Roman"/>
        </w:rPr>
        <w:t>s</w:t>
      </w:r>
      <w:r w:rsidR="005152B3">
        <w:rPr>
          <w:rFonts w:cs="Times New Roman"/>
        </w:rPr>
        <w:t xml:space="preserve"> a diverse range of habitats for microbial life </w:t>
      </w:r>
      <w:r w:rsidR="005152B3">
        <w:rPr>
          <w:rFonts w:cs="Times New Roman"/>
        </w:rPr>
        <w:fldChar w:fldCharType="begin"/>
      </w:r>
      <w:r w:rsidR="005152B3">
        <w:rPr>
          <w:rFonts w:cs="Times New Roman"/>
        </w:rPr>
        <w:instrText xml:space="preserve"> ADDIN ZOTERO_ITEM CSL_CITATION {"citationID":"1wGE8gEF","properties":{"formattedCitation":"(Karl, 1995)","plainCitation":"(Karl, 1995)","noteIndex":0},"citationItems":[{"id":1047,"uris":["http://zotero.org/users/local/01lnVYoF/items/DDAYNCQ8"],"itemData":{"id":1047,"type":"book","edition":"CRC-Press","title":"The microbiology of deep-sea hydrothermal vents","author":[{"family":"Karl","given":"D. M."}],"issued":{"date-parts":[["1995"]]}}}],"schema":"https://github.com/citation-style-language/schema/raw/master/csl-citation.json"} </w:instrText>
      </w:r>
      <w:r w:rsidR="005152B3">
        <w:rPr>
          <w:rFonts w:cs="Times New Roman"/>
        </w:rPr>
        <w:fldChar w:fldCharType="separate"/>
      </w:r>
      <w:r w:rsidR="005152B3" w:rsidRPr="005152B3">
        <w:rPr>
          <w:rFonts w:cs="Times New Roman"/>
        </w:rPr>
        <w:t>(Karl, 1995)</w:t>
      </w:r>
      <w:r w:rsidR="005152B3">
        <w:rPr>
          <w:rFonts w:cs="Times New Roman"/>
        </w:rPr>
        <w:fldChar w:fldCharType="end"/>
      </w:r>
      <w:r w:rsidR="00947D0D">
        <w:rPr>
          <w:rFonts w:cs="Times New Roman"/>
        </w:rPr>
        <w:t xml:space="preserve">. It would thus </w:t>
      </w:r>
      <w:r w:rsidR="00BF2812">
        <w:rPr>
          <w:rFonts w:cs="Times New Roman"/>
        </w:rPr>
        <w:t>h</w:t>
      </w:r>
      <w:r w:rsidR="00212953">
        <w:rPr>
          <w:rFonts w:cs="Times New Roman"/>
        </w:rPr>
        <w:t>arbor</w:t>
      </w:r>
      <w:r w:rsidR="00BF2812">
        <w:rPr>
          <w:rFonts w:cs="Times New Roman"/>
        </w:rPr>
        <w:t xml:space="preserve"> enormous biomasses and productivities </w:t>
      </w:r>
      <w:r w:rsidR="00212953">
        <w:rPr>
          <w:rFonts w:cs="Times New Roman"/>
        </w:rPr>
        <w:lastRenderedPageBreak/>
        <w:t xml:space="preserve">relative to other </w:t>
      </w:r>
      <w:r w:rsidR="003F0337">
        <w:rPr>
          <w:rFonts w:cs="Times New Roman"/>
        </w:rPr>
        <w:t>regions of the deep ocean</w:t>
      </w:r>
      <w:r w:rsidR="00452B3B">
        <w:rPr>
          <w:rFonts w:cs="Times New Roman"/>
        </w:rPr>
        <w:t xml:space="preserve"> </w:t>
      </w:r>
      <w:r w:rsidR="00212953">
        <w:rPr>
          <w:rFonts w:cs="Times New Roman"/>
        </w:rPr>
        <w:fldChar w:fldCharType="begin"/>
      </w:r>
      <w:r w:rsidR="00212953">
        <w:rPr>
          <w:rFonts w:cs="Times New Roman"/>
        </w:rPr>
        <w:instrText xml:space="preserve"> ADDIN ZOTERO_ITEM CSL_CITATION {"citationID":"7yVVKAnZ","properties":{"formattedCitation":"(Zierenberg et al., 2000)","plainCitation":"(Zierenberg et al., 2000)","noteIndex":0},"citationItems":[{"id":296,"uris":["http://zotero.org/users/local/01lnVYoF/items/JKLFKXWB"],"itemData":{"id":296,"type":"article-journal","container-title":"Proceedings of the National Academy of Sciences","DOI":"10.1073/pnas.210395997","ISSN":"0027-8424, 1091-6490","issue":"24","journalAbbreviation":"Proceedings of the National Academy of Sciences","language":"en","page":"12961-12962","source":"DOI.org (Crossref)","title":"Life in extreme environments: Hydrothermal vents","title-short":"Life in extreme environments","volume":"97","author":[{"family":"Zierenberg","given":"R. A."},{"family":"Adams","given":"M. W. W."},{"family":"Arp","given":"A. J."}],"issued":{"date-parts":[["2000",11,21]]}}}],"schema":"https://github.com/citation-style-language/schema/raw/master/csl-citation.json"} </w:instrText>
      </w:r>
      <w:r w:rsidR="00212953">
        <w:rPr>
          <w:rFonts w:cs="Times New Roman"/>
        </w:rPr>
        <w:fldChar w:fldCharType="separate"/>
      </w:r>
      <w:r w:rsidR="00212953" w:rsidRPr="00212953">
        <w:rPr>
          <w:rFonts w:cs="Times New Roman"/>
        </w:rPr>
        <w:t>(Zierenberg et al., 2000)</w:t>
      </w:r>
      <w:r w:rsidR="00212953">
        <w:rPr>
          <w:rFonts w:cs="Times New Roman"/>
        </w:rPr>
        <w:fldChar w:fldCharType="end"/>
      </w:r>
      <w:r w:rsidR="00212953">
        <w:rPr>
          <w:rFonts w:cs="Times New Roman"/>
        </w:rPr>
        <w:t xml:space="preserve">, </w:t>
      </w:r>
      <w:r w:rsidR="003F0337">
        <w:rPr>
          <w:rFonts w:cs="Times New Roman"/>
        </w:rPr>
        <w:t xml:space="preserve">which may </w:t>
      </w:r>
      <w:r w:rsidR="00947D0D">
        <w:rPr>
          <w:rFonts w:cs="Times New Roman"/>
        </w:rPr>
        <w:t>explain</w:t>
      </w:r>
      <w:r w:rsidR="003F0337">
        <w:rPr>
          <w:rFonts w:cs="Times New Roman"/>
        </w:rPr>
        <w:t xml:space="preserve"> </w:t>
      </w:r>
      <w:r w:rsidR="00212953">
        <w:rPr>
          <w:rFonts w:cs="Times New Roman"/>
        </w:rPr>
        <w:t xml:space="preserve">the low </w:t>
      </w:r>
      <w:r w:rsidR="00212953" w:rsidRPr="00B833A0">
        <w:rPr>
          <w:rFonts w:cs="Times New Roman"/>
        </w:rPr>
        <w:t>CaCO</w:t>
      </w:r>
      <w:r w:rsidR="00212953" w:rsidRPr="00B833A0">
        <w:rPr>
          <w:rFonts w:cs="Times New Roman"/>
          <w:vertAlign w:val="subscript"/>
        </w:rPr>
        <w:t>3</w:t>
      </w:r>
      <w:r w:rsidR="00212953">
        <w:rPr>
          <w:rFonts w:cs="Times New Roman"/>
          <w:vertAlign w:val="subscript"/>
        </w:rPr>
        <w:t xml:space="preserve"> </w:t>
      </w:r>
      <w:r w:rsidR="00212953">
        <w:rPr>
          <w:rFonts w:cs="Times New Roman"/>
        </w:rPr>
        <w:t>content</w:t>
      </w:r>
      <w:r w:rsidR="003F0337">
        <w:rPr>
          <w:rFonts w:cs="Times New Roman"/>
        </w:rPr>
        <w:t xml:space="preserve"> of the sediments </w:t>
      </w:r>
      <w:r w:rsidR="00212953">
        <w:rPr>
          <w:rFonts w:cs="Times New Roman"/>
        </w:rPr>
        <w:t xml:space="preserve">at stations 5 </w:t>
      </w:r>
      <w:r w:rsidR="00212953" w:rsidRPr="00194D79">
        <w:rPr>
          <w:rFonts w:cs="Times New Roman"/>
        </w:rPr>
        <w:t xml:space="preserve">and 10. </w:t>
      </w:r>
    </w:p>
    <w:bookmarkEnd w:id="19"/>
    <w:p w14:paraId="0777B807" w14:textId="77777777" w:rsidR="00AB4AAE" w:rsidRPr="009309C4" w:rsidRDefault="00AB4AAE" w:rsidP="00AB4AAE">
      <w:pPr>
        <w:pStyle w:val="Titre3"/>
        <w:rPr>
          <w:b w:val="0"/>
          <w:bCs/>
          <w:i/>
          <w:iCs/>
        </w:rPr>
      </w:pPr>
      <w:r>
        <w:rPr>
          <w:b w:val="0"/>
          <w:bCs/>
          <w:i/>
          <w:iCs/>
        </w:rPr>
        <w:t xml:space="preserve">Opal </w:t>
      </w:r>
    </w:p>
    <w:p w14:paraId="59071539" w14:textId="4B7583E7" w:rsidR="00AB4AAE" w:rsidRDefault="00AB4AAE" w:rsidP="00D23535">
      <w:pPr>
        <w:spacing w:line="480" w:lineRule="auto"/>
        <w:jc w:val="both"/>
        <w:rPr>
          <w:rFonts w:cs="Times New Roman"/>
        </w:rPr>
      </w:pPr>
      <w:bookmarkStart w:id="21" w:name="_Hlk125561468"/>
      <w:r>
        <w:rPr>
          <w:rFonts w:cs="Times New Roman"/>
        </w:rPr>
        <w:t xml:space="preserve">In the ocean, opal minerals originate from a wide variety of silica-skeleton organisms, primarily diatoms, </w:t>
      </w:r>
      <w:r w:rsidRPr="00A44B82">
        <w:rPr>
          <w:rFonts w:cs="Times New Roman"/>
        </w:rPr>
        <w:t xml:space="preserve">radiolarians but also silicoflagellates to a lesser extent </w:t>
      </w:r>
      <w:r w:rsidRPr="00A44B82">
        <w:rPr>
          <w:rFonts w:cs="Times New Roman"/>
        </w:rPr>
        <w:fldChar w:fldCharType="begin"/>
      </w:r>
      <w:r w:rsidRPr="00A44B82">
        <w:rPr>
          <w:rFonts w:cs="Times New Roman"/>
        </w:rPr>
        <w:instrText xml:space="preserve"> ADDIN ZOTERO_ITEM CSL_CITATION {"citationID":"MWMNrvG2","properties":{"formattedCitation":"(Tr\\uc0\\u233{}guer et al., 1995)","plainCitation":"(Tréguer et al., 1995)","noteIndex":0},"citationItems":[{"id":960,"uris":["http://zotero.org/users/local/01lnVYoF/items/ZG8LEIG6"],"itemData":{"id":960,"type":"article-journal","container-title":"Science","DOI":"10.1126/science.268.5209.375","ISSN":"0036-8075, 1095-9203","issue":"5209","journalAbbreviation":"Science","language":"en","page":"375-379","source":"DOI.org (Crossref)","title":"The Silica Balance in the World Ocean: A Reestimate","title-short":"The Silica Balance in the World Ocean","volume":"268","author":[{"family":"Tréguer","given":"Paul"},{"family":"Nelson","given":"David M."},{"family":"Van Bennekom","given":"Aleido J."},{"family":"DeMaster","given":"David J."},{"family":"Leynaert","given":"Aude"},{"family":"Quéguiner","given":"Bernard"}],"issued":{"date-parts":[["1995",4,21]]}}}],"schema":"https://github.com/citation-style-language/schema/raw/master/csl-citation.json"} </w:instrText>
      </w:r>
      <w:r w:rsidRPr="00A44B82">
        <w:rPr>
          <w:rFonts w:cs="Times New Roman"/>
        </w:rPr>
        <w:fldChar w:fldCharType="separate"/>
      </w:r>
      <w:r w:rsidRPr="00A44B82">
        <w:rPr>
          <w:rFonts w:cs="Times New Roman"/>
          <w:szCs w:val="24"/>
        </w:rPr>
        <w:t>(Tréguer et al., 1995)</w:t>
      </w:r>
      <w:r w:rsidRPr="00A44B82">
        <w:rPr>
          <w:rFonts w:cs="Times New Roman"/>
        </w:rPr>
        <w:fldChar w:fldCharType="end"/>
      </w:r>
      <w:r w:rsidRPr="00A44B82">
        <w:rPr>
          <w:rFonts w:cs="Times New Roman"/>
        </w:rPr>
        <w:t xml:space="preserve">. The opal fraction was the least abundant fraction in </w:t>
      </w:r>
      <w:r w:rsidR="000847DB">
        <w:rPr>
          <w:rFonts w:cs="Times New Roman"/>
        </w:rPr>
        <w:t>the sinking material</w:t>
      </w:r>
      <w:r w:rsidRPr="00A44B82">
        <w:rPr>
          <w:rFonts w:cs="Times New Roman"/>
        </w:rPr>
        <w:t xml:space="preserve"> (1-5</w:t>
      </w:r>
      <w:r w:rsidR="003F0337">
        <w:rPr>
          <w:rFonts w:cs="Times New Roman"/>
        </w:rPr>
        <w:t xml:space="preserve"> wt.</w:t>
      </w:r>
      <w:r w:rsidRPr="00A44B82">
        <w:rPr>
          <w:rFonts w:cs="Times New Roman"/>
        </w:rPr>
        <w:t>%</w:t>
      </w:r>
      <w:r w:rsidR="007B355B">
        <w:rPr>
          <w:rFonts w:cs="Times New Roman"/>
        </w:rPr>
        <w:t xml:space="preserve">; </w:t>
      </w:r>
      <w:r w:rsidR="007B355B" w:rsidRPr="007B355B">
        <w:rPr>
          <w:rFonts w:cs="Times New Roman"/>
          <w:i/>
          <w:iCs/>
        </w:rPr>
        <w:t>Fig. S2</w:t>
      </w:r>
      <w:r w:rsidRPr="00A44B82">
        <w:rPr>
          <w:rFonts w:cs="Times New Roman"/>
        </w:rPr>
        <w:t xml:space="preserve">), in agreement with the </w:t>
      </w:r>
      <w:r w:rsidR="00D45496">
        <w:rPr>
          <w:rFonts w:cs="Times New Roman"/>
        </w:rPr>
        <w:t>low contribution</w:t>
      </w:r>
      <w:r w:rsidRPr="00A44B82">
        <w:rPr>
          <w:rFonts w:cs="Times New Roman"/>
        </w:rPr>
        <w:t xml:space="preserve"> of diatoms </w:t>
      </w:r>
      <w:r w:rsidR="00D45496">
        <w:rPr>
          <w:rFonts w:cs="Times New Roman"/>
        </w:rPr>
        <w:t>to total chlorophyll-</w:t>
      </w:r>
      <w:r w:rsidR="00D45496" w:rsidRPr="00D45496">
        <w:rPr>
          <w:rFonts w:cs="Times New Roman"/>
          <w:i/>
          <w:iCs/>
        </w:rPr>
        <w:t>a</w:t>
      </w:r>
      <w:r w:rsidRPr="00A44B82">
        <w:rPr>
          <w:rFonts w:cs="Times New Roman"/>
        </w:rPr>
        <w:t xml:space="preserve"> in the Lau Basin</w:t>
      </w:r>
      <w:r w:rsidR="00D45496">
        <w:rPr>
          <w:rFonts w:cs="Times New Roman"/>
        </w:rPr>
        <w:t xml:space="preserve"> during the TONGA cruise</w:t>
      </w:r>
      <w:r w:rsidRPr="00A44B82">
        <w:rPr>
          <w:rFonts w:cs="Times New Roman"/>
        </w:rPr>
        <w:t xml:space="preserve"> (</w:t>
      </w:r>
      <w:r w:rsidRPr="00A44B82">
        <w:rPr>
          <w:rFonts w:cs="Times New Roman"/>
          <w:i/>
          <w:iCs/>
        </w:rPr>
        <w:t>Table S3</w:t>
      </w:r>
      <w:r w:rsidRPr="00A44B82">
        <w:rPr>
          <w:rFonts w:cs="Times New Roman"/>
        </w:rPr>
        <w:t>). Interestingly, more opal was collected at 1000 m than at 200 m (</w:t>
      </w:r>
      <w:r w:rsidR="000847DB">
        <w:rPr>
          <w:rFonts w:cs="Times New Roman"/>
        </w:rPr>
        <w:t>~</w:t>
      </w:r>
      <w:r w:rsidRPr="00A44B82">
        <w:rPr>
          <w:rFonts w:cs="Times New Roman"/>
        </w:rPr>
        <w:t xml:space="preserve">2.2 ± 2.5 and </w:t>
      </w:r>
      <w:r w:rsidR="000847DB">
        <w:rPr>
          <w:rFonts w:cs="Times New Roman"/>
        </w:rPr>
        <w:t>~</w:t>
      </w:r>
      <w:r w:rsidRPr="00A44B82">
        <w:rPr>
          <w:rFonts w:cs="Times New Roman"/>
        </w:rPr>
        <w:t>0.15 ± 0.01 mg d</w:t>
      </w:r>
      <w:r w:rsidRPr="00A44B82">
        <w:rPr>
          <w:rFonts w:cs="Times New Roman"/>
          <w:vertAlign w:val="superscript"/>
        </w:rPr>
        <w:t>-1</w:t>
      </w:r>
      <w:r w:rsidRPr="00A44B82">
        <w:rPr>
          <w:rFonts w:cs="Times New Roman"/>
        </w:rPr>
        <w:t xml:space="preserve">, respectively). </w:t>
      </w:r>
      <w:r w:rsidR="00D26BBE">
        <w:rPr>
          <w:color w:val="000000"/>
        </w:rPr>
        <w:t xml:space="preserve">As discussed in Section 4.2, such a finding can be explained by </w:t>
      </w:r>
      <w:r w:rsidR="009E0EBB">
        <w:rPr>
          <w:color w:val="000000"/>
        </w:rPr>
        <w:t>the time lag of particle arrival at 200 and 1000 m</w:t>
      </w:r>
      <w:r w:rsidR="00D26BBE">
        <w:rPr>
          <w:color w:val="000000"/>
        </w:rPr>
        <w:t>, combined with the fast sinking rates of opal skeletons</w:t>
      </w:r>
      <w:r w:rsidR="00D26BBE">
        <w:rPr>
          <w:rFonts w:cs="Times New Roman"/>
        </w:rPr>
        <w:t xml:space="preserve"> (</w:t>
      </w:r>
      <w:r w:rsidR="00A545A5">
        <w:rPr>
          <w:rFonts w:cs="Times New Roman"/>
        </w:rPr>
        <w:fldChar w:fldCharType="begin"/>
      </w:r>
      <w:r w:rsidR="00986804">
        <w:rPr>
          <w:rFonts w:cs="Times New Roman"/>
        </w:rPr>
        <w:instrText xml:space="preserve"> ADDIN ZOTERO_ITEM CSL_CITATION {"citationID":"I3sshs0e","properties":{"formattedCitation":"(Bodungen et al., 2013; Turner, 2002)","plainCitation":"(Bodungen et al., 2013; Turner, 2002)","dontUpdate":true,"noteIndex":0},"citationItems":[{"id":1228,"uris":["http://zotero.org/users/local/01lnVYoF/items/XA3E8MV9"],"itemData":{"id":1228,"type":"chapter","container-title":"Geophysical Monograph Series","event-place":"Washington, D. C.","ISBN":"978-1-118-66377-6","note":"DOI: 10.1029/GM063p0047","page":"47-56","publisher":"American Geophysical Union","publisher-place":"Washington, D. C.","source":"DOI.org (Crossref)","title":"Sampling and Analysis of Suspended and Sinking Particles in the Northern North Atlantic","URL":"http://doi.wiley.com/10.1029/GM063p0047","editor":[{"family":"Hurd","given":"David C."},{"family":"Spencer","given":"Derek W."}],"author":[{"family":"Bodungen","given":"Bodo V."},{"family":"Wunsch","given":"Marita"},{"family":"Fürderer","given":"Heike"}],"accessed":{"date-parts":[["2022",9,7]]},"issued":{"date-parts":[["2013",3,23]]}}},{"id":963,"uris":["http://zotero.org/users/local/01lnVYoF/items/U5GWN6LS"],"itemData":{"id":963,"type":"article-journal","container-title":"Aquatic Microbial Ecology","DOI":"10.3354/ame027057","ISSN":"0948-3055, 1616-1564","journalAbbreviation":"Aquat. Microb. Ecol.","language":"en","page":"57-102","source":"DOI.org (Crossref)","title":"Zooplankton fecal pellets, marine snow and sinking phytoplankton blooms","volume":"27","author":[{"family":"Turner","given":"Jt"}],"issued":{"date-parts":[["2002"]]}}}],"schema":"https://github.com/citation-style-language/schema/raw/master/csl-citation.json"} </w:instrText>
      </w:r>
      <w:r w:rsidR="00A545A5">
        <w:rPr>
          <w:rFonts w:cs="Times New Roman"/>
        </w:rPr>
        <w:fldChar w:fldCharType="separate"/>
      </w:r>
      <w:r w:rsidR="00A545A5" w:rsidRPr="00A545A5">
        <w:rPr>
          <w:rFonts w:cs="Times New Roman"/>
        </w:rPr>
        <w:t>Bodungen et al., 2013; Turner, 2002)</w:t>
      </w:r>
      <w:r w:rsidR="00A545A5">
        <w:rPr>
          <w:rFonts w:cs="Times New Roman"/>
        </w:rPr>
        <w:fldChar w:fldCharType="end"/>
      </w:r>
      <w:r w:rsidR="00A545A5">
        <w:rPr>
          <w:rFonts w:cs="Times New Roman"/>
        </w:rPr>
        <w:t>.</w:t>
      </w:r>
      <w:r w:rsidR="003F0337">
        <w:rPr>
          <w:rFonts w:cs="Times New Roman"/>
        </w:rPr>
        <w:t xml:space="preserve"> In comparison with the sediment traps, a</w:t>
      </w:r>
      <w:r w:rsidRPr="00CA5E4A">
        <w:rPr>
          <w:rFonts w:cs="Times New Roman"/>
        </w:rPr>
        <w:t xml:space="preserve"> greater proportion of opal </w:t>
      </w:r>
      <w:r w:rsidR="003F0337">
        <w:rPr>
          <w:rFonts w:cs="Times New Roman"/>
        </w:rPr>
        <w:t>was</w:t>
      </w:r>
      <w:r w:rsidRPr="00CA5E4A">
        <w:rPr>
          <w:rFonts w:cs="Times New Roman"/>
        </w:rPr>
        <w:t xml:space="preserve"> found in </w:t>
      </w:r>
      <w:r w:rsidR="003F0337">
        <w:rPr>
          <w:rFonts w:cs="Times New Roman"/>
        </w:rPr>
        <w:t xml:space="preserve">the </w:t>
      </w:r>
      <w:r w:rsidRPr="00CA5E4A">
        <w:rPr>
          <w:rFonts w:cs="Times New Roman"/>
        </w:rPr>
        <w:t>seafloor sediments</w:t>
      </w:r>
      <w:r w:rsidR="003F0337">
        <w:rPr>
          <w:rFonts w:cs="Times New Roman"/>
        </w:rPr>
        <w:t xml:space="preserve">, with similar proportions at all stations </w:t>
      </w:r>
      <w:r>
        <w:rPr>
          <w:rFonts w:cs="Times New Roman"/>
        </w:rPr>
        <w:t>(6-13</w:t>
      </w:r>
      <w:r w:rsidR="003F0337">
        <w:rPr>
          <w:rFonts w:cs="Times New Roman"/>
        </w:rPr>
        <w:t xml:space="preserve"> wt.</w:t>
      </w:r>
      <w:r>
        <w:rPr>
          <w:rFonts w:cs="Times New Roman"/>
        </w:rPr>
        <w:t>%</w:t>
      </w:r>
      <w:r w:rsidR="007B355B">
        <w:rPr>
          <w:rFonts w:cs="Times New Roman"/>
        </w:rPr>
        <w:t xml:space="preserve">; </w:t>
      </w:r>
      <w:r w:rsidR="007B355B">
        <w:rPr>
          <w:i/>
          <w:iCs/>
          <w:color w:val="000000"/>
        </w:rPr>
        <w:t>Table 1</w:t>
      </w:r>
      <w:r>
        <w:rPr>
          <w:rFonts w:cs="Times New Roman"/>
        </w:rPr>
        <w:t xml:space="preserve">). Since BSi is known to have a higher preservation efficiency than OM and </w:t>
      </w:r>
      <w:r w:rsidRPr="00B833A0">
        <w:rPr>
          <w:rFonts w:cs="Times New Roman"/>
        </w:rPr>
        <w:t>CaCO</w:t>
      </w:r>
      <w:r w:rsidRPr="00B833A0">
        <w:rPr>
          <w:rFonts w:cs="Times New Roman"/>
          <w:vertAlign w:val="subscript"/>
        </w:rPr>
        <w:t>3</w:t>
      </w:r>
      <w:r>
        <w:rPr>
          <w:rFonts w:cs="Times New Roman"/>
        </w:rPr>
        <w:t xml:space="preserve">, degradation of these other fractions may therefore account for the increasing proportion of opal in sediments </w:t>
      </w:r>
      <w:r>
        <w:rPr>
          <w:rFonts w:cs="Times New Roman"/>
        </w:rPr>
        <w:fldChar w:fldCharType="begin"/>
      </w:r>
      <w:r>
        <w:rPr>
          <w:rFonts w:cs="Times New Roman"/>
        </w:rPr>
        <w:instrText xml:space="preserve"> ADDIN ZOTERO_ITEM CSL_CITATION {"citationID":"L5xN5eAj","properties":{"formattedCitation":"(Emerson and Hedges, 1988; Gersonde et al., 2005)","plainCitation":"(Emerson and Hedges, 1988; Gersonde et al., 2005)","noteIndex":0},"citationItems":[{"id":977,"uris":["http://zotero.org/users/local/01lnVYoF/items/G7VIPSTT"],"itemData":{"id":977,"type":"article-journal","container-title":"Paleoceanography","DOI":"10.1029/PA003i005p00621","ISSN":"08838305","issue":"5","journalAbbreviation":"Paleoceanography","language":"en","page":"621-634","source":"DOI.org (Crossref)","title":"Processes controlling the organic carbon content of open ocean sediments","volume":"3","author":[{"family":"Emerson","given":"S."},{"family":"Hedges","given":"J. I."}],"issued":{"date-parts":[["1988",10]]}}},{"id":959,"uris":["http://zotero.org/users/local/01lnVYoF/items/67QVNXTL"],"itemData":{"id":959,"type":"article-journal","container-title":"Quaternary Science Reviews","DOI":"10.1016/j.quascirev.2004.07.015","ISSN":"02773791","issue":"7-9","journalAbbreviation":"Quaternary Science Reviews","language":"en","page":"869-896","source":"DOI.org (Crossref)","title":"Sea-surface temperature and sea ice distribution of the Southern Ocean at the EPILOG Last Glacial Maximum—a circum-Antarctic view based on siliceous microfossil records","volume":"24","author":[{"family":"Gersonde","given":"Rainer"},{"family":"Crosta","given":"Xavier"},{"family":"Abelmann","given":"Andrea"},{"family":"Armand","given":"Leanne"}],"issued":{"date-parts":[["2005",4]]}}}],"schema":"https://github.com/citation-style-language/schema/raw/master/csl-citation.json"} </w:instrText>
      </w:r>
      <w:r>
        <w:rPr>
          <w:rFonts w:cs="Times New Roman"/>
        </w:rPr>
        <w:fldChar w:fldCharType="separate"/>
      </w:r>
      <w:r w:rsidRPr="00CA5E4A">
        <w:rPr>
          <w:rFonts w:cs="Times New Roman"/>
        </w:rPr>
        <w:t>(Emerson and Hedges, 1988; Gersonde et al., 2005)</w:t>
      </w:r>
      <w:r>
        <w:rPr>
          <w:rFonts w:cs="Times New Roman"/>
        </w:rPr>
        <w:fldChar w:fldCharType="end"/>
      </w:r>
      <w:r>
        <w:rPr>
          <w:rFonts w:cs="Times New Roman"/>
        </w:rPr>
        <w:t xml:space="preserve">. Furthermore, opal sinks at rates fast enough to contribute significantly to seafloor sediments in contrast to other biogenic fractions </w:t>
      </w:r>
      <w:r>
        <w:rPr>
          <w:rFonts w:cs="Times New Roman"/>
        </w:rPr>
        <w:fldChar w:fldCharType="begin"/>
      </w:r>
      <w:r>
        <w:rPr>
          <w:rFonts w:cs="Times New Roman"/>
        </w:rPr>
        <w:instrText xml:space="preserve"> ADDIN ZOTERO_ITEM CSL_CITATION {"citationID":"aTXVv1jL","properties":{"formattedCitation":"(Sarmiento and Gruber, 2006)","plainCitation":"(Sarmiento and Gruber, 2006)","noteIndex":0},"citationItems":[{"id":962,"uris":["http://zotero.org/users/local/01lnVYoF/items/KGR7RN54"],"itemData":{"id":962,"type":"book","call-number":"GC116 .S27 2006","event-place":"Princeton","ISBN":"978-0-691-01707-5","note":"OCLC: ocm60651167","number-of-pages":"503","publisher":"Princeton University Press","publisher-place":"Princeton","source":"Library of Congress ISBN","title":"Ocean biogeochemical dynamics","author":[{"family":"Sarmiento","given":"Jorge Louis"},{"family":"Gruber","given":"Nicolas"}],"issued":{"date-parts":[["2006"]]}}}],"schema":"https://github.com/citation-style-language/schema/raw/master/csl-citation.json"} </w:instrText>
      </w:r>
      <w:r>
        <w:rPr>
          <w:rFonts w:cs="Times New Roman"/>
        </w:rPr>
        <w:fldChar w:fldCharType="separate"/>
      </w:r>
      <w:r w:rsidRPr="00E83EF5">
        <w:rPr>
          <w:rFonts w:cs="Times New Roman"/>
        </w:rPr>
        <w:t>(Sarmiento and Gruber, 2006)</w:t>
      </w:r>
      <w:r>
        <w:rPr>
          <w:rFonts w:cs="Times New Roman"/>
        </w:rPr>
        <w:fldChar w:fldCharType="end"/>
      </w:r>
      <w:r>
        <w:rPr>
          <w:rFonts w:cs="Times New Roman"/>
        </w:rPr>
        <w:t>.</w:t>
      </w:r>
    </w:p>
    <w:p w14:paraId="4A80AE66" w14:textId="0E1B13ED" w:rsidR="001363ED" w:rsidRPr="009309C4" w:rsidRDefault="001363ED" w:rsidP="00676BE6">
      <w:pPr>
        <w:pStyle w:val="Titre3"/>
        <w:rPr>
          <w:b w:val="0"/>
          <w:bCs/>
          <w:i/>
          <w:iCs/>
        </w:rPr>
      </w:pPr>
      <w:bookmarkStart w:id="22" w:name="_Hlk117606233"/>
      <w:bookmarkEnd w:id="21"/>
      <w:r>
        <w:rPr>
          <w:b w:val="0"/>
          <w:bCs/>
          <w:i/>
          <w:iCs/>
        </w:rPr>
        <w:t>Organic matter</w:t>
      </w:r>
      <w:bookmarkEnd w:id="22"/>
    </w:p>
    <w:p w14:paraId="185B75F9" w14:textId="7970BFC1" w:rsidR="009911AC" w:rsidRDefault="003F0337" w:rsidP="00D23535">
      <w:pPr>
        <w:spacing w:line="480" w:lineRule="auto"/>
        <w:jc w:val="both"/>
        <w:rPr>
          <w:rFonts w:eastAsia="Times New Roman" w:cs="Times New Roman"/>
          <w:szCs w:val="24"/>
          <w:lang w:eastAsia="en-GB"/>
        </w:rPr>
      </w:pPr>
      <w:bookmarkStart w:id="23" w:name="_Hlk125561619"/>
      <w:r>
        <w:rPr>
          <w:rFonts w:eastAsia="Times New Roman" w:cs="Times New Roman"/>
          <w:szCs w:val="24"/>
          <w:lang w:eastAsia="en-GB"/>
        </w:rPr>
        <w:t>The</w:t>
      </w:r>
      <w:r w:rsidR="00103650">
        <w:rPr>
          <w:rFonts w:eastAsia="Times New Roman" w:cs="Times New Roman"/>
          <w:szCs w:val="24"/>
          <w:lang w:eastAsia="en-GB"/>
        </w:rPr>
        <w:t xml:space="preserve"> </w:t>
      </w:r>
      <w:r w:rsidR="00444DE2">
        <w:rPr>
          <w:rFonts w:eastAsia="Times New Roman" w:cs="Times New Roman"/>
          <w:szCs w:val="24"/>
          <w:lang w:eastAsia="en-GB"/>
        </w:rPr>
        <w:t xml:space="preserve">abundant </w:t>
      </w:r>
      <w:r w:rsidR="00BA49D3">
        <w:rPr>
          <w:rFonts w:eastAsia="Times New Roman" w:cs="Times New Roman"/>
          <w:szCs w:val="24"/>
          <w:lang w:eastAsia="en-GB"/>
        </w:rPr>
        <w:t>proportion</w:t>
      </w:r>
      <w:r w:rsidR="00444DE2">
        <w:rPr>
          <w:rFonts w:eastAsia="Times New Roman" w:cs="Times New Roman"/>
          <w:szCs w:val="24"/>
          <w:lang w:eastAsia="en-GB"/>
        </w:rPr>
        <w:t xml:space="preserve"> of OM collected in all </w:t>
      </w:r>
      <w:r>
        <w:rPr>
          <w:rFonts w:eastAsia="Times New Roman" w:cs="Times New Roman"/>
          <w:szCs w:val="24"/>
          <w:lang w:eastAsia="en-GB"/>
        </w:rPr>
        <w:t>traps (8</w:t>
      </w:r>
      <w:r w:rsidR="00AB19BA" w:rsidRPr="00103650">
        <w:rPr>
          <w:rFonts w:eastAsia="Times New Roman" w:cs="Times New Roman"/>
          <w:szCs w:val="24"/>
          <w:lang w:eastAsia="en-GB"/>
        </w:rPr>
        <w:t>-</w:t>
      </w:r>
      <w:r w:rsidR="00444DE2" w:rsidRPr="00103650">
        <w:rPr>
          <w:rFonts w:eastAsia="Times New Roman" w:cs="Times New Roman"/>
          <w:szCs w:val="24"/>
          <w:lang w:eastAsia="en-GB"/>
        </w:rPr>
        <w:t>73</w:t>
      </w:r>
      <w:r>
        <w:rPr>
          <w:rFonts w:eastAsia="Times New Roman" w:cs="Times New Roman"/>
          <w:szCs w:val="24"/>
          <w:lang w:eastAsia="en-GB"/>
        </w:rPr>
        <w:t xml:space="preserve"> wt.</w:t>
      </w:r>
      <w:r w:rsidR="00444DE2" w:rsidRPr="00103650">
        <w:rPr>
          <w:rFonts w:eastAsia="Times New Roman" w:cs="Times New Roman"/>
          <w:szCs w:val="24"/>
          <w:lang w:eastAsia="en-GB"/>
        </w:rPr>
        <w:t>%</w:t>
      </w:r>
      <w:r w:rsidR="007B355B">
        <w:rPr>
          <w:rFonts w:eastAsia="Times New Roman" w:cs="Times New Roman"/>
          <w:szCs w:val="24"/>
          <w:lang w:eastAsia="en-GB"/>
        </w:rPr>
        <w:t xml:space="preserve">; </w:t>
      </w:r>
      <w:r w:rsidR="007B355B">
        <w:rPr>
          <w:i/>
          <w:iCs/>
          <w:color w:val="000000"/>
        </w:rPr>
        <w:t>Fig. S2</w:t>
      </w:r>
      <w:r>
        <w:rPr>
          <w:rFonts w:eastAsia="Times New Roman" w:cs="Times New Roman"/>
          <w:szCs w:val="24"/>
          <w:lang w:eastAsia="en-GB"/>
        </w:rPr>
        <w:t>)</w:t>
      </w:r>
      <w:r w:rsidR="00444DE2" w:rsidRPr="00103650">
        <w:rPr>
          <w:rFonts w:eastAsia="Times New Roman" w:cs="Times New Roman"/>
          <w:szCs w:val="24"/>
          <w:lang w:eastAsia="en-GB"/>
        </w:rPr>
        <w:t xml:space="preserve"> </w:t>
      </w:r>
      <w:r w:rsidR="00AB19BA" w:rsidRPr="00103650">
        <w:rPr>
          <w:rFonts w:eastAsia="Times New Roman" w:cs="Times New Roman"/>
          <w:szCs w:val="24"/>
          <w:lang w:eastAsia="en-GB"/>
        </w:rPr>
        <w:t>can easily be linked to the Lau Basin</w:t>
      </w:r>
      <w:r w:rsidR="005738AD">
        <w:rPr>
          <w:rFonts w:eastAsia="Times New Roman" w:cs="Times New Roman"/>
          <w:szCs w:val="24"/>
          <w:lang w:eastAsia="en-GB"/>
        </w:rPr>
        <w:t xml:space="preserve"> productivity</w:t>
      </w:r>
      <w:r w:rsidR="00AB19BA" w:rsidRPr="00103650">
        <w:rPr>
          <w:rFonts w:eastAsia="Times New Roman" w:cs="Times New Roman"/>
          <w:szCs w:val="24"/>
          <w:lang w:eastAsia="en-GB"/>
        </w:rPr>
        <w:t xml:space="preserve">, </w:t>
      </w:r>
      <w:r w:rsidR="000E0193" w:rsidRPr="00103650">
        <w:rPr>
          <w:rFonts w:eastAsia="Times New Roman" w:cs="Times New Roman"/>
          <w:szCs w:val="24"/>
          <w:lang w:eastAsia="en-GB"/>
        </w:rPr>
        <w:t>which hosts</w:t>
      </w:r>
      <w:r w:rsidR="009911AC">
        <w:rPr>
          <w:rFonts w:eastAsia="Times New Roman" w:cs="Times New Roman"/>
          <w:szCs w:val="24"/>
          <w:lang w:eastAsia="en-GB"/>
        </w:rPr>
        <w:t xml:space="preserve"> shallow</w:t>
      </w:r>
      <w:r w:rsidR="00AB19BA" w:rsidRPr="00103650">
        <w:rPr>
          <w:rFonts w:eastAsia="Times New Roman" w:cs="Times New Roman"/>
          <w:szCs w:val="24"/>
          <w:lang w:eastAsia="en-GB"/>
        </w:rPr>
        <w:t xml:space="preserve"> hydrothermal</w:t>
      </w:r>
      <w:r w:rsidR="00AB19BA">
        <w:rPr>
          <w:rFonts w:eastAsia="Times New Roman" w:cs="Times New Roman"/>
          <w:szCs w:val="24"/>
          <w:lang w:eastAsia="en-GB"/>
        </w:rPr>
        <w:t xml:space="preserve"> sources driving a </w:t>
      </w:r>
      <w:r w:rsidR="00103650">
        <w:rPr>
          <w:rFonts w:eastAsia="Times New Roman" w:cs="Times New Roman"/>
          <w:szCs w:val="24"/>
          <w:lang w:eastAsia="en-GB"/>
        </w:rPr>
        <w:t xml:space="preserve">~360,000 km² </w:t>
      </w:r>
      <w:r w:rsidR="00AB19BA">
        <w:rPr>
          <w:rFonts w:eastAsia="Times New Roman" w:cs="Times New Roman"/>
          <w:szCs w:val="24"/>
          <w:lang w:eastAsia="en-GB"/>
        </w:rPr>
        <w:t>productivity hotspot</w:t>
      </w:r>
      <w:r w:rsidR="00103650">
        <w:rPr>
          <w:rFonts w:eastAsia="Times New Roman" w:cs="Times New Roman"/>
          <w:szCs w:val="24"/>
          <w:lang w:eastAsia="en-GB"/>
        </w:rPr>
        <w:t>,</w:t>
      </w:r>
      <w:r w:rsidR="000E0193">
        <w:rPr>
          <w:rFonts w:eastAsia="Times New Roman" w:cs="Times New Roman"/>
          <w:szCs w:val="24"/>
          <w:lang w:eastAsia="en-GB"/>
        </w:rPr>
        <w:t xml:space="preserve"> </w:t>
      </w:r>
      <w:r w:rsidR="00AB19BA">
        <w:rPr>
          <w:rFonts w:eastAsia="Times New Roman" w:cs="Times New Roman"/>
          <w:szCs w:val="24"/>
          <w:lang w:eastAsia="en-GB"/>
        </w:rPr>
        <w:t>mainly supported by diazotrophs</w:t>
      </w:r>
      <w:r w:rsidR="00D64932">
        <w:rPr>
          <w:rFonts w:eastAsia="Times New Roman" w:cs="Times New Roman"/>
          <w:szCs w:val="24"/>
          <w:lang w:eastAsia="en-GB"/>
        </w:rPr>
        <w:t xml:space="preserve"> such as </w:t>
      </w:r>
      <w:r w:rsidR="00D64932" w:rsidRPr="00D64932">
        <w:rPr>
          <w:rFonts w:eastAsia="Times New Roman" w:cs="Times New Roman"/>
          <w:i/>
          <w:iCs/>
          <w:szCs w:val="24"/>
          <w:lang w:eastAsia="en-GB"/>
        </w:rPr>
        <w:t>Trichodesmium</w:t>
      </w:r>
      <w:r w:rsidR="00AB19BA">
        <w:rPr>
          <w:rFonts w:eastAsia="Times New Roman" w:cs="Times New Roman"/>
          <w:szCs w:val="24"/>
          <w:lang w:eastAsia="en-GB"/>
        </w:rPr>
        <w:t xml:space="preserve"> (</w:t>
      </w:r>
      <w:r w:rsidR="00103650">
        <w:rPr>
          <w:rFonts w:eastAsia="Times New Roman" w:cs="Times New Roman"/>
          <w:szCs w:val="24"/>
          <w:lang w:eastAsia="en-GB"/>
        </w:rPr>
        <w:t xml:space="preserve">up to </w:t>
      </w:r>
      <w:r w:rsidR="00AB19BA">
        <w:rPr>
          <w:rFonts w:eastAsia="Times New Roman" w:cs="Times New Roman"/>
          <w:szCs w:val="24"/>
          <w:lang w:eastAsia="en-GB"/>
        </w:rPr>
        <w:t>84</w:t>
      </w:r>
      <w:r w:rsidR="00103650">
        <w:rPr>
          <w:rFonts w:eastAsia="Times New Roman" w:cs="Times New Roman"/>
          <w:szCs w:val="24"/>
          <w:lang w:eastAsia="en-GB"/>
        </w:rPr>
        <w:t xml:space="preserve">% </w:t>
      </w:r>
      <w:r w:rsidR="00AB19BA">
        <w:rPr>
          <w:rFonts w:eastAsia="Times New Roman" w:cs="Times New Roman"/>
          <w:szCs w:val="24"/>
          <w:lang w:eastAsia="en-GB"/>
        </w:rPr>
        <w:t>of total export</w:t>
      </w:r>
      <w:r w:rsidR="00495C6F">
        <w:rPr>
          <w:rFonts w:eastAsia="Times New Roman" w:cs="Times New Roman"/>
          <w:szCs w:val="24"/>
          <w:lang w:eastAsia="en-GB"/>
        </w:rPr>
        <w:t xml:space="preserve"> </w:t>
      </w:r>
      <w:r w:rsidR="00495C6F">
        <w:rPr>
          <w:color w:val="000000"/>
        </w:rPr>
        <w:t>measured during the cruise</w:t>
      </w:r>
      <w:r w:rsidR="00AB19BA">
        <w:rPr>
          <w:rFonts w:eastAsia="Times New Roman" w:cs="Times New Roman"/>
          <w:szCs w:val="24"/>
          <w:lang w:eastAsia="en-GB"/>
        </w:rPr>
        <w:t xml:space="preserve">; </w:t>
      </w:r>
      <w:r w:rsidR="00AB19BA">
        <w:rPr>
          <w:rFonts w:eastAsia="Times New Roman" w:cs="Times New Roman"/>
          <w:szCs w:val="24"/>
          <w:lang w:eastAsia="en-GB"/>
        </w:rPr>
        <w:fldChar w:fldCharType="begin"/>
      </w:r>
      <w:r w:rsidR="00BA56B2">
        <w:rPr>
          <w:rFonts w:eastAsia="Times New Roman" w:cs="Times New Roman"/>
          <w:szCs w:val="24"/>
          <w:lang w:eastAsia="en-GB"/>
        </w:rPr>
        <w:instrText xml:space="preserve"> ADDIN ZOTERO_ITEM CSL_CITATION {"citationID":"RjeZCGoF","properties":{"formattedCitation":"(Bonnet et al., in rev.)","plainCitation":"(Bonnet et al., in rev.)","dontUpdate":true,"noteIndex":0},"citationItems":[{"id":647,"uris":["http://zotero.org/users/local/01lnVYoF/items/EC2B7ZIW"],"itemData":{"id":647,"type":"article-journal","abstract":"Iron is an essential nutrient, regulating productivity in ~30% of the ocean. Compared to deep (&gt;2000 m) hydrothermal activity at mid-ocean ridges that provide iron to the ocean’s interior, shallow (&lt;500 m) hydrothermal fluids are likely to influence the surface’s ecosystem. However, their effect is unknown. Here we show that fluids emitted along the Tonga volcanic Arc (South Pacific) have a dramatic impact on iron concentrations in the photic layer through vertical diffusion. This enrichment stimulates biological activity, resulting in an extensive patch of chlorophyll. Diazotroph activity is 2-8 times higher, and carbon export fluxes 2-3 times, compared to adjacent unfertilized waters. Such findings reveal a novel mechanism of natural iron fertilization in the ocean, fueling regional hot spot sinks for atmospheric CO2.","container-title":"Science","title":"Natural iron fertilization by shallow hydrothermal sources fuels diazotroph blooms in the Ocean","author":[{"family":"Bonnet","given":"S."},{"family":"Guieu","given":"C."},{"family":"Taillandier","given":"V."},{"family":"Boulart","given":"C."},{"family":"Bouruet-Aubertot","given":"P."},{"family":"Gazeau","given":"F."},{"family":"Bressac","given":"M."},{"family":"Knapp","given":"A. N."},{"family":"Cuypers","given":"Y."},{"family":"González-Santana","given":"D."},{"family":"Forrer","given":"H. J."},{"family":"Grisoni","given":"J.-M."},{"family":"Grosso","given":"O."},{"family":"Habasque","given":"J."},{"family":"Jardin-Camps","given":"M."},{"family":"Leblond","given":"N."},{"family":"Le Moigne","given":"F."},{"family":"Lebourges-Dhaussy","given":"A."},{"family":"Lory","given":"C."},{"family":"Nunige","given":"S."},{"family":"Pulido-Villena","given":"E."},{"family":"Rizzo","given":"A. L."},{"family":"Sarthou","given":"G."},{"family":"Tilliette","given":"C."}],"issued":{"literal":"in rev."}}}],"schema":"https://github.com/citation-style-language/schema/raw/master/csl-citation.json"} </w:instrText>
      </w:r>
      <w:r w:rsidR="00AB19BA">
        <w:rPr>
          <w:rFonts w:eastAsia="Times New Roman" w:cs="Times New Roman"/>
          <w:szCs w:val="24"/>
          <w:lang w:eastAsia="en-GB"/>
        </w:rPr>
        <w:fldChar w:fldCharType="separate"/>
      </w:r>
      <w:r w:rsidR="00AB19BA" w:rsidRPr="00AB19BA">
        <w:rPr>
          <w:rFonts w:cs="Times New Roman"/>
        </w:rPr>
        <w:t>Bonnet et al., in rev.)</w:t>
      </w:r>
      <w:r w:rsidR="00AB19BA">
        <w:rPr>
          <w:rFonts w:eastAsia="Times New Roman" w:cs="Times New Roman"/>
          <w:szCs w:val="24"/>
          <w:lang w:eastAsia="en-GB"/>
        </w:rPr>
        <w:fldChar w:fldCharType="end"/>
      </w:r>
      <w:r w:rsidR="00AB19BA">
        <w:rPr>
          <w:rFonts w:eastAsia="Times New Roman" w:cs="Times New Roman"/>
          <w:szCs w:val="24"/>
          <w:lang w:eastAsia="en-GB"/>
        </w:rPr>
        <w:t xml:space="preserve">. </w:t>
      </w:r>
      <w:r w:rsidR="00A630AE">
        <w:rPr>
          <w:rFonts w:eastAsia="Times New Roman" w:cs="Times New Roman"/>
          <w:szCs w:val="24"/>
          <w:lang w:eastAsia="en-GB"/>
        </w:rPr>
        <w:t>In addition, exported P</w:t>
      </w:r>
      <w:r w:rsidR="00412B49">
        <w:rPr>
          <w:rFonts w:eastAsia="Times New Roman" w:cs="Times New Roman"/>
          <w:szCs w:val="24"/>
          <w:lang w:eastAsia="en-GB"/>
        </w:rPr>
        <w:t>O</w:t>
      </w:r>
      <w:r w:rsidR="00A630AE">
        <w:rPr>
          <w:rFonts w:eastAsia="Times New Roman" w:cs="Times New Roman"/>
          <w:szCs w:val="24"/>
          <w:lang w:eastAsia="en-GB"/>
        </w:rPr>
        <w:t xml:space="preserve">C amounts were higher at stations near shallow hydrothermal sources (i.e., stations 5 and 10) than at </w:t>
      </w:r>
      <w:r w:rsidR="005418DE">
        <w:rPr>
          <w:rFonts w:eastAsia="Times New Roman" w:cs="Times New Roman"/>
          <w:szCs w:val="24"/>
          <w:lang w:eastAsia="en-GB"/>
        </w:rPr>
        <w:t>s</w:t>
      </w:r>
      <w:r w:rsidR="00A630AE">
        <w:rPr>
          <w:rFonts w:eastAsia="Times New Roman" w:cs="Times New Roman"/>
          <w:szCs w:val="24"/>
          <w:lang w:eastAsia="en-GB"/>
        </w:rPr>
        <w:t xml:space="preserve">tation 12, where the impact of </w:t>
      </w:r>
      <w:r w:rsidR="009E0EBB">
        <w:rPr>
          <w:rFonts w:eastAsia="Times New Roman" w:cs="Times New Roman"/>
          <w:szCs w:val="24"/>
          <w:lang w:eastAsia="en-GB"/>
        </w:rPr>
        <w:t xml:space="preserve">shallow </w:t>
      </w:r>
      <w:r w:rsidR="00A630AE">
        <w:rPr>
          <w:rFonts w:eastAsia="Times New Roman" w:cs="Times New Roman"/>
          <w:szCs w:val="24"/>
          <w:lang w:eastAsia="en-GB"/>
        </w:rPr>
        <w:t xml:space="preserve">hydrothermalism is </w:t>
      </w:r>
      <w:r w:rsidR="00A02309">
        <w:rPr>
          <w:rFonts w:eastAsia="Times New Roman" w:cs="Times New Roman"/>
          <w:szCs w:val="24"/>
          <w:lang w:eastAsia="en-GB"/>
        </w:rPr>
        <w:t>less evident</w:t>
      </w:r>
      <w:r w:rsidR="00A630AE">
        <w:rPr>
          <w:rFonts w:eastAsia="Times New Roman" w:cs="Times New Roman"/>
          <w:szCs w:val="24"/>
          <w:lang w:eastAsia="en-GB"/>
        </w:rPr>
        <w:t xml:space="preserve">. This finding supports the </w:t>
      </w:r>
      <w:r w:rsidR="005452BA">
        <w:rPr>
          <w:rFonts w:eastAsia="Times New Roman" w:cs="Times New Roman"/>
          <w:szCs w:val="24"/>
          <w:lang w:eastAsia="en-GB"/>
        </w:rPr>
        <w:t>contribution</w:t>
      </w:r>
      <w:r w:rsidR="00A630AE">
        <w:rPr>
          <w:rFonts w:eastAsia="Times New Roman" w:cs="Times New Roman"/>
          <w:szCs w:val="24"/>
          <w:lang w:eastAsia="en-GB"/>
        </w:rPr>
        <w:t xml:space="preserve"> of hydrothermal </w:t>
      </w:r>
      <w:r w:rsidR="005452BA">
        <w:rPr>
          <w:rFonts w:eastAsia="Times New Roman" w:cs="Times New Roman"/>
          <w:szCs w:val="24"/>
          <w:lang w:eastAsia="en-GB"/>
        </w:rPr>
        <w:t>supply</w:t>
      </w:r>
      <w:r w:rsidR="00A630AE">
        <w:rPr>
          <w:rFonts w:eastAsia="Times New Roman" w:cs="Times New Roman"/>
          <w:szCs w:val="24"/>
          <w:lang w:eastAsia="en-GB"/>
        </w:rPr>
        <w:t xml:space="preserve"> in driving the high productivity of the Lau Basin.</w:t>
      </w:r>
      <w:r w:rsidR="00AB19BA">
        <w:rPr>
          <w:rFonts w:eastAsia="Times New Roman" w:cs="Times New Roman"/>
          <w:szCs w:val="24"/>
          <w:lang w:eastAsia="en-GB"/>
        </w:rPr>
        <w:t xml:space="preserve"> </w:t>
      </w:r>
    </w:p>
    <w:p w14:paraId="79E3115E" w14:textId="63A03B2E" w:rsidR="00DF79DC" w:rsidRPr="00AB19BA" w:rsidRDefault="00103650" w:rsidP="00D23535">
      <w:pPr>
        <w:spacing w:line="480" w:lineRule="auto"/>
        <w:jc w:val="both"/>
        <w:rPr>
          <w:rFonts w:eastAsia="Times New Roman" w:cs="Times New Roman"/>
          <w:szCs w:val="24"/>
          <w:lang w:eastAsia="en-GB"/>
        </w:rPr>
      </w:pPr>
      <w:r>
        <w:rPr>
          <w:rFonts w:eastAsia="Times New Roman" w:cs="Times New Roman"/>
          <w:szCs w:val="24"/>
          <w:lang w:eastAsia="en-GB"/>
        </w:rPr>
        <w:lastRenderedPageBreak/>
        <w:t>S</w:t>
      </w:r>
      <w:r w:rsidR="00AB19BA">
        <w:rPr>
          <w:rFonts w:eastAsia="Times New Roman" w:cs="Times New Roman"/>
          <w:szCs w:val="24"/>
          <w:lang w:eastAsia="en-GB"/>
        </w:rPr>
        <w:t xml:space="preserve">trong seasonality of </w:t>
      </w:r>
      <w:r w:rsidR="009911AC">
        <w:rPr>
          <w:rFonts w:eastAsia="Times New Roman" w:cs="Times New Roman"/>
          <w:szCs w:val="24"/>
          <w:lang w:eastAsia="en-GB"/>
        </w:rPr>
        <w:t xml:space="preserve">OM </w:t>
      </w:r>
      <w:r w:rsidR="00AB19BA">
        <w:rPr>
          <w:rFonts w:eastAsia="Times New Roman" w:cs="Times New Roman"/>
          <w:szCs w:val="24"/>
          <w:lang w:eastAsia="en-GB"/>
        </w:rPr>
        <w:t xml:space="preserve">was observed at </w:t>
      </w:r>
      <w:r w:rsidR="005418DE">
        <w:rPr>
          <w:rFonts w:eastAsia="Times New Roman" w:cs="Times New Roman"/>
          <w:szCs w:val="24"/>
          <w:lang w:eastAsia="en-GB"/>
        </w:rPr>
        <w:t>s</w:t>
      </w:r>
      <w:r w:rsidR="00AB19BA">
        <w:rPr>
          <w:rFonts w:eastAsia="Times New Roman" w:cs="Times New Roman"/>
          <w:szCs w:val="24"/>
          <w:lang w:eastAsia="en-GB"/>
        </w:rPr>
        <w:t xml:space="preserve">tation 12 with peaks occurring from December to April and August to November (except at 1000 m for the </w:t>
      </w:r>
      <w:r w:rsidR="000E0193">
        <w:rPr>
          <w:rFonts w:eastAsia="Times New Roman" w:cs="Times New Roman"/>
          <w:szCs w:val="24"/>
          <w:lang w:eastAsia="en-GB"/>
        </w:rPr>
        <w:t xml:space="preserve">latter </w:t>
      </w:r>
      <w:r w:rsidR="00AB19BA">
        <w:rPr>
          <w:rFonts w:eastAsia="Times New Roman" w:cs="Times New Roman"/>
          <w:szCs w:val="24"/>
          <w:lang w:eastAsia="en-GB"/>
        </w:rPr>
        <w:t xml:space="preserve">period). </w:t>
      </w:r>
      <w:r>
        <w:rPr>
          <w:rFonts w:eastAsia="Times New Roman" w:cs="Times New Roman"/>
          <w:szCs w:val="24"/>
          <w:lang w:eastAsia="en-GB"/>
        </w:rPr>
        <w:t>Interestingly, this</w:t>
      </w:r>
      <w:r w:rsidR="00AB19BA">
        <w:rPr>
          <w:rFonts w:eastAsia="Times New Roman" w:cs="Times New Roman"/>
          <w:szCs w:val="24"/>
          <w:lang w:eastAsia="en-GB"/>
        </w:rPr>
        <w:t xml:space="preserve"> </w:t>
      </w:r>
      <w:r w:rsidR="000E0193">
        <w:rPr>
          <w:rFonts w:eastAsia="Times New Roman" w:cs="Times New Roman"/>
          <w:szCs w:val="24"/>
          <w:lang w:eastAsia="en-GB"/>
        </w:rPr>
        <w:t xml:space="preserve">large </w:t>
      </w:r>
      <w:r w:rsidR="00AB19BA">
        <w:rPr>
          <w:rFonts w:eastAsia="Times New Roman" w:cs="Times New Roman"/>
          <w:szCs w:val="24"/>
          <w:lang w:eastAsia="en-GB"/>
        </w:rPr>
        <w:t>export of OM matched well</w:t>
      </w:r>
      <w:r w:rsidR="000E0193">
        <w:rPr>
          <w:rFonts w:eastAsia="Times New Roman" w:cs="Times New Roman"/>
          <w:szCs w:val="24"/>
          <w:lang w:eastAsia="en-GB"/>
        </w:rPr>
        <w:t xml:space="preserve"> with</w:t>
      </w:r>
      <w:r w:rsidR="00AB19BA">
        <w:rPr>
          <w:rFonts w:eastAsia="Times New Roman" w:cs="Times New Roman"/>
          <w:szCs w:val="24"/>
          <w:lang w:eastAsia="en-GB"/>
        </w:rPr>
        <w:t xml:space="preserve"> the export of lithogenic material, </w:t>
      </w:r>
      <w:r w:rsidR="000E0193">
        <w:rPr>
          <w:rFonts w:eastAsia="Times New Roman" w:cs="Times New Roman"/>
          <w:szCs w:val="24"/>
          <w:lang w:eastAsia="en-GB"/>
        </w:rPr>
        <w:t>except for the</w:t>
      </w:r>
      <w:r w:rsidR="00AB19BA">
        <w:rPr>
          <w:rFonts w:eastAsia="Times New Roman" w:cs="Times New Roman"/>
          <w:szCs w:val="24"/>
          <w:lang w:eastAsia="en-GB"/>
        </w:rPr>
        <w:t xml:space="preserve"> April to August</w:t>
      </w:r>
      <w:r w:rsidR="000E0193">
        <w:rPr>
          <w:rFonts w:eastAsia="Times New Roman" w:cs="Times New Roman"/>
          <w:szCs w:val="24"/>
          <w:lang w:eastAsia="en-GB"/>
        </w:rPr>
        <w:t xml:space="preserve"> period</w:t>
      </w:r>
      <w:r w:rsidR="00AB19BA">
        <w:rPr>
          <w:rFonts w:eastAsia="Times New Roman" w:cs="Times New Roman"/>
          <w:szCs w:val="24"/>
          <w:lang w:eastAsia="en-GB"/>
        </w:rPr>
        <w:t xml:space="preserve"> when </w:t>
      </w:r>
      <w:r w:rsidR="000E0193">
        <w:rPr>
          <w:rFonts w:eastAsia="Times New Roman" w:cs="Times New Roman"/>
          <w:szCs w:val="24"/>
          <w:lang w:eastAsia="en-GB"/>
        </w:rPr>
        <w:t>little</w:t>
      </w:r>
      <w:r w:rsidR="00AB19BA">
        <w:rPr>
          <w:rFonts w:eastAsia="Times New Roman" w:cs="Times New Roman"/>
          <w:szCs w:val="24"/>
          <w:lang w:eastAsia="en-GB"/>
        </w:rPr>
        <w:t xml:space="preserve"> OM was exported, despite the high </w:t>
      </w:r>
      <w:r w:rsidR="009911AC">
        <w:rPr>
          <w:rFonts w:eastAsia="Times New Roman" w:cs="Times New Roman"/>
          <w:szCs w:val="24"/>
          <w:lang w:eastAsia="en-GB"/>
        </w:rPr>
        <w:t>supply</w:t>
      </w:r>
      <w:r w:rsidR="00AB19BA">
        <w:rPr>
          <w:rFonts w:eastAsia="Times New Roman" w:cs="Times New Roman"/>
          <w:szCs w:val="24"/>
          <w:lang w:eastAsia="en-GB"/>
        </w:rPr>
        <w:t xml:space="preserve"> of lithogenic material (up to 4.5 mg d</w:t>
      </w:r>
      <w:r w:rsidR="00AB19BA" w:rsidRPr="00AB19BA">
        <w:rPr>
          <w:rFonts w:eastAsia="Times New Roman" w:cs="Times New Roman"/>
          <w:szCs w:val="24"/>
          <w:vertAlign w:val="superscript"/>
          <w:lang w:eastAsia="en-GB"/>
        </w:rPr>
        <w:t>-1</w:t>
      </w:r>
      <w:r w:rsidR="00AB19BA">
        <w:rPr>
          <w:rFonts w:eastAsia="Times New Roman" w:cs="Times New Roman"/>
          <w:szCs w:val="24"/>
          <w:lang w:eastAsia="en-GB"/>
        </w:rPr>
        <w:t xml:space="preserve">). This is probably related to the thermal fitness of </w:t>
      </w:r>
      <w:r w:rsidR="00AB19BA">
        <w:rPr>
          <w:rFonts w:eastAsia="Times New Roman" w:cs="Times New Roman"/>
          <w:i/>
          <w:iCs/>
          <w:szCs w:val="24"/>
          <w:lang w:eastAsia="en-GB"/>
        </w:rPr>
        <w:t>Trichodesmium</w:t>
      </w:r>
      <w:r w:rsidR="00AB19BA">
        <w:rPr>
          <w:rFonts w:eastAsia="Times New Roman" w:cs="Times New Roman"/>
          <w:szCs w:val="24"/>
          <w:lang w:eastAsia="en-GB"/>
        </w:rPr>
        <w:t>, which only grows at temperatures &gt;</w:t>
      </w:r>
      <w:r>
        <w:rPr>
          <w:rFonts w:eastAsia="Times New Roman" w:cs="Times New Roman"/>
          <w:szCs w:val="24"/>
          <w:lang w:eastAsia="en-GB"/>
        </w:rPr>
        <w:t xml:space="preserve"> </w:t>
      </w:r>
      <w:r w:rsidR="00AB19BA">
        <w:rPr>
          <w:rFonts w:eastAsia="Times New Roman" w:cs="Times New Roman"/>
          <w:szCs w:val="24"/>
          <w:lang w:eastAsia="en-GB"/>
        </w:rPr>
        <w:t>25 °C</w:t>
      </w:r>
      <w:r w:rsidR="00D64932">
        <w:rPr>
          <w:rFonts w:eastAsia="Times New Roman" w:cs="Times New Roman"/>
          <w:szCs w:val="24"/>
          <w:lang w:eastAsia="en-GB"/>
        </w:rPr>
        <w:t xml:space="preserve"> </w:t>
      </w:r>
      <w:r w:rsidR="00D64932">
        <w:rPr>
          <w:rFonts w:eastAsia="Times New Roman" w:cs="Times New Roman"/>
          <w:szCs w:val="24"/>
          <w:lang w:eastAsia="en-GB"/>
        </w:rPr>
        <w:fldChar w:fldCharType="begin"/>
      </w:r>
      <w:r w:rsidR="00D64932">
        <w:rPr>
          <w:rFonts w:eastAsia="Times New Roman" w:cs="Times New Roman"/>
          <w:szCs w:val="24"/>
          <w:lang w:eastAsia="en-GB"/>
        </w:rPr>
        <w:instrText xml:space="preserve"> ADDIN ZOTERO_ITEM CSL_CITATION {"citationID":"2JEMeOs7","properties":{"formattedCitation":"(Carpenter and Capone, 1992)","plainCitation":"(Carpenter and Capone, 1992)","noteIndex":0},"citationItems":[{"id":1399,"uris":["http://zotero.org/users/local/01lnVYoF/items/UBYJBVRC"],"itemData":{"id":1399,"type":"chapter","abstract":"Blooms of Trichodesmium are common in tropical and subtropical seas of all oceans, particularly when winds are calm and water temperature exceeds 26°C. If as few as twenty moderate-size (20,000 km2) blooms occur globally and last for 15 days per year, a total of 5.4 Tg N would be fixed, a value which would more than double the current estimate of pelagic N2 fixation by Trichodesmium in the world’s oceans.","collection-title":"NATO ASI Series","container-title":"Marine Pelagic Cyanobacteria: Trichodesmium and other Diazotrophs","event-place":"Dordrecht","ISBN":"978-94-015-7977-3","language":"en","note":"DOI: 10.1007/978-94-015-7977-3_13","page":"211-217","publisher":"Springer Netherlands","publisher-place":"Dordrecht","source":"Springer Link","title":"Nitrogen Fixation in Trichodesmium Blooms","URL":"https://doi.org/10.1007/978-94-015-7977-3_13","author":[{"family":"Carpenter","given":"Edward J."},{"family":"Capone","given":"Douglas G."}],"editor":[{"family":"Carpenter","given":"E. J."},{"family":"Capone","given":"D. G."},{"family":"Rueter","given":"J. G."}],"accessed":{"date-parts":[["2022",10,25]]},"issued":{"date-parts":[["1992"]]}}}],"schema":"https://github.com/citation-style-language/schema/raw/master/csl-citation.json"} </w:instrText>
      </w:r>
      <w:r w:rsidR="00D64932">
        <w:rPr>
          <w:rFonts w:eastAsia="Times New Roman" w:cs="Times New Roman"/>
          <w:szCs w:val="24"/>
          <w:lang w:eastAsia="en-GB"/>
        </w:rPr>
        <w:fldChar w:fldCharType="separate"/>
      </w:r>
      <w:r w:rsidR="00D64932" w:rsidRPr="00D64932">
        <w:rPr>
          <w:rFonts w:cs="Times New Roman"/>
        </w:rPr>
        <w:t>(Carpenter and Capone, 1992)</w:t>
      </w:r>
      <w:r w:rsidR="00D64932">
        <w:rPr>
          <w:rFonts w:eastAsia="Times New Roman" w:cs="Times New Roman"/>
          <w:szCs w:val="24"/>
          <w:lang w:eastAsia="en-GB"/>
        </w:rPr>
        <w:fldChar w:fldCharType="end"/>
      </w:r>
      <w:r w:rsidR="00AB19BA">
        <w:rPr>
          <w:rFonts w:eastAsia="Times New Roman" w:cs="Times New Roman"/>
          <w:szCs w:val="24"/>
          <w:lang w:eastAsia="en-GB"/>
        </w:rPr>
        <w:t>, reached in the Lau Basin between September and April (</w:t>
      </w:r>
      <w:r w:rsidR="00AB19BA" w:rsidRPr="00AB19BA">
        <w:rPr>
          <w:rFonts w:eastAsia="Times New Roman" w:cs="Times New Roman"/>
          <w:i/>
          <w:iCs/>
          <w:szCs w:val="24"/>
          <w:lang w:eastAsia="en-GB"/>
        </w:rPr>
        <w:t>Fig. 2f</w:t>
      </w:r>
      <w:r w:rsidR="009911AC">
        <w:rPr>
          <w:rFonts w:eastAsia="Times New Roman" w:cs="Times New Roman"/>
          <w:i/>
          <w:iCs/>
          <w:szCs w:val="24"/>
          <w:lang w:eastAsia="en-GB"/>
        </w:rPr>
        <w:t xml:space="preserve">, </w:t>
      </w:r>
      <w:r w:rsidR="007B355B">
        <w:rPr>
          <w:rFonts w:eastAsia="Times New Roman" w:cs="Times New Roman"/>
          <w:i/>
          <w:iCs/>
          <w:szCs w:val="24"/>
          <w:lang w:eastAsia="en-GB"/>
        </w:rPr>
        <w:t>h</w:t>
      </w:r>
      <w:r w:rsidR="00AB19BA">
        <w:rPr>
          <w:rFonts w:eastAsia="Times New Roman" w:cs="Times New Roman"/>
          <w:szCs w:val="24"/>
          <w:lang w:eastAsia="en-GB"/>
        </w:rPr>
        <w:t>). Thus, the high amount of OM exported in the Lau Basin appears to be dependent on lithogenic</w:t>
      </w:r>
      <w:r w:rsidR="006B1B83">
        <w:rPr>
          <w:rFonts w:eastAsia="Times New Roman" w:cs="Times New Roman"/>
          <w:szCs w:val="24"/>
          <w:lang w:eastAsia="en-GB"/>
        </w:rPr>
        <w:t>-derived nutrient</w:t>
      </w:r>
      <w:r w:rsidR="00AB19BA">
        <w:rPr>
          <w:rFonts w:eastAsia="Times New Roman" w:cs="Times New Roman"/>
          <w:szCs w:val="24"/>
          <w:lang w:eastAsia="en-GB"/>
        </w:rPr>
        <w:t xml:space="preserve"> inputs, suggesting that this material, </w:t>
      </w:r>
      <w:r w:rsidR="0004466E">
        <w:rPr>
          <w:rFonts w:eastAsia="Times New Roman" w:cs="Times New Roman"/>
          <w:szCs w:val="24"/>
          <w:lang w:eastAsia="en-GB"/>
        </w:rPr>
        <w:t xml:space="preserve">most likely </w:t>
      </w:r>
      <w:r w:rsidR="00AB19BA">
        <w:rPr>
          <w:rFonts w:eastAsia="Times New Roman" w:cs="Times New Roman"/>
          <w:szCs w:val="24"/>
          <w:lang w:eastAsia="en-GB"/>
        </w:rPr>
        <w:t>of hydrothermal origin</w:t>
      </w:r>
      <w:r w:rsidR="0004466E">
        <w:rPr>
          <w:rFonts w:eastAsia="Times New Roman" w:cs="Times New Roman"/>
          <w:szCs w:val="24"/>
          <w:lang w:eastAsia="en-GB"/>
        </w:rPr>
        <w:t xml:space="preserve"> </w:t>
      </w:r>
      <w:r w:rsidR="0004466E">
        <w:rPr>
          <w:rFonts w:eastAsia="Times New Roman" w:cs="Times New Roman"/>
          <w:szCs w:val="24"/>
          <w:lang w:eastAsia="en-GB"/>
        </w:rPr>
        <w:fldChar w:fldCharType="begin"/>
      </w:r>
      <w:r w:rsidR="0004466E">
        <w:rPr>
          <w:rFonts w:eastAsia="Times New Roman" w:cs="Times New Roman"/>
          <w:szCs w:val="24"/>
          <w:lang w:eastAsia="en-GB"/>
        </w:rPr>
        <w:instrText xml:space="preserve"> ADDIN ZOTERO_ITEM CSL_CITATION {"citationID":"sOJ6zgy4","properties":{"formattedCitation":"(Tilliette et al., 2022)","plainCitation":"(Tilliette et al., 2022)","noteIndex":0},"citationItems":[{"id":819,"uris":["http://zotero.org/users/local/01lnVYoF/items/YIPANZYN"],"itemData":{"id":819,"type":"article-journal","container-title":"Global Biogeochemical Cycles","DOI":"10.1029/2022GB007363","ISSN":"0886-6236, 1944-9224","journalAbbreviation":"Global Biogeochemical Cycles","language":"en","source":"DOI.org (Crossref)","title":"Dissolved iron patterns impacted by shallow hydrothermal sources along a transect through the Tonga‐Kermadec arc","URL":"https://onlinelibrary.wiley.com/doi/10.1029/2022GB007363","author":[{"family":"Tilliette","given":"Chloé"},{"family":"Taillandier","given":"Vincent"},{"family":"Bouruet‐Aubertot","given":"Pascale"},{"family":"Grima","given":"Nicolas"},{"family":"Maes","given":"Christophe"},{"family":"Montanes","given":"Maryline"},{"family":"Sarthou","given":"Géraldine"},{"family":"Vorrath","given":"Maria-Elena"},{"family":"Arnone","given":"Veronica"},{"family":"Bressac","given":"Matthieu"},{"family":"González‐Santana","given":"David"},{"family":"Gazeau","given":"Frédéric"},{"family":"Guieu","given":"Cécile"}],"accessed":{"date-parts":[["2022",7,4]]},"issued":{"date-parts":[["2022",7,4]]}}}],"schema":"https://github.com/citation-style-language/schema/raw/master/csl-citation.json"} </w:instrText>
      </w:r>
      <w:r w:rsidR="0004466E">
        <w:rPr>
          <w:rFonts w:eastAsia="Times New Roman" w:cs="Times New Roman"/>
          <w:szCs w:val="24"/>
          <w:lang w:eastAsia="en-GB"/>
        </w:rPr>
        <w:fldChar w:fldCharType="separate"/>
      </w:r>
      <w:r w:rsidR="0004466E" w:rsidRPr="0004466E">
        <w:rPr>
          <w:rFonts w:cs="Times New Roman"/>
        </w:rPr>
        <w:t>(Tilliette et al., 2022)</w:t>
      </w:r>
      <w:r w:rsidR="0004466E">
        <w:rPr>
          <w:rFonts w:eastAsia="Times New Roman" w:cs="Times New Roman"/>
          <w:szCs w:val="24"/>
          <w:lang w:eastAsia="en-GB"/>
        </w:rPr>
        <w:fldChar w:fldCharType="end"/>
      </w:r>
      <w:r w:rsidR="00AB19BA">
        <w:rPr>
          <w:rFonts w:eastAsia="Times New Roman" w:cs="Times New Roman"/>
          <w:szCs w:val="24"/>
          <w:lang w:eastAsia="en-GB"/>
        </w:rPr>
        <w:t xml:space="preserve">, </w:t>
      </w:r>
      <w:r w:rsidR="00D64932">
        <w:rPr>
          <w:rFonts w:eastAsia="Times New Roman" w:cs="Times New Roman"/>
          <w:szCs w:val="24"/>
          <w:lang w:eastAsia="en-GB"/>
        </w:rPr>
        <w:t>would drive the high diazotroph-mediated production. In seafloor sediments,</w:t>
      </w:r>
      <w:r w:rsidR="005738AD">
        <w:rPr>
          <w:rFonts w:eastAsia="Times New Roman" w:cs="Times New Roman"/>
          <w:szCs w:val="24"/>
          <w:lang w:eastAsia="en-GB"/>
        </w:rPr>
        <w:t xml:space="preserve"> as expected,</w:t>
      </w:r>
      <w:r w:rsidR="00D64932">
        <w:rPr>
          <w:rFonts w:eastAsia="Times New Roman" w:cs="Times New Roman"/>
          <w:szCs w:val="24"/>
          <w:lang w:eastAsia="en-GB"/>
        </w:rPr>
        <w:t xml:space="preserve"> </w:t>
      </w:r>
      <w:r w:rsidR="009E0EBB">
        <w:rPr>
          <w:rFonts w:eastAsia="Times New Roman" w:cs="Times New Roman"/>
          <w:szCs w:val="24"/>
          <w:lang w:eastAsia="en-GB"/>
        </w:rPr>
        <w:t>only a minor proportion</w:t>
      </w:r>
      <w:r w:rsidR="0059408B">
        <w:rPr>
          <w:rFonts w:eastAsia="Times New Roman" w:cs="Times New Roman"/>
          <w:szCs w:val="24"/>
          <w:lang w:eastAsia="en-GB"/>
        </w:rPr>
        <w:t xml:space="preserve"> of OM was </w:t>
      </w:r>
      <w:r w:rsidR="006F5D62">
        <w:rPr>
          <w:rFonts w:eastAsia="Times New Roman" w:cs="Times New Roman"/>
          <w:szCs w:val="24"/>
          <w:lang w:eastAsia="en-GB"/>
        </w:rPr>
        <w:t>sequestrated</w:t>
      </w:r>
      <w:r w:rsidR="009E0EBB">
        <w:rPr>
          <w:rFonts w:eastAsia="Times New Roman" w:cs="Times New Roman"/>
          <w:szCs w:val="24"/>
          <w:lang w:eastAsia="en-GB"/>
        </w:rPr>
        <w:t xml:space="preserve"> </w:t>
      </w:r>
      <w:r w:rsidR="009E0EBB">
        <w:rPr>
          <w:rFonts w:eastAsia="Times New Roman" w:cs="Times New Roman"/>
          <w:szCs w:val="24"/>
          <w:lang w:eastAsia="en-GB"/>
        </w:rPr>
        <w:fldChar w:fldCharType="begin"/>
      </w:r>
      <w:r w:rsidR="00F70573">
        <w:rPr>
          <w:rFonts w:eastAsia="Times New Roman" w:cs="Times New Roman"/>
          <w:szCs w:val="24"/>
          <w:lang w:eastAsia="en-GB"/>
        </w:rPr>
        <w:instrText xml:space="preserve"> ADDIN ZOTERO_ITEM CSL_CITATION {"citationID":"TDse42vo","properties":{"formattedCitation":"(Berger et al., 1989; H\\uc0\\u252{}neke and Henrich, 2011)","plainCitation":"(Berger et al., 1989; Hüneke and Henrich, 2011)","dontUpdate":true,"noteIndex":0},"citationItems":[{"id":965,"uris":["http://zotero.org/users/local/01lnVYoF/items/P48UB577"],"itemData":{"id":965,"type":"chapter","container-title":"Productivity of the Oceans present and past","event-place":"Berlin","page":"1-34","publisher":"Wiley","publisher-place":"Berlin","title":"Ocean productivity and paleoproductivity - an overview","volume":"44","author":[{"family":"Berger","given":"W. H."},{"family":"Smetacek","given":"V."},{"family":"Wefer","given":"G."}],"issued":{"date-parts":[["1989"]]}}},{"id":875,"uris":["http://zotero.org/users/local/01lnVYoF/items/TKEE8BV7"],"itemData":{"id":875,"type":"chapter","container-title":"Developments in Sedimentology","ISBN":"978-0-444-53000-4","language":"en","note":"DOI: 10.1016/B978-0-444-53000-4.00004-4","page":"215-351","publisher":"Elsevier","source":"DOI.org (Crossref)","title":"Pelagic Sedimentation in Modern and Ancient Oceans","URL":"https://linkinghub.elsevier.com/retrieve/pii/B9780444530004000044","volume":"63","author":[{"family":"Hüneke","given":"Heiko"},{"family":"Henrich","given":"Rüdiger"}],"accessed":{"date-parts":[["2022",8,4]]},"issued":{"date-parts":[["2011"]]}}}],"schema":"https://github.com/citation-style-language/schema/raw/master/csl-citation.json"} </w:instrText>
      </w:r>
      <w:r w:rsidR="009E0EBB">
        <w:rPr>
          <w:rFonts w:eastAsia="Times New Roman" w:cs="Times New Roman"/>
          <w:szCs w:val="24"/>
          <w:lang w:eastAsia="en-GB"/>
        </w:rPr>
        <w:fldChar w:fldCharType="separate"/>
      </w:r>
      <w:r w:rsidR="009E0EBB" w:rsidRPr="00D64932">
        <w:rPr>
          <w:rFonts w:cs="Times New Roman"/>
          <w:szCs w:val="24"/>
        </w:rPr>
        <w:t>(</w:t>
      </w:r>
      <w:r w:rsidR="009E0EBB">
        <w:rPr>
          <w:rFonts w:eastAsia="Times New Roman" w:cs="Times New Roman"/>
          <w:szCs w:val="24"/>
          <w:lang w:eastAsia="en-GB"/>
        </w:rPr>
        <w:t xml:space="preserve">0.1-0.6%; </w:t>
      </w:r>
      <w:r w:rsidR="009E0EBB" w:rsidRPr="00D64932">
        <w:rPr>
          <w:rFonts w:cs="Times New Roman"/>
          <w:szCs w:val="24"/>
        </w:rPr>
        <w:t>Berger et al., 1989; Hüneke and Henrich, 2011)</w:t>
      </w:r>
      <w:r w:rsidR="009E0EBB">
        <w:rPr>
          <w:rFonts w:eastAsia="Times New Roman" w:cs="Times New Roman"/>
          <w:szCs w:val="24"/>
          <w:lang w:eastAsia="en-GB"/>
        </w:rPr>
        <w:fldChar w:fldCharType="end"/>
      </w:r>
      <w:r w:rsidR="005738AD">
        <w:rPr>
          <w:rFonts w:eastAsia="Times New Roman" w:cs="Times New Roman"/>
          <w:szCs w:val="24"/>
          <w:lang w:eastAsia="en-GB"/>
        </w:rPr>
        <w:t>, as most</w:t>
      </w:r>
      <w:r w:rsidR="00D64932">
        <w:rPr>
          <w:rFonts w:eastAsia="Times New Roman" w:cs="Times New Roman"/>
          <w:szCs w:val="24"/>
          <w:lang w:eastAsia="en-GB"/>
        </w:rPr>
        <w:t xml:space="preserve"> </w:t>
      </w:r>
      <w:r w:rsidR="0059408B">
        <w:rPr>
          <w:rFonts w:eastAsia="Times New Roman" w:cs="Times New Roman"/>
          <w:szCs w:val="24"/>
          <w:lang w:eastAsia="en-GB"/>
        </w:rPr>
        <w:t>of this material</w:t>
      </w:r>
      <w:r w:rsidR="00D64932">
        <w:rPr>
          <w:rFonts w:eastAsia="Times New Roman" w:cs="Times New Roman"/>
          <w:szCs w:val="24"/>
          <w:lang w:eastAsia="en-GB"/>
        </w:rPr>
        <w:t xml:space="preserve"> is remineralized during </w:t>
      </w:r>
      <w:r w:rsidR="00A9759D">
        <w:rPr>
          <w:rFonts w:eastAsia="Times New Roman" w:cs="Times New Roman"/>
          <w:szCs w:val="24"/>
          <w:lang w:eastAsia="en-GB"/>
        </w:rPr>
        <w:t xml:space="preserve">its </w:t>
      </w:r>
      <w:r w:rsidR="00D64932">
        <w:rPr>
          <w:rFonts w:eastAsia="Times New Roman" w:cs="Times New Roman"/>
          <w:szCs w:val="24"/>
          <w:lang w:eastAsia="en-GB"/>
        </w:rPr>
        <w:t xml:space="preserve">transport to the deep ocean </w:t>
      </w:r>
      <w:r w:rsidR="00D64932">
        <w:rPr>
          <w:rFonts w:eastAsia="Times New Roman" w:cs="Times New Roman"/>
          <w:szCs w:val="24"/>
          <w:lang w:eastAsia="en-GB"/>
        </w:rPr>
        <w:fldChar w:fldCharType="begin"/>
      </w:r>
      <w:r w:rsidR="00334591">
        <w:rPr>
          <w:rFonts w:eastAsia="Times New Roman" w:cs="Times New Roman"/>
          <w:szCs w:val="24"/>
          <w:lang w:eastAsia="en-GB"/>
        </w:rPr>
        <w:instrText xml:space="preserve"> ADDIN ZOTERO_ITEM CSL_CITATION {"citationID":"RkE4O435","properties":{"formattedCitation":"(Boyd and Trull, 2007)","plainCitation":"(Boyd and Trull, 2007)","dontUpdate":true,"noteIndex":0},"citationItems":[{"id":1195,"uris":["http://zotero.org/users/local/01lnVYoF/items/TQGIJH48"],"itemData":{"id":1195,"type":"article-journal","abstract":"We examine progress towards a global view of oceanic export of particulate organic carbon (POC) and other nutrient elements (P, N, Si) from the surface (upper 100m), through the subsurface, to the deep sea (&gt;1000m), focusing on syntheses published since 1999 and on the Joint Global Ocean Flux Study. Food-web structure is important, and surface and subsurface processes contribute similarly to determine the fraction of net primary production (NPP) reaching the deep sea. NPP by large cells generally favours high surface export of POC. Preferential remineralization of P and N (versus C) with depth is common, as is regional variation in subsurface POC flux attenuation. The role of mineral fluxes is complex. Annual mean fluxes of POC and minerals are correlated in global deep sediment trap records, but causality and the relative importance of different minerals depends on the assumptions made. Time-series observations at single sites can oppose the geographic trends, and their large seasonal variability in the contribution of POC to total flux is at odds with mechanistic models for POC transport by minerals. Despite generally positive correlations between biogenic carbonate and POC fluxes, the overall role of carbonate export is to decrease the transfer of carbon dioxide from the atmosphere to the ocean. Both autotrophs and heterotrophs produce minerals, and progress in separating these contributions is required for the deconvolution of mineral ballast and food-web effects. Many recent models suggest global surface POC export of </w:instrText>
      </w:r>
      <w:r w:rsidR="00334591">
        <w:rPr>
          <w:rFonts w:ascii="Cambria Math" w:eastAsia="Times New Roman" w:hAnsi="Cambria Math" w:cs="Cambria Math"/>
          <w:szCs w:val="24"/>
          <w:lang w:eastAsia="en-GB"/>
        </w:rPr>
        <w:instrText>∼</w:instrText>
      </w:r>
      <w:r w:rsidR="00334591">
        <w:rPr>
          <w:rFonts w:eastAsia="Times New Roman" w:cs="Times New Roman"/>
          <w:szCs w:val="24"/>
          <w:lang w:eastAsia="en-GB"/>
        </w:rPr>
        <w:instrText xml:space="preserve">10GTC/yr, despite widely varying biological complexity. This limits the usefulness of their prediction of ecosystem and carbon cycle responses to global change. Progress requires better observations for model validation, and more efforts to relate the models to the observed complexity, rather than to overly simplified global syntheses. We advocate more time-series stations targeting under-studied biogeochemical regions, development of automated in situ tools for study of the subsurface ocean, and increased emphasis on combining ecological and biogeochemical methods.","container-title":"Progress in Oceanography","DOI":"10.1016/j.pocean.2006.10.007","ISSN":"0079-6611","issue":"4","journalAbbreviation":"Progress in Oceanography","language":"en","page":"276-312","source":"ScienceDirect","title":"Understanding the export of biogenic particles in oceanic waters: Is there consensus?","title-short":"Understanding the export of biogenic particles in oceanic waters","volume":"72","author":[{"family":"Boyd","given":"P. W."},{"family":"Trull","given":"T. W."}],"issued":{"date-parts":[["2007",3,1]]}}}],"schema":"https://github.com/citation-style-language/schema/raw/master/csl-citation.json"} </w:instrText>
      </w:r>
      <w:r w:rsidR="00D64932">
        <w:rPr>
          <w:rFonts w:eastAsia="Times New Roman" w:cs="Times New Roman"/>
          <w:szCs w:val="24"/>
          <w:lang w:eastAsia="en-GB"/>
        </w:rPr>
        <w:fldChar w:fldCharType="separate"/>
      </w:r>
      <w:r w:rsidR="00202618" w:rsidRPr="00202618">
        <w:rPr>
          <w:rFonts w:cs="Times New Roman"/>
        </w:rPr>
        <w:t>(Boyd and Trull, 2007</w:t>
      </w:r>
      <w:r w:rsidR="00202618">
        <w:rPr>
          <w:rFonts w:cs="Times New Roman"/>
        </w:rPr>
        <w:t xml:space="preserve"> and reference therein</w:t>
      </w:r>
      <w:r w:rsidR="00202618" w:rsidRPr="00202618">
        <w:rPr>
          <w:rFonts w:cs="Times New Roman"/>
        </w:rPr>
        <w:t>)</w:t>
      </w:r>
      <w:r w:rsidR="00D64932">
        <w:rPr>
          <w:rFonts w:eastAsia="Times New Roman" w:cs="Times New Roman"/>
          <w:szCs w:val="24"/>
          <w:lang w:eastAsia="en-GB"/>
        </w:rPr>
        <w:fldChar w:fldCharType="end"/>
      </w:r>
      <w:r w:rsidR="00D64932">
        <w:rPr>
          <w:rFonts w:eastAsia="Times New Roman" w:cs="Times New Roman"/>
          <w:szCs w:val="24"/>
          <w:lang w:eastAsia="en-GB"/>
        </w:rPr>
        <w:t xml:space="preserve">. </w:t>
      </w:r>
    </w:p>
    <w:bookmarkEnd w:id="23"/>
    <w:p w14:paraId="4B7EE19C" w14:textId="5B59BFFB" w:rsidR="00133F31" w:rsidRDefault="00133F31" w:rsidP="00133F31">
      <w:pPr>
        <w:pStyle w:val="Titre2"/>
        <w:jc w:val="both"/>
        <w:rPr>
          <w:lang w:val="en-GB" w:eastAsia="en-GB"/>
        </w:rPr>
      </w:pPr>
      <w:r>
        <w:rPr>
          <w:lang w:val="en-GB" w:eastAsia="en-GB"/>
        </w:rPr>
        <w:t xml:space="preserve">Origin and characteristics of the </w:t>
      </w:r>
      <w:r w:rsidR="006B5B0A">
        <w:rPr>
          <w:lang w:val="en-GB" w:eastAsia="en-GB"/>
        </w:rPr>
        <w:t>metallic</w:t>
      </w:r>
      <w:r>
        <w:rPr>
          <w:lang w:val="en-GB" w:eastAsia="en-GB"/>
        </w:rPr>
        <w:t xml:space="preserve"> component in sinking and sedimented particles</w:t>
      </w:r>
    </w:p>
    <w:p w14:paraId="6387E5D4" w14:textId="77777777" w:rsidR="00E807AD" w:rsidRPr="00EC3546" w:rsidRDefault="00E807AD" w:rsidP="00E807AD">
      <w:pPr>
        <w:spacing w:line="480" w:lineRule="auto"/>
        <w:jc w:val="both"/>
        <w:rPr>
          <w:sz w:val="20"/>
          <w:szCs w:val="20"/>
          <w:lang w:val="en-GB" w:eastAsia="en-GB"/>
        </w:rPr>
      </w:pPr>
      <w:r w:rsidRPr="00646C43">
        <w:rPr>
          <w:b/>
          <w:bCs/>
          <w:i/>
          <w:iCs/>
          <w:sz w:val="22"/>
          <w:lang w:val="en-GB" w:eastAsia="en-GB"/>
        </w:rPr>
        <w:t>Table 3</w:t>
      </w:r>
      <w:r w:rsidRPr="00646C43">
        <w:rPr>
          <w:sz w:val="22"/>
          <w:lang w:val="en-GB" w:eastAsia="en-GB"/>
        </w:rPr>
        <w:t xml:space="preserve">. </w:t>
      </w:r>
      <w:bookmarkStart w:id="24" w:name="_Hlk125561914"/>
      <w:r w:rsidRPr="00646C43">
        <w:rPr>
          <w:sz w:val="22"/>
          <w:lang w:val="en-GB" w:eastAsia="en-GB"/>
        </w:rPr>
        <w:t xml:space="preserve">Average </w:t>
      </w:r>
      <w:r w:rsidRPr="00646C43">
        <w:rPr>
          <w:sz w:val="22"/>
        </w:rPr>
        <w:t>Boström indexes measured in sinking material and seafloor sediments for each station.</w:t>
      </w:r>
    </w:p>
    <w:tbl>
      <w:tblPr>
        <w:tblW w:w="4800" w:type="dxa"/>
        <w:jc w:val="center"/>
        <w:tblLook w:val="04A0" w:firstRow="1" w:lastRow="0" w:firstColumn="1" w:lastColumn="0" w:noHBand="0" w:noVBand="1"/>
      </w:tblPr>
      <w:tblGrid>
        <w:gridCol w:w="1200"/>
        <w:gridCol w:w="1200"/>
        <w:gridCol w:w="1499"/>
        <w:gridCol w:w="901"/>
      </w:tblGrid>
      <w:tr w:rsidR="00E807AD" w:rsidRPr="00646C43" w14:paraId="5F9E8744" w14:textId="77777777" w:rsidTr="00E807AD">
        <w:trPr>
          <w:trHeight w:val="144"/>
          <w:jc w:val="center"/>
        </w:trPr>
        <w:tc>
          <w:tcPr>
            <w:tcW w:w="1200" w:type="dxa"/>
            <w:tcBorders>
              <w:top w:val="single" w:sz="8" w:space="0" w:color="auto"/>
              <w:left w:val="nil"/>
              <w:bottom w:val="nil"/>
              <w:right w:val="nil"/>
            </w:tcBorders>
            <w:shd w:val="clear" w:color="000000" w:fill="FFFFFF"/>
            <w:noWrap/>
            <w:vAlign w:val="center"/>
            <w:hideMark/>
          </w:tcPr>
          <w:bookmarkEnd w:id="24"/>
          <w:p w14:paraId="6F88F504"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Station</w:t>
            </w:r>
          </w:p>
        </w:tc>
        <w:tc>
          <w:tcPr>
            <w:tcW w:w="1200" w:type="dxa"/>
            <w:tcBorders>
              <w:top w:val="single" w:sz="8" w:space="0" w:color="auto"/>
              <w:left w:val="nil"/>
              <w:bottom w:val="nil"/>
              <w:right w:val="nil"/>
            </w:tcBorders>
            <w:shd w:val="clear" w:color="000000" w:fill="FFFFFF"/>
            <w:noWrap/>
            <w:vAlign w:val="center"/>
            <w:hideMark/>
          </w:tcPr>
          <w:p w14:paraId="742C9615"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Depth</w:t>
            </w:r>
          </w:p>
        </w:tc>
        <w:tc>
          <w:tcPr>
            <w:tcW w:w="2400" w:type="dxa"/>
            <w:gridSpan w:val="2"/>
            <w:tcBorders>
              <w:top w:val="single" w:sz="8" w:space="0" w:color="auto"/>
              <w:left w:val="nil"/>
              <w:bottom w:val="nil"/>
              <w:right w:val="nil"/>
            </w:tcBorders>
            <w:shd w:val="clear" w:color="000000" w:fill="FFFFFF"/>
            <w:noWrap/>
            <w:vAlign w:val="center"/>
            <w:hideMark/>
          </w:tcPr>
          <w:p w14:paraId="6D8698BD"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Boström index</w:t>
            </w:r>
          </w:p>
        </w:tc>
      </w:tr>
      <w:tr w:rsidR="00E807AD" w:rsidRPr="00646C43" w14:paraId="43C71B76" w14:textId="77777777" w:rsidTr="00E807AD">
        <w:trPr>
          <w:trHeight w:val="144"/>
          <w:jc w:val="center"/>
        </w:trPr>
        <w:tc>
          <w:tcPr>
            <w:tcW w:w="1200" w:type="dxa"/>
            <w:tcBorders>
              <w:top w:val="nil"/>
              <w:left w:val="nil"/>
              <w:bottom w:val="single" w:sz="8" w:space="0" w:color="auto"/>
              <w:right w:val="nil"/>
            </w:tcBorders>
            <w:shd w:val="clear" w:color="000000" w:fill="FFFFFF"/>
            <w:noWrap/>
            <w:vAlign w:val="center"/>
            <w:hideMark/>
          </w:tcPr>
          <w:p w14:paraId="5FB8183D" w14:textId="77777777" w:rsidR="00E807AD" w:rsidRPr="00646C43" w:rsidRDefault="00E807AD" w:rsidP="008C318D">
            <w:pPr>
              <w:spacing w:before="0" w:after="0"/>
              <w:jc w:val="center"/>
              <w:rPr>
                <w:rFonts w:eastAsia="Times New Roman" w:cs="Times New Roman"/>
                <w:i/>
                <w:iCs/>
                <w:color w:val="000000"/>
                <w:sz w:val="22"/>
                <w:lang w:eastAsia="ja-JP"/>
              </w:rPr>
            </w:pPr>
            <w:r w:rsidRPr="00646C43">
              <w:rPr>
                <w:rFonts w:eastAsia="Times New Roman" w:cs="Times New Roman"/>
                <w:i/>
                <w:iCs/>
                <w:color w:val="000000"/>
                <w:sz w:val="22"/>
                <w:lang w:eastAsia="ja-JP"/>
              </w:rPr>
              <w:t>-</w:t>
            </w:r>
          </w:p>
        </w:tc>
        <w:tc>
          <w:tcPr>
            <w:tcW w:w="1200" w:type="dxa"/>
            <w:tcBorders>
              <w:top w:val="nil"/>
              <w:left w:val="nil"/>
              <w:bottom w:val="single" w:sz="8" w:space="0" w:color="auto"/>
              <w:right w:val="nil"/>
            </w:tcBorders>
            <w:shd w:val="clear" w:color="000000" w:fill="FFFFFF"/>
            <w:noWrap/>
            <w:vAlign w:val="center"/>
            <w:hideMark/>
          </w:tcPr>
          <w:p w14:paraId="3486C283" w14:textId="77777777" w:rsidR="00E807AD" w:rsidRPr="00646C43" w:rsidRDefault="00E807AD" w:rsidP="008C318D">
            <w:pPr>
              <w:spacing w:before="0" w:after="0"/>
              <w:jc w:val="center"/>
              <w:rPr>
                <w:rFonts w:eastAsia="Times New Roman" w:cs="Times New Roman"/>
                <w:i/>
                <w:iCs/>
                <w:color w:val="000000"/>
                <w:sz w:val="22"/>
                <w:lang w:eastAsia="ja-JP"/>
              </w:rPr>
            </w:pPr>
            <w:r w:rsidRPr="00646C43">
              <w:rPr>
                <w:rFonts w:eastAsia="Times New Roman" w:cs="Times New Roman"/>
                <w:i/>
                <w:iCs/>
                <w:color w:val="000000"/>
                <w:sz w:val="22"/>
                <w:lang w:eastAsia="ja-JP"/>
              </w:rPr>
              <w:t>(m)</w:t>
            </w:r>
          </w:p>
        </w:tc>
        <w:tc>
          <w:tcPr>
            <w:tcW w:w="1499" w:type="dxa"/>
            <w:tcBorders>
              <w:top w:val="nil"/>
              <w:left w:val="nil"/>
              <w:bottom w:val="single" w:sz="8" w:space="0" w:color="auto"/>
              <w:right w:val="nil"/>
            </w:tcBorders>
            <w:shd w:val="clear" w:color="000000" w:fill="FFFFFF"/>
            <w:noWrap/>
            <w:vAlign w:val="center"/>
            <w:hideMark/>
          </w:tcPr>
          <w:p w14:paraId="30E0FA13" w14:textId="77777777" w:rsidR="00E807AD" w:rsidRPr="00646C43" w:rsidRDefault="00E807AD" w:rsidP="008C318D">
            <w:pPr>
              <w:spacing w:before="0" w:after="0"/>
              <w:jc w:val="center"/>
              <w:rPr>
                <w:rFonts w:eastAsia="Times New Roman" w:cs="Times New Roman"/>
                <w:i/>
                <w:iCs/>
                <w:color w:val="000000"/>
                <w:sz w:val="22"/>
                <w:lang w:eastAsia="ja-JP"/>
              </w:rPr>
            </w:pPr>
            <w:r w:rsidRPr="00646C43">
              <w:rPr>
                <w:rFonts w:eastAsia="Times New Roman" w:cs="Times New Roman"/>
                <w:i/>
                <w:iCs/>
                <w:color w:val="000000"/>
                <w:sz w:val="22"/>
                <w:lang w:eastAsia="ja-JP"/>
              </w:rPr>
              <w:t>mean</w:t>
            </w:r>
          </w:p>
        </w:tc>
        <w:tc>
          <w:tcPr>
            <w:tcW w:w="901" w:type="dxa"/>
            <w:tcBorders>
              <w:top w:val="nil"/>
              <w:left w:val="nil"/>
              <w:bottom w:val="single" w:sz="8" w:space="0" w:color="auto"/>
              <w:right w:val="nil"/>
            </w:tcBorders>
            <w:shd w:val="clear" w:color="000000" w:fill="FFFFFF"/>
            <w:noWrap/>
            <w:vAlign w:val="center"/>
            <w:hideMark/>
          </w:tcPr>
          <w:p w14:paraId="41E6869D" w14:textId="77777777" w:rsidR="00E807AD" w:rsidRPr="00646C43" w:rsidRDefault="00E807AD" w:rsidP="008C318D">
            <w:pPr>
              <w:spacing w:before="0" w:after="0"/>
              <w:jc w:val="center"/>
              <w:rPr>
                <w:rFonts w:eastAsia="Times New Roman" w:cs="Times New Roman"/>
                <w:i/>
                <w:iCs/>
                <w:color w:val="000000"/>
                <w:sz w:val="22"/>
                <w:lang w:eastAsia="ja-JP"/>
              </w:rPr>
            </w:pPr>
            <w:proofErr w:type="spellStart"/>
            <w:r w:rsidRPr="00646C43">
              <w:rPr>
                <w:rFonts w:eastAsia="Times New Roman" w:cs="Times New Roman"/>
                <w:i/>
                <w:iCs/>
                <w:color w:val="000000"/>
                <w:sz w:val="22"/>
                <w:lang w:eastAsia="ja-JP"/>
              </w:rPr>
              <w:t>sd</w:t>
            </w:r>
            <w:proofErr w:type="spellEnd"/>
          </w:p>
        </w:tc>
      </w:tr>
      <w:tr w:rsidR="00E807AD" w:rsidRPr="00646C43" w14:paraId="4AED22A9" w14:textId="77777777" w:rsidTr="00E807AD">
        <w:trPr>
          <w:trHeight w:val="144"/>
          <w:jc w:val="center"/>
        </w:trPr>
        <w:tc>
          <w:tcPr>
            <w:tcW w:w="1200" w:type="dxa"/>
            <w:vMerge w:val="restart"/>
            <w:tcBorders>
              <w:top w:val="nil"/>
              <w:left w:val="nil"/>
              <w:bottom w:val="nil"/>
              <w:right w:val="nil"/>
            </w:tcBorders>
            <w:shd w:val="clear" w:color="000000" w:fill="FFFFFF"/>
            <w:noWrap/>
            <w:vAlign w:val="center"/>
            <w:hideMark/>
          </w:tcPr>
          <w:p w14:paraId="48756352"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Station 5</w:t>
            </w:r>
          </w:p>
        </w:tc>
        <w:tc>
          <w:tcPr>
            <w:tcW w:w="1200" w:type="dxa"/>
            <w:tcBorders>
              <w:top w:val="nil"/>
              <w:left w:val="nil"/>
              <w:bottom w:val="nil"/>
              <w:right w:val="nil"/>
            </w:tcBorders>
            <w:shd w:val="clear" w:color="000000" w:fill="FFFFFF"/>
            <w:noWrap/>
            <w:vAlign w:val="center"/>
            <w:hideMark/>
          </w:tcPr>
          <w:p w14:paraId="5A701861"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1000</w:t>
            </w:r>
          </w:p>
        </w:tc>
        <w:tc>
          <w:tcPr>
            <w:tcW w:w="1499" w:type="dxa"/>
            <w:tcBorders>
              <w:top w:val="nil"/>
              <w:left w:val="nil"/>
              <w:bottom w:val="nil"/>
              <w:right w:val="nil"/>
            </w:tcBorders>
            <w:shd w:val="clear" w:color="000000" w:fill="FFFFFF"/>
            <w:noWrap/>
            <w:vAlign w:val="center"/>
            <w:hideMark/>
          </w:tcPr>
          <w:p w14:paraId="1964280B"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50.6</w:t>
            </w:r>
          </w:p>
        </w:tc>
        <w:tc>
          <w:tcPr>
            <w:tcW w:w="901" w:type="dxa"/>
            <w:tcBorders>
              <w:top w:val="nil"/>
              <w:left w:val="nil"/>
              <w:bottom w:val="nil"/>
              <w:right w:val="nil"/>
            </w:tcBorders>
            <w:shd w:val="clear" w:color="000000" w:fill="FFFFFF"/>
            <w:noWrap/>
            <w:vAlign w:val="center"/>
            <w:hideMark/>
          </w:tcPr>
          <w:p w14:paraId="3260E991"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0.4</w:t>
            </w:r>
          </w:p>
        </w:tc>
      </w:tr>
      <w:tr w:rsidR="00E807AD" w:rsidRPr="00646C43" w14:paraId="4B196DBE" w14:textId="77777777" w:rsidTr="00E807AD">
        <w:trPr>
          <w:trHeight w:val="144"/>
          <w:jc w:val="center"/>
        </w:trPr>
        <w:tc>
          <w:tcPr>
            <w:tcW w:w="1200" w:type="dxa"/>
            <w:vMerge/>
            <w:tcBorders>
              <w:top w:val="nil"/>
              <w:left w:val="nil"/>
              <w:bottom w:val="nil"/>
              <w:right w:val="nil"/>
            </w:tcBorders>
            <w:vAlign w:val="center"/>
            <w:hideMark/>
          </w:tcPr>
          <w:p w14:paraId="06579613" w14:textId="77777777" w:rsidR="00E807AD" w:rsidRPr="00646C43" w:rsidRDefault="00E807AD" w:rsidP="008C318D">
            <w:pPr>
              <w:spacing w:before="0" w:after="0"/>
              <w:jc w:val="center"/>
              <w:rPr>
                <w:rFonts w:eastAsia="Times New Roman" w:cs="Times New Roman"/>
                <w:color w:val="000000"/>
                <w:sz w:val="22"/>
                <w:lang w:eastAsia="ja-JP"/>
              </w:rPr>
            </w:pPr>
          </w:p>
        </w:tc>
        <w:tc>
          <w:tcPr>
            <w:tcW w:w="1200" w:type="dxa"/>
            <w:tcBorders>
              <w:top w:val="nil"/>
              <w:left w:val="nil"/>
              <w:bottom w:val="nil"/>
              <w:right w:val="nil"/>
            </w:tcBorders>
            <w:shd w:val="clear" w:color="000000" w:fill="FFFFFF"/>
            <w:noWrap/>
            <w:vAlign w:val="center"/>
            <w:hideMark/>
          </w:tcPr>
          <w:p w14:paraId="692500DC"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Seafloor</w:t>
            </w:r>
          </w:p>
        </w:tc>
        <w:tc>
          <w:tcPr>
            <w:tcW w:w="1499" w:type="dxa"/>
            <w:tcBorders>
              <w:top w:val="nil"/>
              <w:left w:val="nil"/>
              <w:bottom w:val="nil"/>
              <w:right w:val="nil"/>
            </w:tcBorders>
            <w:shd w:val="clear" w:color="000000" w:fill="FFFFFF"/>
            <w:noWrap/>
            <w:vAlign w:val="center"/>
            <w:hideMark/>
          </w:tcPr>
          <w:p w14:paraId="4B9EED56"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39.7</w:t>
            </w:r>
          </w:p>
        </w:tc>
        <w:tc>
          <w:tcPr>
            <w:tcW w:w="901" w:type="dxa"/>
            <w:tcBorders>
              <w:top w:val="nil"/>
              <w:left w:val="nil"/>
              <w:bottom w:val="nil"/>
              <w:right w:val="nil"/>
            </w:tcBorders>
            <w:shd w:val="clear" w:color="000000" w:fill="FFFFFF"/>
            <w:noWrap/>
            <w:vAlign w:val="center"/>
            <w:hideMark/>
          </w:tcPr>
          <w:p w14:paraId="2B03C7EC"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1.7</w:t>
            </w:r>
          </w:p>
        </w:tc>
      </w:tr>
      <w:tr w:rsidR="00E807AD" w:rsidRPr="00646C43" w14:paraId="13BB231B" w14:textId="77777777" w:rsidTr="00E807AD">
        <w:trPr>
          <w:trHeight w:val="144"/>
          <w:jc w:val="center"/>
        </w:trPr>
        <w:tc>
          <w:tcPr>
            <w:tcW w:w="1200" w:type="dxa"/>
            <w:vMerge w:val="restart"/>
            <w:tcBorders>
              <w:top w:val="nil"/>
              <w:left w:val="nil"/>
              <w:bottom w:val="nil"/>
              <w:right w:val="nil"/>
            </w:tcBorders>
            <w:shd w:val="clear" w:color="000000" w:fill="FFFFFF"/>
            <w:noWrap/>
            <w:vAlign w:val="center"/>
            <w:hideMark/>
          </w:tcPr>
          <w:p w14:paraId="2993F707"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Station 10</w:t>
            </w:r>
          </w:p>
        </w:tc>
        <w:tc>
          <w:tcPr>
            <w:tcW w:w="1200" w:type="dxa"/>
            <w:tcBorders>
              <w:top w:val="nil"/>
              <w:left w:val="nil"/>
              <w:bottom w:val="nil"/>
              <w:right w:val="nil"/>
            </w:tcBorders>
            <w:shd w:val="clear" w:color="000000" w:fill="FFFFFF"/>
            <w:noWrap/>
            <w:vAlign w:val="center"/>
            <w:hideMark/>
          </w:tcPr>
          <w:p w14:paraId="2C789BB0"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200</w:t>
            </w:r>
          </w:p>
        </w:tc>
        <w:tc>
          <w:tcPr>
            <w:tcW w:w="1499" w:type="dxa"/>
            <w:tcBorders>
              <w:top w:val="nil"/>
              <w:left w:val="nil"/>
              <w:bottom w:val="nil"/>
              <w:right w:val="nil"/>
            </w:tcBorders>
            <w:shd w:val="clear" w:color="000000" w:fill="FFFFFF"/>
            <w:noWrap/>
            <w:vAlign w:val="center"/>
            <w:hideMark/>
          </w:tcPr>
          <w:p w14:paraId="29F9881B"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23.8</w:t>
            </w:r>
          </w:p>
        </w:tc>
        <w:tc>
          <w:tcPr>
            <w:tcW w:w="901" w:type="dxa"/>
            <w:tcBorders>
              <w:top w:val="nil"/>
              <w:left w:val="nil"/>
              <w:bottom w:val="nil"/>
              <w:right w:val="nil"/>
            </w:tcBorders>
            <w:shd w:val="clear" w:color="000000" w:fill="FFFFFF"/>
            <w:noWrap/>
            <w:vAlign w:val="center"/>
            <w:hideMark/>
          </w:tcPr>
          <w:p w14:paraId="64E72D20"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6.1</w:t>
            </w:r>
          </w:p>
        </w:tc>
      </w:tr>
      <w:tr w:rsidR="00E807AD" w:rsidRPr="00646C43" w14:paraId="6B90BA6B" w14:textId="77777777" w:rsidTr="00E807AD">
        <w:trPr>
          <w:trHeight w:val="144"/>
          <w:jc w:val="center"/>
        </w:trPr>
        <w:tc>
          <w:tcPr>
            <w:tcW w:w="1200" w:type="dxa"/>
            <w:vMerge/>
            <w:tcBorders>
              <w:top w:val="nil"/>
              <w:left w:val="nil"/>
              <w:bottom w:val="nil"/>
              <w:right w:val="nil"/>
            </w:tcBorders>
            <w:vAlign w:val="center"/>
            <w:hideMark/>
          </w:tcPr>
          <w:p w14:paraId="0D3E8DAA" w14:textId="77777777" w:rsidR="00E807AD" w:rsidRPr="00646C43" w:rsidRDefault="00E807AD" w:rsidP="008C318D">
            <w:pPr>
              <w:spacing w:before="0" w:after="0"/>
              <w:jc w:val="center"/>
              <w:rPr>
                <w:rFonts w:eastAsia="Times New Roman" w:cs="Times New Roman"/>
                <w:color w:val="000000"/>
                <w:sz w:val="22"/>
                <w:lang w:eastAsia="ja-JP"/>
              </w:rPr>
            </w:pPr>
          </w:p>
        </w:tc>
        <w:tc>
          <w:tcPr>
            <w:tcW w:w="1200" w:type="dxa"/>
            <w:tcBorders>
              <w:top w:val="nil"/>
              <w:left w:val="nil"/>
              <w:bottom w:val="nil"/>
              <w:right w:val="nil"/>
            </w:tcBorders>
            <w:shd w:val="clear" w:color="000000" w:fill="FFFFFF"/>
            <w:noWrap/>
            <w:vAlign w:val="center"/>
            <w:hideMark/>
          </w:tcPr>
          <w:p w14:paraId="33CD77D8"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1000</w:t>
            </w:r>
          </w:p>
        </w:tc>
        <w:tc>
          <w:tcPr>
            <w:tcW w:w="1499" w:type="dxa"/>
            <w:tcBorders>
              <w:top w:val="nil"/>
              <w:left w:val="nil"/>
              <w:bottom w:val="nil"/>
              <w:right w:val="nil"/>
            </w:tcBorders>
            <w:shd w:val="clear" w:color="000000" w:fill="FFFFFF"/>
            <w:noWrap/>
            <w:vAlign w:val="center"/>
            <w:hideMark/>
          </w:tcPr>
          <w:p w14:paraId="6C7B5F13"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66.6</w:t>
            </w:r>
          </w:p>
        </w:tc>
        <w:tc>
          <w:tcPr>
            <w:tcW w:w="901" w:type="dxa"/>
            <w:tcBorders>
              <w:top w:val="nil"/>
              <w:left w:val="nil"/>
              <w:bottom w:val="nil"/>
              <w:right w:val="nil"/>
            </w:tcBorders>
            <w:shd w:val="clear" w:color="000000" w:fill="FFFFFF"/>
            <w:noWrap/>
            <w:vAlign w:val="center"/>
            <w:hideMark/>
          </w:tcPr>
          <w:p w14:paraId="53FB524A"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0.5</w:t>
            </w:r>
          </w:p>
        </w:tc>
      </w:tr>
      <w:tr w:rsidR="00E807AD" w:rsidRPr="00646C43" w14:paraId="0336430F" w14:textId="77777777" w:rsidTr="00E807AD">
        <w:trPr>
          <w:trHeight w:val="144"/>
          <w:jc w:val="center"/>
        </w:trPr>
        <w:tc>
          <w:tcPr>
            <w:tcW w:w="1200" w:type="dxa"/>
            <w:vMerge/>
            <w:tcBorders>
              <w:top w:val="nil"/>
              <w:left w:val="nil"/>
              <w:bottom w:val="nil"/>
              <w:right w:val="nil"/>
            </w:tcBorders>
            <w:vAlign w:val="center"/>
            <w:hideMark/>
          </w:tcPr>
          <w:p w14:paraId="2A4C9D66" w14:textId="77777777" w:rsidR="00E807AD" w:rsidRPr="00646C43" w:rsidRDefault="00E807AD" w:rsidP="008C318D">
            <w:pPr>
              <w:spacing w:before="0" w:after="0"/>
              <w:jc w:val="center"/>
              <w:rPr>
                <w:rFonts w:eastAsia="Times New Roman" w:cs="Times New Roman"/>
                <w:color w:val="000000"/>
                <w:sz w:val="22"/>
                <w:lang w:eastAsia="ja-JP"/>
              </w:rPr>
            </w:pPr>
          </w:p>
        </w:tc>
        <w:tc>
          <w:tcPr>
            <w:tcW w:w="1200" w:type="dxa"/>
            <w:tcBorders>
              <w:top w:val="nil"/>
              <w:left w:val="nil"/>
              <w:bottom w:val="nil"/>
              <w:right w:val="nil"/>
            </w:tcBorders>
            <w:shd w:val="clear" w:color="000000" w:fill="FFFFFF"/>
            <w:noWrap/>
            <w:vAlign w:val="center"/>
            <w:hideMark/>
          </w:tcPr>
          <w:p w14:paraId="583F15B7"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Seafloor</w:t>
            </w:r>
          </w:p>
        </w:tc>
        <w:tc>
          <w:tcPr>
            <w:tcW w:w="1499" w:type="dxa"/>
            <w:tcBorders>
              <w:top w:val="nil"/>
              <w:left w:val="nil"/>
              <w:bottom w:val="nil"/>
              <w:right w:val="nil"/>
            </w:tcBorders>
            <w:shd w:val="clear" w:color="000000" w:fill="FFFFFF"/>
            <w:noWrap/>
            <w:vAlign w:val="center"/>
            <w:hideMark/>
          </w:tcPr>
          <w:p w14:paraId="0730E826"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45.2</w:t>
            </w:r>
          </w:p>
        </w:tc>
        <w:tc>
          <w:tcPr>
            <w:tcW w:w="901" w:type="dxa"/>
            <w:tcBorders>
              <w:top w:val="nil"/>
              <w:left w:val="nil"/>
              <w:bottom w:val="nil"/>
              <w:right w:val="nil"/>
            </w:tcBorders>
            <w:shd w:val="clear" w:color="000000" w:fill="FFFFFF"/>
            <w:noWrap/>
            <w:vAlign w:val="center"/>
            <w:hideMark/>
          </w:tcPr>
          <w:p w14:paraId="7A46A509"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1.3</w:t>
            </w:r>
          </w:p>
        </w:tc>
      </w:tr>
      <w:tr w:rsidR="00E807AD" w:rsidRPr="00646C43" w14:paraId="4B72DFB8" w14:textId="77777777" w:rsidTr="00E807AD">
        <w:trPr>
          <w:trHeight w:val="144"/>
          <w:jc w:val="center"/>
        </w:trPr>
        <w:tc>
          <w:tcPr>
            <w:tcW w:w="1200" w:type="dxa"/>
            <w:vMerge w:val="restart"/>
            <w:tcBorders>
              <w:top w:val="nil"/>
              <w:left w:val="nil"/>
              <w:bottom w:val="nil"/>
              <w:right w:val="nil"/>
            </w:tcBorders>
            <w:shd w:val="clear" w:color="000000" w:fill="FFFFFF"/>
            <w:noWrap/>
            <w:vAlign w:val="center"/>
            <w:hideMark/>
          </w:tcPr>
          <w:p w14:paraId="53B7426E"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Station 12</w:t>
            </w:r>
          </w:p>
        </w:tc>
        <w:tc>
          <w:tcPr>
            <w:tcW w:w="1200" w:type="dxa"/>
            <w:tcBorders>
              <w:top w:val="nil"/>
              <w:left w:val="nil"/>
              <w:bottom w:val="nil"/>
              <w:right w:val="nil"/>
            </w:tcBorders>
            <w:shd w:val="clear" w:color="000000" w:fill="FFFFFF"/>
            <w:noWrap/>
            <w:vAlign w:val="center"/>
            <w:hideMark/>
          </w:tcPr>
          <w:p w14:paraId="387C67B5"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200</w:t>
            </w:r>
          </w:p>
        </w:tc>
        <w:tc>
          <w:tcPr>
            <w:tcW w:w="1499" w:type="dxa"/>
            <w:tcBorders>
              <w:top w:val="nil"/>
              <w:left w:val="nil"/>
              <w:bottom w:val="nil"/>
              <w:right w:val="nil"/>
            </w:tcBorders>
            <w:shd w:val="clear" w:color="000000" w:fill="FFFFFF"/>
            <w:noWrap/>
            <w:vAlign w:val="center"/>
            <w:hideMark/>
          </w:tcPr>
          <w:p w14:paraId="17A34AE5"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55.6</w:t>
            </w:r>
          </w:p>
        </w:tc>
        <w:tc>
          <w:tcPr>
            <w:tcW w:w="901" w:type="dxa"/>
            <w:tcBorders>
              <w:top w:val="nil"/>
              <w:left w:val="nil"/>
              <w:bottom w:val="nil"/>
              <w:right w:val="nil"/>
            </w:tcBorders>
            <w:shd w:val="clear" w:color="000000" w:fill="FFFFFF"/>
            <w:noWrap/>
            <w:vAlign w:val="center"/>
            <w:hideMark/>
          </w:tcPr>
          <w:p w14:paraId="6E7CF93F"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9.7</w:t>
            </w:r>
          </w:p>
        </w:tc>
      </w:tr>
      <w:tr w:rsidR="00E807AD" w:rsidRPr="00646C43" w14:paraId="55A353FD" w14:textId="77777777" w:rsidTr="00E807AD">
        <w:trPr>
          <w:trHeight w:val="144"/>
          <w:jc w:val="center"/>
        </w:trPr>
        <w:tc>
          <w:tcPr>
            <w:tcW w:w="1200" w:type="dxa"/>
            <w:vMerge/>
            <w:tcBorders>
              <w:top w:val="nil"/>
              <w:left w:val="nil"/>
              <w:bottom w:val="nil"/>
              <w:right w:val="nil"/>
            </w:tcBorders>
            <w:vAlign w:val="center"/>
            <w:hideMark/>
          </w:tcPr>
          <w:p w14:paraId="10FD7D2C" w14:textId="77777777" w:rsidR="00E807AD" w:rsidRPr="00646C43" w:rsidRDefault="00E807AD" w:rsidP="008C318D">
            <w:pPr>
              <w:spacing w:before="0" w:after="0"/>
              <w:jc w:val="center"/>
              <w:rPr>
                <w:rFonts w:eastAsia="Times New Roman" w:cs="Times New Roman"/>
                <w:color w:val="000000"/>
                <w:sz w:val="22"/>
                <w:lang w:eastAsia="ja-JP"/>
              </w:rPr>
            </w:pPr>
          </w:p>
        </w:tc>
        <w:tc>
          <w:tcPr>
            <w:tcW w:w="1200" w:type="dxa"/>
            <w:tcBorders>
              <w:top w:val="nil"/>
              <w:left w:val="nil"/>
              <w:bottom w:val="nil"/>
              <w:right w:val="nil"/>
            </w:tcBorders>
            <w:shd w:val="clear" w:color="000000" w:fill="FFFFFF"/>
            <w:noWrap/>
            <w:vAlign w:val="center"/>
            <w:hideMark/>
          </w:tcPr>
          <w:p w14:paraId="67B7C6F7"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1000</w:t>
            </w:r>
          </w:p>
        </w:tc>
        <w:tc>
          <w:tcPr>
            <w:tcW w:w="1499" w:type="dxa"/>
            <w:tcBorders>
              <w:top w:val="nil"/>
              <w:left w:val="nil"/>
              <w:bottom w:val="nil"/>
              <w:right w:val="nil"/>
            </w:tcBorders>
            <w:shd w:val="clear" w:color="000000" w:fill="FFFFFF"/>
            <w:noWrap/>
            <w:vAlign w:val="center"/>
            <w:hideMark/>
          </w:tcPr>
          <w:p w14:paraId="1058E499"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42.7</w:t>
            </w:r>
          </w:p>
        </w:tc>
        <w:tc>
          <w:tcPr>
            <w:tcW w:w="901" w:type="dxa"/>
            <w:tcBorders>
              <w:top w:val="nil"/>
              <w:left w:val="nil"/>
              <w:bottom w:val="nil"/>
              <w:right w:val="nil"/>
            </w:tcBorders>
            <w:shd w:val="clear" w:color="000000" w:fill="FFFFFF"/>
            <w:noWrap/>
            <w:vAlign w:val="center"/>
            <w:hideMark/>
          </w:tcPr>
          <w:p w14:paraId="3D468684"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6.0</w:t>
            </w:r>
          </w:p>
        </w:tc>
      </w:tr>
      <w:tr w:rsidR="00E807AD" w:rsidRPr="00646C43" w14:paraId="1FC4F498" w14:textId="77777777" w:rsidTr="00E807AD">
        <w:trPr>
          <w:trHeight w:val="144"/>
          <w:jc w:val="center"/>
        </w:trPr>
        <w:tc>
          <w:tcPr>
            <w:tcW w:w="1200" w:type="dxa"/>
            <w:vMerge/>
            <w:tcBorders>
              <w:top w:val="nil"/>
              <w:left w:val="nil"/>
              <w:bottom w:val="nil"/>
              <w:right w:val="nil"/>
            </w:tcBorders>
            <w:vAlign w:val="center"/>
            <w:hideMark/>
          </w:tcPr>
          <w:p w14:paraId="75D9E92C" w14:textId="77777777" w:rsidR="00E807AD" w:rsidRPr="00646C43" w:rsidRDefault="00E807AD" w:rsidP="008C318D">
            <w:pPr>
              <w:spacing w:before="0" w:after="0"/>
              <w:jc w:val="center"/>
              <w:rPr>
                <w:rFonts w:eastAsia="Times New Roman" w:cs="Times New Roman"/>
                <w:color w:val="000000"/>
                <w:sz w:val="22"/>
                <w:lang w:eastAsia="ja-JP"/>
              </w:rPr>
            </w:pPr>
          </w:p>
        </w:tc>
        <w:tc>
          <w:tcPr>
            <w:tcW w:w="1200" w:type="dxa"/>
            <w:tcBorders>
              <w:top w:val="nil"/>
              <w:left w:val="nil"/>
              <w:bottom w:val="nil"/>
              <w:right w:val="nil"/>
            </w:tcBorders>
            <w:shd w:val="clear" w:color="000000" w:fill="FFFFFF"/>
            <w:noWrap/>
            <w:vAlign w:val="center"/>
            <w:hideMark/>
          </w:tcPr>
          <w:p w14:paraId="43D33C23"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Seafloor</w:t>
            </w:r>
          </w:p>
        </w:tc>
        <w:tc>
          <w:tcPr>
            <w:tcW w:w="1499" w:type="dxa"/>
            <w:tcBorders>
              <w:top w:val="nil"/>
              <w:left w:val="nil"/>
              <w:bottom w:val="nil"/>
              <w:right w:val="nil"/>
            </w:tcBorders>
            <w:shd w:val="clear" w:color="000000" w:fill="FFFFFF"/>
            <w:noWrap/>
            <w:vAlign w:val="center"/>
            <w:hideMark/>
          </w:tcPr>
          <w:p w14:paraId="19B6EDFF"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15.9</w:t>
            </w:r>
          </w:p>
        </w:tc>
        <w:tc>
          <w:tcPr>
            <w:tcW w:w="901" w:type="dxa"/>
            <w:tcBorders>
              <w:top w:val="nil"/>
              <w:left w:val="nil"/>
              <w:bottom w:val="nil"/>
              <w:right w:val="nil"/>
            </w:tcBorders>
            <w:shd w:val="clear" w:color="000000" w:fill="FFFFFF"/>
            <w:noWrap/>
            <w:vAlign w:val="center"/>
            <w:hideMark/>
          </w:tcPr>
          <w:p w14:paraId="19D51CF7"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0.9</w:t>
            </w:r>
          </w:p>
        </w:tc>
      </w:tr>
      <w:tr w:rsidR="00E807AD" w:rsidRPr="00646C43" w14:paraId="5D2FDB5D" w14:textId="77777777" w:rsidTr="00E807AD">
        <w:trPr>
          <w:trHeight w:val="144"/>
          <w:jc w:val="center"/>
        </w:trPr>
        <w:tc>
          <w:tcPr>
            <w:tcW w:w="1200" w:type="dxa"/>
            <w:tcBorders>
              <w:top w:val="nil"/>
              <w:left w:val="nil"/>
              <w:bottom w:val="single" w:sz="8" w:space="0" w:color="auto"/>
              <w:right w:val="nil"/>
            </w:tcBorders>
            <w:shd w:val="clear" w:color="000000" w:fill="FFFFFF"/>
            <w:noWrap/>
            <w:vAlign w:val="center"/>
            <w:hideMark/>
          </w:tcPr>
          <w:p w14:paraId="61E81BEC"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Station 8</w:t>
            </w:r>
          </w:p>
        </w:tc>
        <w:tc>
          <w:tcPr>
            <w:tcW w:w="1200" w:type="dxa"/>
            <w:tcBorders>
              <w:top w:val="nil"/>
              <w:left w:val="nil"/>
              <w:bottom w:val="single" w:sz="8" w:space="0" w:color="auto"/>
              <w:right w:val="nil"/>
            </w:tcBorders>
            <w:shd w:val="clear" w:color="000000" w:fill="FFFFFF"/>
            <w:noWrap/>
            <w:vAlign w:val="center"/>
            <w:hideMark/>
          </w:tcPr>
          <w:p w14:paraId="20840920"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Seafloor</w:t>
            </w:r>
          </w:p>
        </w:tc>
        <w:tc>
          <w:tcPr>
            <w:tcW w:w="1499" w:type="dxa"/>
            <w:tcBorders>
              <w:top w:val="nil"/>
              <w:left w:val="nil"/>
              <w:bottom w:val="single" w:sz="8" w:space="0" w:color="auto"/>
              <w:right w:val="nil"/>
            </w:tcBorders>
            <w:shd w:val="clear" w:color="000000" w:fill="FFFFFF"/>
            <w:noWrap/>
            <w:vAlign w:val="center"/>
            <w:hideMark/>
          </w:tcPr>
          <w:p w14:paraId="045EC2AE"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37.8</w:t>
            </w:r>
          </w:p>
        </w:tc>
        <w:tc>
          <w:tcPr>
            <w:tcW w:w="901" w:type="dxa"/>
            <w:tcBorders>
              <w:top w:val="nil"/>
              <w:left w:val="nil"/>
              <w:bottom w:val="single" w:sz="8" w:space="0" w:color="auto"/>
              <w:right w:val="nil"/>
            </w:tcBorders>
            <w:shd w:val="clear" w:color="000000" w:fill="FFFFFF"/>
            <w:noWrap/>
            <w:vAlign w:val="center"/>
            <w:hideMark/>
          </w:tcPr>
          <w:p w14:paraId="425F4D93" w14:textId="77777777" w:rsidR="00E807AD" w:rsidRPr="00646C43" w:rsidRDefault="00E807AD" w:rsidP="008C318D">
            <w:pPr>
              <w:spacing w:before="0" w:after="0"/>
              <w:jc w:val="center"/>
              <w:rPr>
                <w:rFonts w:eastAsia="Times New Roman" w:cs="Times New Roman"/>
                <w:color w:val="000000"/>
                <w:sz w:val="22"/>
                <w:lang w:eastAsia="ja-JP"/>
              </w:rPr>
            </w:pPr>
            <w:r w:rsidRPr="00646C43">
              <w:rPr>
                <w:rFonts w:eastAsia="Times New Roman" w:cs="Times New Roman"/>
                <w:color w:val="000000"/>
                <w:sz w:val="22"/>
                <w:lang w:eastAsia="ja-JP"/>
              </w:rPr>
              <w:t>1.0</w:t>
            </w:r>
          </w:p>
        </w:tc>
      </w:tr>
    </w:tbl>
    <w:p w14:paraId="1D26DEAC" w14:textId="328D545C" w:rsidR="00E807AD" w:rsidRPr="00E807AD" w:rsidRDefault="00E807AD" w:rsidP="00E807AD">
      <w:pPr>
        <w:spacing w:line="360" w:lineRule="auto"/>
        <w:jc w:val="both"/>
        <w:rPr>
          <w:lang w:val="en-GB" w:eastAsia="en-GB"/>
        </w:rPr>
      </w:pPr>
      <w:bookmarkStart w:id="25" w:name="_Hlk125561938"/>
      <w:r w:rsidRPr="00646C43">
        <w:rPr>
          <w:i/>
          <w:iCs/>
          <w:sz w:val="21"/>
          <w:szCs w:val="20"/>
        </w:rPr>
        <w:t>Note</w:t>
      </w:r>
      <w:r>
        <w:rPr>
          <w:sz w:val="21"/>
          <w:szCs w:val="20"/>
        </w:rPr>
        <w:t xml:space="preserve">. Indexes were measured as follows: 100 </w:t>
      </w:r>
      <w:r>
        <w:rPr>
          <w:rFonts w:ascii="Arial" w:hAnsi="Arial" w:cs="Arial"/>
          <w:sz w:val="21"/>
          <w:szCs w:val="20"/>
        </w:rPr>
        <w:t xml:space="preserve">ͯ </w:t>
      </w:r>
      <w:r>
        <w:rPr>
          <w:sz w:val="21"/>
          <w:szCs w:val="20"/>
        </w:rPr>
        <w:t>[</w:t>
      </w:r>
      <w:proofErr w:type="spellStart"/>
      <w:r>
        <w:rPr>
          <w:sz w:val="21"/>
          <w:szCs w:val="20"/>
        </w:rPr>
        <w:t>Al</w:t>
      </w:r>
      <w:r w:rsidR="00662F7E">
        <w:rPr>
          <w:sz w:val="21"/>
          <w:szCs w:val="20"/>
          <w:vertAlign w:val="subscript"/>
        </w:rPr>
        <w:t>cfb</w:t>
      </w:r>
      <w:proofErr w:type="spellEnd"/>
      <w:r>
        <w:rPr>
          <w:sz w:val="21"/>
          <w:szCs w:val="20"/>
        </w:rPr>
        <w:t>/(</w:t>
      </w:r>
      <w:proofErr w:type="spellStart"/>
      <w:r>
        <w:rPr>
          <w:sz w:val="21"/>
          <w:szCs w:val="20"/>
        </w:rPr>
        <w:t>Al</w:t>
      </w:r>
      <w:r w:rsidR="00662F7E">
        <w:rPr>
          <w:sz w:val="21"/>
          <w:szCs w:val="20"/>
          <w:vertAlign w:val="subscript"/>
        </w:rPr>
        <w:t>cfb</w:t>
      </w:r>
      <w:r>
        <w:rPr>
          <w:sz w:val="21"/>
          <w:szCs w:val="20"/>
        </w:rPr>
        <w:t>+Mn</w:t>
      </w:r>
      <w:r w:rsidR="00662F7E">
        <w:rPr>
          <w:sz w:val="21"/>
          <w:szCs w:val="20"/>
          <w:vertAlign w:val="subscript"/>
        </w:rPr>
        <w:t>cfb</w:t>
      </w:r>
      <w:r>
        <w:rPr>
          <w:sz w:val="21"/>
          <w:szCs w:val="20"/>
        </w:rPr>
        <w:t>+Fe</w:t>
      </w:r>
      <w:r w:rsidR="00662F7E">
        <w:rPr>
          <w:sz w:val="21"/>
          <w:szCs w:val="20"/>
          <w:vertAlign w:val="subscript"/>
        </w:rPr>
        <w:t>cfb</w:t>
      </w:r>
      <w:proofErr w:type="spellEnd"/>
      <w:r>
        <w:rPr>
          <w:sz w:val="21"/>
          <w:szCs w:val="20"/>
        </w:rPr>
        <w:t xml:space="preserve">)] </w:t>
      </w:r>
      <w:r>
        <w:rPr>
          <w:sz w:val="21"/>
          <w:szCs w:val="20"/>
        </w:rPr>
        <w:fldChar w:fldCharType="begin"/>
      </w:r>
      <w:r>
        <w:rPr>
          <w:sz w:val="21"/>
          <w:szCs w:val="20"/>
        </w:rPr>
        <w:instrText xml:space="preserve"> ADDIN ZOTERO_ITEM CSL_CITATION {"citationID":"jsplORYV","properties":{"formattedCitation":"(Bostr\\uc0\\u246{}m et al., 1969)","plainCitation":"(Boström et al., 1969)","noteIndex":0},"citationItems":[{"id":856,"uris":["http://zotero.org/users/local/01lnVYoF/items/LP5TRWWG"],"itemData":{"id":856,"type":"article-journal","container-title":"Journal of Geophysical Research","DOI":"10.1029/JB074i012p03261","ISSN":"01480227","issue":"12","journalAbbreviation":"J. Geophys. Res.","language":"en","page":"3261-3270","source":"DOI.org (Crossref)","title":"Aluminum-poor ferromanganoan sediments on active oceanic ridges","volume":"74","author":[{"family":"Boström","given":"Kurt"},{"family":"Peterson","given":"M. N. A."},{"family":"Joensuu","given":"Oiva"},{"family":"Fisher","given":"David E."}],"issued":{"date-parts":[["1969",6,15]]}}}],"schema":"https://github.com/citation-style-language/schema/raw/master/csl-citation.json"} </w:instrText>
      </w:r>
      <w:r>
        <w:rPr>
          <w:sz w:val="21"/>
          <w:szCs w:val="20"/>
        </w:rPr>
        <w:fldChar w:fldCharType="separate"/>
      </w:r>
      <w:r w:rsidRPr="00A73E2D">
        <w:rPr>
          <w:rFonts w:cs="Times New Roman"/>
          <w:sz w:val="21"/>
          <w:szCs w:val="24"/>
        </w:rPr>
        <w:t>(Boström et al., 1969)</w:t>
      </w:r>
      <w:r>
        <w:rPr>
          <w:sz w:val="21"/>
          <w:szCs w:val="20"/>
        </w:rPr>
        <w:fldChar w:fldCharType="end"/>
      </w:r>
      <w:r>
        <w:rPr>
          <w:sz w:val="21"/>
          <w:szCs w:val="20"/>
        </w:rPr>
        <w:t>.</w:t>
      </w:r>
      <w:r w:rsidRPr="00A73E2D">
        <w:rPr>
          <w:b/>
          <w:bCs/>
          <w:sz w:val="21"/>
          <w:szCs w:val="20"/>
        </w:rPr>
        <w:t xml:space="preserve"> </w:t>
      </w:r>
      <w:r>
        <w:rPr>
          <w:sz w:val="21"/>
          <w:szCs w:val="20"/>
        </w:rPr>
        <w:t xml:space="preserve">The index for detrital pelagic sediments is 66 </w:t>
      </w:r>
      <w:r>
        <w:rPr>
          <w:sz w:val="21"/>
          <w:szCs w:val="20"/>
        </w:rPr>
        <w:fldChar w:fldCharType="begin"/>
      </w:r>
      <w:r>
        <w:rPr>
          <w:sz w:val="21"/>
          <w:szCs w:val="20"/>
        </w:rPr>
        <w:instrText xml:space="preserve"> ADDIN ZOTERO_ITEM CSL_CITATION {"citationID":"haswKfWw","properties":{"formattedCitation":"(Kyte et al., 1993; Plank et al., 2007)","plainCitation":"(Kyte et al., 1993; Plank et al., 2007)","noteIndex":0},"citationItems":[{"id":944,"uris":["http://zotero.org/users/local/01lnVYoF/items/STUY72CP"],"itemData":{"id":944,"type":"article-journal","container-title":"Geochimica et Cosmochimica Acta","DOI":"10.1016/0016-7037(93)90109-A","ISSN":"00167037","issue":"8","journalAbbreviation":"Geochimica et Cosmochimica Acta","language":"en","page":"1719-1740","source":"DOI.org (Crossref)","title":"Cenozoic sedimentation history of the central North Pacific: Inferences from the elemental geochemistry of core LL44-GPC3","title-short":"Cenozoic sedimentation history of the central North Pacific","volume":"57","author":[{"family":"Kyte","given":"Frank T."},{"family":"Leinen","given":"Margaret"},{"family":"Ross Heath","given":"G."},{"family":"Zhou","given":"Lei"}],"issued":{"date-parts":[["1993",4]]}}},{"id":1034,"uris":["http://zotero.org/users/local/01lnVYoF/items/J9KLA6EU"],"itemData":{"id":1034,"type":"article-journal","container-title":"Geochemistry, Geophysics, Geosystems","DOI":"10.1029/2006GC001444","ISSN":"15252027","issue":"4","journalAbbreviation":"Geochem. Geophys. Geosyst.","language":"en","page":"n/a-n/a","source":"DOI.org (Crossref)","title":"Chemical composition of sediments subducting at the Izu-Bonin trench: CHEMICAL COMPOSITION OF SEDIMENTS","title-short":"Chemical composition of sediments subducting at the Izu-Bonin trench","volume":"8","author":[{"family":"Plank","given":"Terry"},{"family":"Kelley","given":"Katherine A."},{"family":"Murray","given":"Richard W."},{"family":"Stern","given":"Lacie Quintin"}],"issued":{"date-parts":[["2007",4]]}}}],"schema":"https://github.com/citation-style-language/schema/raw/master/csl-citation.json"} </w:instrText>
      </w:r>
      <w:r>
        <w:rPr>
          <w:sz w:val="21"/>
          <w:szCs w:val="20"/>
        </w:rPr>
        <w:fldChar w:fldCharType="separate"/>
      </w:r>
      <w:r w:rsidRPr="00A73E2D">
        <w:rPr>
          <w:rFonts w:cs="Times New Roman"/>
          <w:sz w:val="21"/>
        </w:rPr>
        <w:t>(Kyte et al., 1993; Plank et al., 2007)</w:t>
      </w:r>
      <w:r>
        <w:rPr>
          <w:sz w:val="21"/>
          <w:szCs w:val="20"/>
        </w:rPr>
        <w:fldChar w:fldCharType="end"/>
      </w:r>
      <w:r>
        <w:rPr>
          <w:sz w:val="21"/>
          <w:szCs w:val="20"/>
        </w:rPr>
        <w:t xml:space="preserve">. An index below 45 reflects fallout from a dispersed hydrothermal plume, having a high contribution of Fe-Mn oxides mixed with decreasing proportions of detrital material as distance from the source decreases </w:t>
      </w:r>
      <w:r>
        <w:rPr>
          <w:sz w:val="21"/>
          <w:szCs w:val="20"/>
        </w:rPr>
        <w:fldChar w:fldCharType="begin"/>
      </w:r>
      <w:r>
        <w:rPr>
          <w:sz w:val="21"/>
          <w:szCs w:val="20"/>
        </w:rPr>
        <w:instrText xml:space="preserve"> ADDIN ZOTERO_ITEM CSL_CITATION {"citationID":"V5jp8myu","properties":{"formattedCitation":"(V. Chavagnac et al., 2008; Dymond, 1981)","plainCitation":"(V. Chavagnac et al., 2008; Dymond, 1981)","dontUpdate":true,"noteIndex":0},"citationItems":[{"id":893,"uris":["http://zotero.org/users/local/01lnVYoF/items/5UDSPWBG"],"itemData":{"id":893,"type":"article-journal","container-title":"Journal of Geophysical Research","DOI":"10.1029/2007JB005333","ISSN":"0148-0227","issue":"B6","journalAbbreviation":"J. Geophys. Res.","language":"en","page":"B06201","source":"DOI.org (Crossref)","title":"Global environmental effects of large volcanic eruptions on ocean chemistry: Evidence from “hydrothermal” sediments (ODP Leg 185, Site 1149B)","title-short":"Global environmental effects of large volcanic eruptions on ocean chemistry","volume":"113","author":[{"family":"Chavagnac","given":"V."},{"family":"German","given":"C. R."},{"family":"Taylor","given":"R. N."}],"issued":{"date-parts":[["2008",6,3]]}}},{"id":1014,"uris":["http://zotero.org/users/local/01lnVYoF/items/JRDVIIJB"],"itemData":{"id":1014,"type":"chapter","container-title":"Geological Society of America Memoirs","ISBN":"978-0-8137-1154-6","language":"en","note":"DOI: 10.1130/MEM154-p133","page":"133-174","publisher":"Geological Society of America","source":"DOI.org (Crossref)","title":"Geochemistry of Nazca plate surface sediments: An evaluation of hydrothermal, biogenic, detrital, and hydrogenous sources","title-short":"Geochemistry of Nazca plate surface sediments","URL":"https://pubs.geoscienceworld.org/books/book/163/chapter/3791380/","volume":"154","author":[{"family":"Dymond","given":"Jack"}],"accessed":{"date-parts":[["2022",8,22]]},"issued":{"date-parts":[["1981"]]}}}],"schema":"https://github.com/citation-style-language/schema/raw/master/csl-citation.json"} </w:instrText>
      </w:r>
      <w:r>
        <w:rPr>
          <w:sz w:val="21"/>
          <w:szCs w:val="20"/>
        </w:rPr>
        <w:fldChar w:fldCharType="separate"/>
      </w:r>
      <w:r w:rsidRPr="00A73E2D">
        <w:rPr>
          <w:rFonts w:cs="Times New Roman"/>
          <w:sz w:val="21"/>
        </w:rPr>
        <w:t>(Chavagnac et al., 2008; Dymond, 1981)</w:t>
      </w:r>
      <w:r>
        <w:rPr>
          <w:sz w:val="21"/>
          <w:szCs w:val="20"/>
        </w:rPr>
        <w:fldChar w:fldCharType="end"/>
      </w:r>
      <w:r>
        <w:rPr>
          <w:sz w:val="21"/>
          <w:szCs w:val="20"/>
        </w:rPr>
        <w:t xml:space="preserve">. An index below 15 reflects near-vent sulfide debris </w:t>
      </w:r>
      <w:r>
        <w:rPr>
          <w:sz w:val="21"/>
          <w:szCs w:val="20"/>
        </w:rPr>
        <w:fldChar w:fldCharType="begin"/>
      </w:r>
      <w:r>
        <w:rPr>
          <w:sz w:val="21"/>
          <w:szCs w:val="20"/>
        </w:rPr>
        <w:instrText xml:space="preserve"> ADDIN ZOTERO_ITEM CSL_CITATION {"citationID":"jiSlQjtB","properties":{"formattedCitation":"(Mills et al., 1993)","plainCitation":"(Mills et al., 1993)","noteIndex":0},"citationItems":[{"id":1015,"uris":["http://zotero.org/users/local/01lnVYoF/items/SD36J328"],"itemData":{"id":1015,"type":"article-journal","container-title":"Journal of Geophysical Research","DOI":"10.1029/92JB01414","ISSN":"0148-0227","issue":"B6","journalAbbreviation":"J. Geophys. Res.","language":"en","page":"9671","source":"DOI.org (Crossref)","title":"A dual origin for the hydrothermal component in a metalliferous sediment core from the Mid-Atlantic Ridge","volume":"98","author":[{"family":"Mills","given":"Rachel"},{"family":"Elderfield","given":"Henry"},{"family":"Thomson","given":"John"}],"issued":{"date-parts":[["1993"]]}}}],"schema":"https://github.com/citation-style-language/schema/raw/master/csl-citation.json"} </w:instrText>
      </w:r>
      <w:r>
        <w:rPr>
          <w:sz w:val="21"/>
          <w:szCs w:val="20"/>
        </w:rPr>
        <w:fldChar w:fldCharType="separate"/>
      </w:r>
      <w:r w:rsidRPr="00A73E2D">
        <w:rPr>
          <w:rFonts w:cs="Times New Roman"/>
          <w:sz w:val="21"/>
        </w:rPr>
        <w:t>(Mills et al., 1993)</w:t>
      </w:r>
      <w:r>
        <w:rPr>
          <w:sz w:val="21"/>
          <w:szCs w:val="20"/>
        </w:rPr>
        <w:fldChar w:fldCharType="end"/>
      </w:r>
      <w:r>
        <w:rPr>
          <w:sz w:val="21"/>
          <w:szCs w:val="20"/>
        </w:rPr>
        <w:t>. The set of index values in each trap cup and sediment slice is available in the supplementary material (</w:t>
      </w:r>
      <w:r w:rsidRPr="00E807AD">
        <w:rPr>
          <w:i/>
          <w:iCs/>
          <w:sz w:val="21"/>
          <w:szCs w:val="20"/>
        </w:rPr>
        <w:t>Table S4</w:t>
      </w:r>
      <w:r>
        <w:rPr>
          <w:sz w:val="21"/>
          <w:szCs w:val="20"/>
        </w:rPr>
        <w:t>).</w:t>
      </w:r>
    </w:p>
    <w:p w14:paraId="074D1446" w14:textId="58E59DFE" w:rsidR="00133F31" w:rsidRDefault="00133F31" w:rsidP="00133F31">
      <w:pPr>
        <w:spacing w:line="480" w:lineRule="auto"/>
        <w:jc w:val="both"/>
        <w:rPr>
          <w:lang w:val="en-GB" w:eastAsia="en-GB"/>
        </w:rPr>
      </w:pPr>
      <w:bookmarkStart w:id="26" w:name="_Hlk125561785"/>
      <w:bookmarkEnd w:id="25"/>
      <w:r>
        <w:rPr>
          <w:lang w:val="en-GB" w:eastAsia="en-GB"/>
        </w:rPr>
        <w:lastRenderedPageBreak/>
        <w:t xml:space="preserve">As described in Section 3.2, the collected material </w:t>
      </w:r>
      <w:r w:rsidR="005742DE">
        <w:rPr>
          <w:lang w:val="en-GB" w:eastAsia="en-GB"/>
        </w:rPr>
        <w:t>wa</w:t>
      </w:r>
      <w:r>
        <w:rPr>
          <w:lang w:val="en-GB" w:eastAsia="en-GB"/>
        </w:rPr>
        <w:t>s highly enriched in several metals</w:t>
      </w:r>
      <w:r w:rsidR="00B75941">
        <w:rPr>
          <w:lang w:val="en-GB" w:eastAsia="en-GB"/>
        </w:rPr>
        <w:t xml:space="preserve"> compared to reference pelagic clays</w:t>
      </w:r>
      <w:r>
        <w:rPr>
          <w:lang w:val="en-GB" w:eastAsia="en-GB"/>
        </w:rPr>
        <w:t xml:space="preserve">, </w:t>
      </w:r>
      <w:r w:rsidR="00AA6183">
        <w:rPr>
          <w:lang w:val="en-GB" w:eastAsia="en-GB"/>
        </w:rPr>
        <w:t xml:space="preserve">most </w:t>
      </w:r>
      <w:r>
        <w:rPr>
          <w:lang w:val="en-GB" w:eastAsia="en-GB"/>
        </w:rPr>
        <w:t xml:space="preserve">likely originating from the Tonga Arc area (see Section 4.2). </w:t>
      </w:r>
      <w:r w:rsidR="00AA6183">
        <w:rPr>
          <w:color w:val="000000"/>
        </w:rPr>
        <w:t>Given the preponderance of shallow and deep hydrothermal sources in the Lau Basin on and between the Tonga Tofua Arc and the Lau and Tonga ridges</w:t>
      </w:r>
      <w:r>
        <w:rPr>
          <w:lang w:val="en-GB" w:eastAsia="en-GB"/>
        </w:rPr>
        <w:t xml:space="preserve"> (e.g., </w:t>
      </w:r>
      <w:r>
        <w:rPr>
          <w:lang w:val="en-GB" w:eastAsia="en-GB"/>
        </w:rPr>
        <w:fldChar w:fldCharType="begin"/>
      </w:r>
      <w:r w:rsidR="004429A8">
        <w:rPr>
          <w:lang w:val="en-GB" w:eastAsia="en-GB"/>
        </w:rPr>
        <w:instrText xml:space="preserve"> ADDIN ZOTERO_ITEM CSL_CITATION {"citationID":"XIMBp0cW","properties":{"formattedCitation":"(Anderson et al., 2021; Baker et al., 2019; Beaulieu and Szafra\\uc0\\u324{}ski, 2020; Lupton et al., 2004; Massoth et al., 2007; Tilliette et al., 2022)","plainCitation":"(Anderson et al., 2021; Baker et al., 2019; Beaulieu and Szafrański, 2020; Lupton et al., 2004; Massoth et al., 2007; Tilliette et al., 2022)","dontUpdate":true,"noteIndex":0},"citationItems":[{"id":1803,"uris":["http://zotero.org/users/local/01lnVYoF/items/DLKEHID4"],"itemData":{"id":1803,"type":"article-journal","abstract":"The transition from subduction to transform motion along horizontal terminations of trenches is associated with tearing of the subducting slab and strike-slip tectonics in the overriding plate. One prominent example is the northern Tonga subduction zone, where abundant strike-slip faulting in the NE Lau back-arc basin is associated with transform motion along the northern plate boundary and asymmetric slab rollback. Here, we address the fundamental question: how does this subduction-transform motion influence the structural and magmatic evolution of the back-arc region? To answer this, we undertake the first comprehensive study of the geology and geodynamics of this region through analyses of morphotectonics (remote-predictive geologic mapping) and fault kinematics interpreted from ship-based multibeam bathymetry and Centroid-Moment Tensor data. Our results highlight two notable features of the NE Lau Basin: 1) the occurrence of widely distributed off-axis volcanism, in contrast to typical ridge-centered back-arc volcanism, and 2) fault kinematics dominated by shallow-crustal strike slip-faulting (rather than normal faulting) extending over </w:instrText>
      </w:r>
      <w:r w:rsidR="004429A8">
        <w:rPr>
          <w:rFonts w:ascii="Cambria Math" w:hAnsi="Cambria Math" w:cs="Cambria Math"/>
          <w:lang w:val="en-GB" w:eastAsia="en-GB"/>
        </w:rPr>
        <w:instrText>∼</w:instrText>
      </w:r>
      <w:r w:rsidR="004429A8">
        <w:rPr>
          <w:lang w:val="en-GB" w:eastAsia="en-GB"/>
        </w:rPr>
        <w:instrText>120</w:instrText>
      </w:r>
      <w:r w:rsidR="004429A8">
        <w:rPr>
          <w:rFonts w:cs="Times New Roman"/>
          <w:lang w:val="en-GB" w:eastAsia="en-GB"/>
        </w:rPr>
        <w:instrText> </w:instrText>
      </w:r>
      <w:r w:rsidR="004429A8">
        <w:rPr>
          <w:lang w:val="en-GB" w:eastAsia="en-GB"/>
        </w:rPr>
        <w:instrText xml:space="preserve">km from the transform boundary. The orientations of these strike-slip faults are consistent with reactivation of earlier-formed normal faults in a sinistral megashear zone. Notably, two distinct sets of Riedel megashears are identified, indicating a recent counter-clockwise rotation of part of the stress field in the back-arc region closest to the arc. Importantly, the Riedel structures identified in this study directly control the development of complex volcanic-compositional provinces, which are characterized by variably-oriented spreading centers, off-axis volcanic ridges, extensive lava flows, and point-source rear-arc volcanoes. This study adds to our understanding of the geologic and structural evolution of modern backarc systems, including the association between subduction-transform motions and the siting and style of seafloor volcanism.","container-title":"Frontiers in Earth Science","DOI":"10.3389/feart.2021.665185","ISSN":"2296-6463","journalAbbreviation":"Front. Earth Sci.","page":"665185","source":"DOI.org (Crossref)","title":"Geologic and Structural Evolution of the NE Lau Basin, Tonga: Morphotectonic Analysis and Classification of Structures Using Shallow Seismicity","title-short":"Geologic and Structural Evolution of the NE Lau Basin, Tonga","volume":"9","author":[{"family":"Anderson","given":"Melissa O."},{"family":"Norris-Julseth","given":"Chantal"},{"family":"Rubin","given":"Kenneth H."},{"family":"Haase","given":"Karsten"},{"family":"Hannington","given":"Mark D."},{"family":"Baxter","given":"Alan T."},{"family":"Stewart","given":"Margaret S."}],"issued":{"date-parts":[["2021",6,11]]}}},{"id":648,"uris":["http://zotero.org/users/local/01lnVYoF/items/6HVLGIRP"],"itemData":{"id":648,"type":"article-journal","container-title":"Frontiers in Marine Science","DOI":"10.3389/fmars.2019.00382","ISSN":"2296-7745","journalAbbreviation":"Front. Mar. Sci.","page":"382","source":"DOI.org (Crossref)","title":"The NE Lau Basin: Widespread and Abundant Hydrothermal Venting in the Back-Arc Region Behind a Superfast Subduction Zone","title-short":"The NE Lau Basin","volume":"6","author":[{"family":"Baker","given":"Edward T."},{"family":"Walker","given":"Sharon L."},{"family":"Massoth","given":"Gary J."},{"family":"Resing","given":"Joseph A."}],"issued":{"date-parts":[["2019",7,9]]}}},{"id":1542,"uris":["http://zotero.org/users/local/01lnVYoF/items/EB8ZBT98"],"itemData":{"id":1542,"type":"document","abstract":"The purpose of the InterRidge Global Database of Active Submarine Hydrothermal Vent Fields, hereafter referred to as the \"InterRidge Vents Database,\" is to provide a comprehensive list of active submarine hydrothermal vent fields for use in academic research, education, and marine policy. This dataset includes a data table (flat file) and a map representing the InterRidge Vents Database Version 3.4. Version 3.4 was completed on 25 March 2020 with a total of 721 vent fields, with 666 confirmed or inferred active and 55 inactive (please note: the database is not comprehensive for inactive vent fields). The number of known active vent fields increased by 134 in the past decade since the publication of InterRidge Vents Database Version 2.1 (Beaulieu et al., 2013, doi:10.1002/2013GC004998).The contents of the InterRidge Vents Database were derived principally from the open literature. The database includes a vocabulary of vent field names and information that may be useful in mapping, including position (latitude, longitude), depth, region, tectonic setting, national jurisdiction, and ocean. Additional information includes names of individual vent sites within vent fields, spreading rate for those vent fields at spreading centers, maximum temperature or temperature category (high or low) for confirmed active vent fields, notes on site description and biology for some of the vent fields, year discovered, and references.The data table was exported from the online database at https://vents-data.interridge.org/ on 2020-03-25; several columns were removed with script available at https://github.com/sbeaulieu/vents-Drupal. We also provide a text file with definitions for the column headers in the data table.The map is provided in several formats and shows locations of all vent fields in Version 3.4 (downloaded from the online database on 2019-12-24) with bathymetry from NOAA ETOPO1. The map was created by Jyun-Nai Wu (University of California San Diego).The InterRidge Vents Database is supported by the InterRidge program for international cooperation in ocean floor studies. For Version 3.4, S. Beaulieu was supported by U.S. National Science Foundation awards #1558904 and #1829773.","language":"en","license":"Creative Commons Attribution Non Commercial Share Alike 4.0 International","note":"dimensions: 20 data points\nmedium: text/tab-separated-values\npage: 20 data points\ntype: dataset\nDOI: 10.1594/PANGAEA.917894","publisher":"PANGAEA - Data Publisher for Earth &amp; Environmental Science","source":"DOI.org (Datacite)","title":"InterRidge Global Database of Active Submarine Hydrothermal Vent Fields Version 3.4","URL":"https://doi.pangaea.de/10.1594/PANGAEA.917894","author":[{"family":"Beaulieu","given":"Stace E."},{"family":"Szafrański","given":"Kamil M."}],"accessed":{"date-parts":[["2022",12,5]]},"issued":{"date-parts":[["2020"]]}}},{"id":400,"uris":["http://zotero.org/users/local/01lnVYoF/items/6G9TAFE7"],"itemData":{"id":400,"type":"article-journal","container-title":"Geochemistry, Geophysics, Geosystems","DOI":"10.1029/2003GC000607","ISSN":"15252027","issue":"1","journalAbbreviation":"Geochem. Geophys. Geosyst.","language":"en","source":"DOI.org (Crossref)","title":"Evidence for an extensive hydrothermal plume in the Tonga-Fiji region of the South Pacific","title-short":"Evidence for an extensive hydrothermal plume in the Tonga-Fiji region of the South Pacific","URL":"http://doi.wiley.com/10.1029/2003GC000607","volume":"5","author":[{"family":"Lupton","given":"John E."},{"family":"Pyle","given":"Douglas G."},{"family":"Jenkins","given":"William J."},{"family":"Greene","given":"Ronald"},{"family":"Evans","given":"Leigh"}],"accessed":{"date-parts":[["2021",11,29]]},"issued":{"date-parts":[["2004",1]]}}},{"id":63,"uris":["http://zotero.org/users/local/01lnVYoF/items/PUBS77XS"],"itemData":{"id":63,"type":"article-journal","container-title":"Geochemistry, Geophysics, Geosystems","DOI":"10.1029/2007GC001675","ISSN":"15252027","issue":"11","journalAbbreviation":"Geochem. Geophys. Geosyst.","language":"en","source":"DOI.org (Crossref)","title":"Multiple hydrothermal sources along the south Tonga arc and Valu Fa Ridge","title-short":"Multiple hydrothermal sources along the south Tonga arc and Valu Fa Ridge","URL":"http://doi.wiley.com/10.1029/2007GC001675","volume":"8","author":[{"family":"Massoth","given":"Gary"},{"family":"Baker","given":"Edward"},{"family":"Worthington","given":"Tim"},{"family":"Lupton","given":"John"},{"family":"Ronde","given":"Cornel","non-dropping-particle":"de"},{"family":"Arculus","given":"Richard"},{"family":"Walker","given":"Sharon"},{"family":"Nakamura","given":"Ko-ichi"},{"family":"Ishibashi","given":"Jun-ichiro"},{"family":"Stoffers","given":"Peter"},{"family":"Resing","given":"Joseph"},{"family":"Greene","given":"Ronald"},{"family":"Lebon","given":"Geoffrey"}],"accessed":{"date-parts":[["2020",4,28]]},"issued":{"date-parts":[["2007",11]]}}},{"id":819,"uris":["http://zotero.org/users/local/01lnVYoF/items/YIPANZYN"],"itemData":{"id":819,"type":"article-journal","container-title":"Global Biogeochemical Cycles","DOI":"10.1029/2022GB007363","ISSN":"0886-6236, 1944-9224","journalAbbreviation":"Global Biogeochemical Cycles","language":"en","source":"DOI.org (Crossref)","title":"Dissolved iron patterns impacted by shallow hydrothermal sources along a transect through the Tonga‐Kermadec arc","URL":"https://onlinelibrary.wiley.com/doi/10.1029/2022GB007363","author":[{"family":"Tilliette","given":"Chloé"},{"family":"Taillandier","given":"Vincent"},{"family":"Bouruet‐Aubertot","given":"Pascale"},{"family":"Grima","given":"Nicolas"},{"family":"Maes","given":"Christophe"},{"family":"Montanes","given":"Maryline"},{"family":"Sarthou","given":"Géraldine"},{"family":"Vorrath","given":"Maria-Elena"},{"family":"Arnone","given":"Veronica"},{"family":"Bressac","given":"Matthieu"},{"family":"González‐Santana","given":"David"},{"family":"Gazeau","given":"Frédéric"},{"family":"Guieu","given":"Cécile"}],"accessed":{"date-parts":[["2022",7,4]]},"issued":{"date-parts":[["2022",7,4]]}}}],"schema":"https://github.com/citation-style-language/schema/raw/master/csl-citation.json"} </w:instrText>
      </w:r>
      <w:r>
        <w:rPr>
          <w:lang w:val="en-GB" w:eastAsia="en-GB"/>
        </w:rPr>
        <w:fldChar w:fldCharType="separate"/>
      </w:r>
      <w:r w:rsidR="00AA6183" w:rsidRPr="00AA6183">
        <w:rPr>
          <w:rFonts w:cs="Times New Roman"/>
          <w:szCs w:val="24"/>
        </w:rPr>
        <w:t>Anderson et al., 2021; Baker et al., 2019; Beaulieu and Szafrański, 2020; Lupton et al., 2004; Massoth et al., 2007; Tilliette et al., 2022)</w:t>
      </w:r>
      <w:r>
        <w:rPr>
          <w:lang w:val="en-GB" w:eastAsia="en-GB"/>
        </w:rPr>
        <w:fldChar w:fldCharType="end"/>
      </w:r>
      <w:r>
        <w:rPr>
          <w:lang w:val="en-GB" w:eastAsia="en-GB"/>
        </w:rPr>
        <w:t xml:space="preserve">, the question of the origin of </w:t>
      </w:r>
      <w:r w:rsidR="006B5B0A">
        <w:rPr>
          <w:lang w:val="en-GB" w:eastAsia="en-GB"/>
        </w:rPr>
        <w:t xml:space="preserve">this metal excess </w:t>
      </w:r>
      <w:r>
        <w:rPr>
          <w:lang w:val="en-GB" w:eastAsia="en-GB"/>
        </w:rPr>
        <w:t>is of</w:t>
      </w:r>
      <w:r w:rsidR="00AA6183">
        <w:rPr>
          <w:lang w:val="en-GB" w:eastAsia="en-GB"/>
        </w:rPr>
        <w:t xml:space="preserve"> upmost</w:t>
      </w:r>
      <w:r>
        <w:rPr>
          <w:lang w:val="en-GB" w:eastAsia="en-GB"/>
        </w:rPr>
        <w:t xml:space="preserve"> interest. Hydrothermal material has a particular signature characterized by low Al content but rich in Fe and Mn, as well as many other metals such as Cu, Zn, Ni and Pb </w:t>
      </w:r>
      <w:r>
        <w:rPr>
          <w:lang w:val="en-GB" w:eastAsia="en-GB"/>
        </w:rPr>
        <w:fldChar w:fldCharType="begin"/>
      </w:r>
      <w:r>
        <w:rPr>
          <w:lang w:val="en-GB" w:eastAsia="en-GB"/>
        </w:rPr>
        <w:instrText xml:space="preserve"> ADDIN ZOTERO_ITEM CSL_CITATION {"citationID":"HyVaGvnb","properties":{"formattedCitation":"(Bostr\\uc0\\u246{}m et al., 1969; Bostr\\uc0\\u246{}m and Peterson, 1969; Cronan, 1972)","plainCitation":"(Boström et al., 1969; Boström and Peterson, 1969; Cronan, 1972)","noteIndex":0},"citationItems":[{"id":856,"uris":["http://zotero.org/users/local/01lnVYoF/items/LP5TRWWG"],"itemData":{"id":856,"type":"article-journal","container-title":"Journal of Geophysical Research","DOI":"10.1029/JB074i012p03261","ISSN":"01480227","issue":"12","journalAbbreviation":"J. Geophys. Res.","language":"en","page":"3261-3270","source":"DOI.org (Crossref)","title":"Aluminum-poor ferromanganoan sediments on active oceanic ridges","volume":"74","author":[{"family":"Boström","given":"Kurt"},{"family":"Peterson","given":"M. N. A."},{"family":"Joensuu","given":"Oiva"},{"family":"Fisher","given":"David E."}],"issued":{"date-parts":[["1969",6,15]]}}},{"id":949,"uris":["http://zotero.org/users/local/01lnVYoF/items/HWM3HIJN"],"itemData":{"id":949,"type":"article-journal","container-title":"Marine Geology","DOI":"10.1016/0025-3227(69)90016-4","ISSN":"00253227","issue":"5","journalAbbreviation":"Marine Geology","language":"en","page":"427-447","source":"DOI.org (Crossref)","title":"The origin of aluminum-poor ferromanganoan sediments in areas of high heat flow on the East Pacific Rise","volume":"7","author":[{"family":"Boström","given":"K."},{"family":"Peterson","given":"M.N.A."}],"issued":{"date-parts":[["1969",10]]}}},{"id":958,"uris":["http://zotero.org/users/local/01lnVYoF/items/FMDV5HXZ"],"itemData":{"id":958,"type":"article-journal","abstract":"Iron-rich sediments similar to those forming on other active mid-oceanic ridges have been found in the Median Valley of the Mid-Atlantic Ridge near 45 °N. The sediments are enriched in arsenic and mercury, and are thought to have formed largely as a result of submarine hydrothermal activity associated with the generation of new ocean floor at the ridge crest.","container-title":"Canadian Journal of Earth Sciences","DOI":"10.1139/e72-025","ISSN":"0008-4077, 1480-3313","issue":"3","journalAbbreviation":"Can. J. Earth Sci.","language":"en","page":"319-323","source":"DOI.org (Crossref)","title":"The Mid-Atlantic Ridge near 45 °N, XVII: Al, As, Hg, and Mn in Ferruginous Sediments from the Median Valley","title-short":"The Mid-Atlantic Ridge near 45 °N, XVII","volume":"9","author":[{"family":"Cronan","given":"D. S."}],"issued":{"date-parts":[["1972",3,1]]}}}],"schema":"https://github.com/citation-style-language/schema/raw/master/csl-citation.json"} </w:instrText>
      </w:r>
      <w:r>
        <w:rPr>
          <w:lang w:val="en-GB" w:eastAsia="en-GB"/>
        </w:rPr>
        <w:fldChar w:fldCharType="separate"/>
      </w:r>
      <w:r w:rsidRPr="008556C5">
        <w:rPr>
          <w:rFonts w:cs="Times New Roman"/>
          <w:szCs w:val="24"/>
        </w:rPr>
        <w:t>(Boström et al., 1969; Boström and Peterson, 1969; Cronan, 1972)</w:t>
      </w:r>
      <w:r>
        <w:rPr>
          <w:lang w:val="en-GB" w:eastAsia="en-GB"/>
        </w:rPr>
        <w:fldChar w:fldCharType="end"/>
      </w:r>
      <w:r>
        <w:rPr>
          <w:lang w:val="en-GB" w:eastAsia="en-GB"/>
        </w:rPr>
        <w:t xml:space="preserve">. </w:t>
      </w:r>
      <w:r>
        <w:t xml:space="preserve">However, particularities exist for these elements, as some of them, such as Cu and especially Ni and Zn, decrease dramatically with distance from the source relative to Fe, due to their rapid removal by sulfide-bearing phases </w:t>
      </w:r>
      <w:r>
        <w:fldChar w:fldCharType="begin"/>
      </w:r>
      <w:r>
        <w:instrText xml:space="preserve"> ADDIN ZOTERO_ITEM CSL_CITATION {"citationID":"Hu8rYM9s","properties":{"formattedCitation":"(Trocine and Trefry, 1988)","plainCitation":"(Trocine and Trefry, 1988)","noteIndex":0},"citationItems":[{"id":1025,"uris":["http://zotero.org/users/local/01lnVYoF/items/NND8K66X"],"itemData":{"id":1025,"type":"article-journal","container-title":"Earth and Planetary Science Letters","DOI":"10.1016/0012-821X(88)90041-6","ISSN":"0012821X","issue":"1-2","journalAbbreviation":"Earth and Planetary Science Letters","language":"en","page":"1-15","source":"DOI.org (Crossref)","title":"Distribution and chemistry of suspended particles from an active hydrothermal vent site on the Mid-Atlantic Ridge at 26°N","volume":"88","author":[{"family":"Trocine","given":"Robert P."},{"family":"Trefry","given":"John H."}],"issued":{"date-parts":[["1988",4]]}}}],"schema":"https://github.com/citation-style-language/schema/raw/master/csl-citation.json"} </w:instrText>
      </w:r>
      <w:r>
        <w:fldChar w:fldCharType="separate"/>
      </w:r>
      <w:r w:rsidRPr="00256442">
        <w:rPr>
          <w:rFonts w:cs="Times New Roman"/>
        </w:rPr>
        <w:t>(Trocine and Trefry, 1988)</w:t>
      </w:r>
      <w:r>
        <w:fldChar w:fldCharType="end"/>
      </w:r>
      <w:r>
        <w:t xml:space="preserve">. </w:t>
      </w:r>
      <w:r w:rsidR="00AA6183">
        <w:rPr>
          <w:color w:val="000000"/>
        </w:rPr>
        <w:t>A convenient way to discriminate material of hydrothermal origin is based on the Boström index using</w:t>
      </w:r>
      <w:r>
        <w:rPr>
          <w:color w:val="000000"/>
        </w:rPr>
        <w:t xml:space="preserve"> </w:t>
      </w:r>
      <w:proofErr w:type="spellStart"/>
      <w:r>
        <w:rPr>
          <w:color w:val="000000"/>
        </w:rPr>
        <w:t>Al</w:t>
      </w:r>
      <w:r w:rsidR="005E4190">
        <w:rPr>
          <w:color w:val="000000"/>
          <w:vertAlign w:val="subscript"/>
        </w:rPr>
        <w:t>cfb</w:t>
      </w:r>
      <w:proofErr w:type="spellEnd"/>
      <w:r>
        <w:rPr>
          <w:color w:val="000000"/>
        </w:rPr>
        <w:t xml:space="preserve">, </w:t>
      </w:r>
      <w:proofErr w:type="spellStart"/>
      <w:r>
        <w:rPr>
          <w:color w:val="000000"/>
        </w:rPr>
        <w:t>Fe</w:t>
      </w:r>
      <w:r w:rsidR="005E4190">
        <w:rPr>
          <w:color w:val="000000"/>
          <w:vertAlign w:val="subscript"/>
        </w:rPr>
        <w:t>cfb</w:t>
      </w:r>
      <w:proofErr w:type="spellEnd"/>
      <w:r>
        <w:rPr>
          <w:color w:val="000000"/>
        </w:rPr>
        <w:t xml:space="preserve"> and </w:t>
      </w:r>
      <w:proofErr w:type="spellStart"/>
      <w:r>
        <w:rPr>
          <w:color w:val="000000"/>
        </w:rPr>
        <w:t>Mn</w:t>
      </w:r>
      <w:r w:rsidR="005E4190">
        <w:rPr>
          <w:color w:val="000000"/>
          <w:vertAlign w:val="subscript"/>
        </w:rPr>
        <w:t>cfb</w:t>
      </w:r>
      <w:proofErr w:type="spellEnd"/>
      <w:r>
        <w:rPr>
          <w:color w:val="000000"/>
        </w:rPr>
        <w:t xml:space="preserve"> concentrations </w:t>
      </w:r>
      <w:r>
        <w:rPr>
          <w:lang w:val="en-GB" w:eastAsia="en-GB"/>
        </w:rPr>
        <w:fldChar w:fldCharType="begin"/>
      </w:r>
      <w:r>
        <w:rPr>
          <w:lang w:val="en-GB" w:eastAsia="en-GB"/>
        </w:rPr>
        <w:instrText xml:space="preserve"> ADDIN ZOTERO_ITEM CSL_CITATION {"citationID":"YJ9Z8viS","properties":{"formattedCitation":"(Bostr\\uc0\\u246{}m et al., 1969)","plainCitation":"(Boström et al., 1969)","dontUpdate":true,"noteIndex":0},"citationItems":[{"id":856,"uris":["http://zotero.org/users/local/01lnVYoF/items/LP5TRWWG"],"itemData":{"id":856,"type":"article-journal","container-title":"Journal of Geophysical Research","DOI":"10.1029/JB074i012p03261","ISSN":"01480227","issue":"12","journalAbbreviation":"J. Geophys. Res.","language":"en","page":"3261-3270","source":"DOI.org (Crossref)","title":"Aluminum-poor ferromanganoan sediments on active oceanic ridges","volume":"74","author":[{"family":"Boström","given":"Kurt"},{"family":"Peterson","given":"M. N. A."},{"family":"Joensuu","given":"Oiva"},{"family":"Fisher","given":"David E."}],"issued":{"date-parts":[["1969",6,15]]}}}],"schema":"https://github.com/citation-style-language/schema/raw/master/csl-citation.json"} </w:instrText>
      </w:r>
      <w:r>
        <w:rPr>
          <w:lang w:val="en-GB" w:eastAsia="en-GB"/>
        </w:rPr>
        <w:fldChar w:fldCharType="separate"/>
      </w:r>
      <w:r w:rsidRPr="00826087">
        <w:rPr>
          <w:rFonts w:cs="Times New Roman"/>
          <w:szCs w:val="24"/>
        </w:rPr>
        <w:t>(Boström et al., 1969)</w:t>
      </w:r>
      <w:r>
        <w:rPr>
          <w:lang w:val="en-GB" w:eastAsia="en-GB"/>
        </w:rPr>
        <w:fldChar w:fldCharType="end"/>
      </w:r>
      <w:r>
        <w:rPr>
          <w:lang w:val="en-GB" w:eastAsia="en-GB"/>
        </w:rPr>
        <w:t>. Its value provides a clear indication of the material provenance: a value close to 66 would indicate a clas</w:t>
      </w:r>
      <w:r w:rsidR="00C6031D">
        <w:rPr>
          <w:lang w:val="en-GB" w:eastAsia="en-GB"/>
        </w:rPr>
        <w:t>t</w:t>
      </w:r>
      <w:r>
        <w:rPr>
          <w:lang w:val="en-GB" w:eastAsia="en-GB"/>
        </w:rPr>
        <w:t xml:space="preserve">ic detrital sediment </w:t>
      </w:r>
      <w:r>
        <w:rPr>
          <w:lang w:val="en-GB" w:eastAsia="en-GB"/>
        </w:rPr>
        <w:fldChar w:fldCharType="begin"/>
      </w:r>
      <w:r>
        <w:rPr>
          <w:lang w:val="en-GB" w:eastAsia="en-GB"/>
        </w:rPr>
        <w:instrText xml:space="preserve"> ADDIN ZOTERO_ITEM CSL_CITATION {"citationID":"JKmr098Y","properties":{"formattedCitation":"(Kyte et al., 1993; Plank et al., 2007)","plainCitation":"(Kyte et al., 1993; Plank et al., 2007)","noteIndex":0},"citationItems":[{"id":944,"uris":["http://zotero.org/users/local/01lnVYoF/items/STUY72CP"],"itemData":{"id":944,"type":"article-journal","container-title":"Geochimica et Cosmochimica Acta","DOI":"10.1016/0016-7037(93)90109-A","ISSN":"00167037","issue":"8","journalAbbreviation":"Geochimica et Cosmochimica Acta","language":"en","page":"1719-1740","source":"DOI.org (Crossref)","title":"Cenozoic sedimentation history of the central North Pacific: Inferences from the elemental geochemistry of core LL44-GPC3","title-short":"Cenozoic sedimentation history of the central North Pacific","volume":"57","author":[{"family":"Kyte","given":"Frank T."},{"family":"Leinen","given":"Margaret"},{"family":"Ross Heath","given":"G."},{"family":"Zhou","given":"Lei"}],"issued":{"date-parts":[["1993",4]]}}},{"id":1034,"uris":["http://zotero.org/users/local/01lnVYoF/items/J9KLA6EU"],"itemData":{"id":1034,"type":"article-journal","container-title":"Geochemistry, Geophysics, Geosystems","DOI":"10.1029/2006GC001444","ISSN":"15252027","issue":"4","journalAbbreviation":"Geochem. Geophys. Geosyst.","language":"en","page":"n/a-n/a","source":"DOI.org (Crossref)","title":"Chemical composition of sediments subducting at the Izu-Bonin trench: CHEMICAL COMPOSITION OF SEDIMENTS","title-short":"Chemical composition of sediments subducting at the Izu-Bonin trench","volume":"8","author":[{"family":"Plank","given":"Terry"},{"family":"Kelley","given":"Katherine A."},{"family":"Murray","given":"Richard W."},{"family":"Stern","given":"Lacie Quintin"}],"issued":{"date-parts":[["2007",4]]}}}],"schema":"https://github.com/citation-style-language/schema/raw/master/csl-citation.json"} </w:instrText>
      </w:r>
      <w:r>
        <w:rPr>
          <w:lang w:val="en-GB" w:eastAsia="en-GB"/>
        </w:rPr>
        <w:fldChar w:fldCharType="separate"/>
      </w:r>
      <w:r w:rsidRPr="00826087">
        <w:rPr>
          <w:rFonts w:cs="Times New Roman"/>
        </w:rPr>
        <w:t>(Kyte et al., 1993; Plank et al., 2007)</w:t>
      </w:r>
      <w:r>
        <w:rPr>
          <w:lang w:val="en-GB" w:eastAsia="en-GB"/>
        </w:rPr>
        <w:fldChar w:fldCharType="end"/>
      </w:r>
      <w:r>
        <w:rPr>
          <w:lang w:val="en-GB" w:eastAsia="en-GB"/>
        </w:rPr>
        <w:t xml:space="preserve"> while values &lt; 45 would indicate a significant hydrothermal component </w:t>
      </w:r>
      <w:r>
        <w:rPr>
          <w:lang w:val="en-GB" w:eastAsia="en-GB"/>
        </w:rPr>
        <w:fldChar w:fldCharType="begin"/>
      </w:r>
      <w:r>
        <w:rPr>
          <w:lang w:val="en-GB" w:eastAsia="en-GB"/>
        </w:rPr>
        <w:instrText xml:space="preserve"> ADDIN ZOTERO_ITEM CSL_CITATION {"citationID":"i7UQIVcm","properties":{"formattedCitation":"(Chavagnac et al., 2005; Humphris et al., 1995; Mills and Elderfield, 1995)","plainCitation":"(Chavagnac et al., 2005; Humphris et al., 1995; Mills and Elderfield, 1995)","noteIndex":0},"citationItems":[{"id":900,"uris":["http://zotero.org/users/local/01lnVYoF/items/Q342PABK"],"itemData":{"id":900,"type":"article-journal","container-title":"Chemical Geology","DOI":"10.1016/j.chemgeo.2004.11.015","ISSN":"00092541","issue":"3-4","journalAbbreviation":"Chemical Geology","language":"en","page":"329-352","source":"DOI.org (Crossref)","title":"Sources of REE in sediment cores from the Rainbow vent site (36°14′N, MAR)","volume":"216","author":[{"family":"Chavagnac","given":"Valérie"},{"family":"German","given":"Christopher R."},{"family":"Milton","given":"J. Andrew"},{"family":"Palmer","given":"Martin R."}],"issued":{"date-parts":[["2005",3]]}}},{"id":1036,"uris":["http://zotero.org/users/local/01lnVYoF/items/H7UGGLKM"],"itemData":{"id":1036,"type":"article-journal","container-title":"Nature","DOI":"10.1038/377713a0","ISSN":"0028-0836, 1476-4687","issue":"6551","journalAbbreviation":"Nature","language":"en","page":"713-716","source":"DOI.org (Crossref)","title":"The internal structure of an active sea-floor massive sulphide deposit","volume":"377","author":[{"family":"Humphris","given":"Susan E."},{"family":"Herzig","given":"P. M."},{"family":"Miller","given":"D. J."},{"family":"Alt","given":"J. C."},{"family":"Becker","given":"K."},{"family":"Brown","given":"D."},{"family":"Brügmann","given":"G."},{"family":"Chiba","given":"H."},{"family":"Fouquet","given":"Y."},{"family":"Gemmell","given":"J.B."},{"family":"Guerin","given":"G."},{"family":"Hannington","given":"M.D."},{"family":"Holm","given":"N. G."},{"family":"Honnorez","given":"J.J."},{"family":"Iturrino","given":"G.J."},{"family":"Knott","given":"R."},{"family":"Ludwig","given":"R."},{"family":"Nakamura","given":"K."},{"family":"Petersen","given":"S."},{"family":"Reysenbach","given":"A-L."},{"family":"Rona","given":"P. A."},{"family":"Smith","given":"S."},{"family":"Sturz","given":"A.A","suffix":""},{"family":"Tivey","given":"M.K."},{"family":"Zhao","given":"X."}],"issued":{"date-parts":[["1995",10]]}}},{"id":1010,"uris":["http://zotero.org/users/local/01lnVYoF/items/KBBJMRCG"],"itemData":{"id":1010,"type":"chapter","container-title":"Geophysical Monograph Series","event-place":"Washington, D. C.","ISBN":"978-1-118-66399-8","note":"DOI: 10.1029/GM091p0392","page":"392-407","publisher":"American Geophysical Union","publisher-place":"Washington, D. C.","source":"DOI.org (Crossref)","title":"Hydrothermal Activity and the Geochemistry of Metalliferous Sediment","URL":"http://doi.wiley.com/10.1029/GM091p0392","editor":[{"family":"Humphris","given":"Susan E."},{"family":"Zierenberg","given":"Robert A."},{"family":"Mullineaux","given":"Lauren S."},{"family":"Thomson","given":"Richard E."}],"author":[{"family":"Mills","given":"Rachel A."},{"family":"Elderfield","given":"Harry"}],"accessed":{"date-parts":[["2022",8,22]]},"issued":{"date-parts":[["1995"]]}}}],"schema":"https://github.com/citation-style-language/schema/raw/master/csl-citation.json"} </w:instrText>
      </w:r>
      <w:r>
        <w:rPr>
          <w:lang w:val="en-GB" w:eastAsia="en-GB"/>
        </w:rPr>
        <w:fldChar w:fldCharType="separate"/>
      </w:r>
      <w:r w:rsidRPr="00826087">
        <w:rPr>
          <w:rFonts w:cs="Times New Roman"/>
        </w:rPr>
        <w:t>(Chavagnac et al., 2005; Humphris et al., 1995; Mills and Elderfield, 1995)</w:t>
      </w:r>
      <w:r>
        <w:rPr>
          <w:lang w:val="en-GB" w:eastAsia="en-GB"/>
        </w:rPr>
        <w:fldChar w:fldCharType="end"/>
      </w:r>
      <w:r>
        <w:rPr>
          <w:lang w:val="en-GB" w:eastAsia="en-GB"/>
        </w:rPr>
        <w:t xml:space="preserve">. The closer the value is to 0, the more hydrothermal the material is and thus </w:t>
      </w:r>
      <w:r w:rsidR="00C6031D">
        <w:rPr>
          <w:lang w:val="en-GB" w:eastAsia="en-GB"/>
        </w:rPr>
        <w:t xml:space="preserve">a much </w:t>
      </w:r>
      <w:r>
        <w:rPr>
          <w:lang w:val="en-GB" w:eastAsia="en-GB"/>
        </w:rPr>
        <w:t>closer</w:t>
      </w:r>
      <w:r w:rsidR="00C6031D">
        <w:rPr>
          <w:lang w:val="en-GB" w:eastAsia="en-GB"/>
        </w:rPr>
        <w:t xml:space="preserve"> location</w:t>
      </w:r>
      <w:r>
        <w:rPr>
          <w:lang w:val="en-GB" w:eastAsia="en-GB"/>
        </w:rPr>
        <w:t xml:space="preserve"> to the</w:t>
      </w:r>
      <w:r w:rsidR="00C6031D">
        <w:rPr>
          <w:lang w:val="en-GB" w:eastAsia="en-GB"/>
        </w:rPr>
        <w:t xml:space="preserve"> hydrothermal</w:t>
      </w:r>
      <w:r>
        <w:rPr>
          <w:lang w:val="en-GB" w:eastAsia="en-GB"/>
        </w:rPr>
        <w:t xml:space="preserve"> source </w:t>
      </w:r>
      <w:r>
        <w:rPr>
          <w:lang w:val="en-GB" w:eastAsia="en-GB"/>
        </w:rPr>
        <w:fldChar w:fldCharType="begin"/>
      </w:r>
      <w:r>
        <w:rPr>
          <w:lang w:val="en-GB" w:eastAsia="en-GB"/>
        </w:rPr>
        <w:instrText xml:space="preserve"> ADDIN ZOTERO_ITEM CSL_CITATION {"citationID":"JvvlDVWM","properties":{"formattedCitation":"(Dymond, 1981; Mills et al., 1993)","plainCitation":"(Dymond, 1981; Mills et al., 1993)","noteIndex":0},"citationItems":[{"id":1014,"uris":["http://zotero.org/users/local/01lnVYoF/items/JRDVIIJB"],"itemData":{"id":1014,"type":"chapter","container-title":"Geological Society of America Memoirs","ISBN":"978-0-8137-1154-6","language":"en","note":"DOI: 10.1130/MEM154-p133","page":"133-174","publisher":"Geological Society of America","source":"DOI.org (Crossref)","title":"Geochemistry of Nazca plate surface sediments: An evaluation of hydrothermal, biogenic, detrital, and hydrogenous sources","title-short":"Geochemistry of Nazca plate surface sediments","URL":"https://pubs.geoscienceworld.org/books/book/163/chapter/3791380/","volume":"154","author":[{"family":"Dymond","given":"Jack"}],"accessed":{"date-parts":[["2022",8,22]]},"issued":{"date-parts":[["1981"]]}}},{"id":1015,"uris":["http://zotero.org/users/local/01lnVYoF/items/SD36J328"],"itemData":{"id":1015,"type":"article-journal","container-title":"Journal of Geophysical Research","DOI":"10.1029/92JB01414","ISSN":"0148-0227","issue":"B6","journalAbbreviation":"J. Geophys. Res.","language":"en","page":"9671","source":"DOI.org (Crossref)","title":"A dual origin for the hydrothermal component in a metalliferous sediment core from the Mid-Atlantic Ridge","volume":"98","author":[{"family":"Mills","given":"Rachel"},{"family":"Elderfield","given":"Henry"},{"family":"Thomson","given":"John"}],"issued":{"date-parts":[["1993"]]}}}],"schema":"https://github.com/citation-style-language/schema/raw/master/csl-citation.json"} </w:instrText>
      </w:r>
      <w:r>
        <w:rPr>
          <w:lang w:val="en-GB" w:eastAsia="en-GB"/>
        </w:rPr>
        <w:fldChar w:fldCharType="separate"/>
      </w:r>
      <w:r w:rsidRPr="00826087">
        <w:rPr>
          <w:rFonts w:cs="Times New Roman"/>
        </w:rPr>
        <w:t>(Dymond, 1981; Mills et al., 1993)</w:t>
      </w:r>
      <w:r>
        <w:rPr>
          <w:lang w:val="en-GB" w:eastAsia="en-GB"/>
        </w:rPr>
        <w:fldChar w:fldCharType="end"/>
      </w:r>
      <w:r>
        <w:rPr>
          <w:lang w:val="en-GB" w:eastAsia="en-GB"/>
        </w:rPr>
        <w:t>. In this study, indexes with particular and diverse signatures were determined, suggesting the presence of hydrothermal sources, remote or not, at some of the stations studied (</w:t>
      </w:r>
      <w:r w:rsidR="00E807AD">
        <w:rPr>
          <w:i/>
          <w:iCs/>
          <w:lang w:val="en-GB" w:eastAsia="en-GB"/>
        </w:rPr>
        <w:t>Table 3</w:t>
      </w:r>
      <w:r>
        <w:rPr>
          <w:lang w:val="en-GB" w:eastAsia="en-GB"/>
        </w:rPr>
        <w:t>).</w:t>
      </w:r>
    </w:p>
    <w:bookmarkEnd w:id="26"/>
    <w:p w14:paraId="7D90B82D" w14:textId="435B6F55" w:rsidR="00E807AD" w:rsidRPr="00EC6FED" w:rsidRDefault="00683711" w:rsidP="00E807AD">
      <w:pPr>
        <w:jc w:val="center"/>
        <w:rPr>
          <w:rFonts w:eastAsia="Times New Roman" w:cs="Times New Roman"/>
          <w:szCs w:val="24"/>
          <w:lang w:val="en-GB" w:eastAsia="en-GB"/>
        </w:rPr>
      </w:pPr>
      <w:r>
        <w:rPr>
          <w:rFonts w:eastAsia="Times New Roman" w:cs="Times New Roman"/>
          <w:noProof/>
          <w:szCs w:val="24"/>
          <w:lang w:val="en-GB" w:eastAsia="en-GB"/>
        </w:rPr>
        <w:lastRenderedPageBreak/>
        <w:drawing>
          <wp:inline distT="0" distB="0" distL="0" distR="0" wp14:anchorId="25CADFAE" wp14:editId="79D84A57">
            <wp:extent cx="6208395" cy="4966970"/>
            <wp:effectExtent l="0" t="0" r="1905" b="508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08395" cy="4966970"/>
                    </a:xfrm>
                    <a:prstGeom prst="rect">
                      <a:avLst/>
                    </a:prstGeom>
                  </pic:spPr>
                </pic:pic>
              </a:graphicData>
            </a:graphic>
          </wp:inline>
        </w:drawing>
      </w:r>
    </w:p>
    <w:p w14:paraId="50867926" w14:textId="67508D96" w:rsidR="00E807AD" w:rsidRPr="00E807AD" w:rsidRDefault="00E807AD" w:rsidP="00E807AD">
      <w:pPr>
        <w:spacing w:line="360" w:lineRule="auto"/>
        <w:jc w:val="both"/>
        <w:rPr>
          <w:sz w:val="21"/>
          <w:szCs w:val="20"/>
        </w:rPr>
      </w:pPr>
      <w:r w:rsidRPr="00B833A0">
        <w:rPr>
          <w:b/>
          <w:bCs/>
          <w:i/>
          <w:iCs/>
          <w:sz w:val="21"/>
          <w:szCs w:val="20"/>
        </w:rPr>
        <w:t xml:space="preserve">Figure </w:t>
      </w:r>
      <w:r w:rsidR="00853C2F">
        <w:rPr>
          <w:b/>
          <w:bCs/>
          <w:i/>
          <w:iCs/>
          <w:sz w:val="21"/>
          <w:szCs w:val="20"/>
        </w:rPr>
        <w:t>5</w:t>
      </w:r>
      <w:bookmarkStart w:id="27" w:name="_Hlk125562368"/>
      <w:r w:rsidRPr="00B833A0">
        <w:rPr>
          <w:sz w:val="21"/>
          <w:szCs w:val="20"/>
        </w:rPr>
        <w:t xml:space="preserve">. </w:t>
      </w:r>
      <w:proofErr w:type="spellStart"/>
      <w:r>
        <w:rPr>
          <w:sz w:val="21"/>
          <w:szCs w:val="20"/>
        </w:rPr>
        <w:t>Fe</w:t>
      </w:r>
      <w:r w:rsidR="00D55F82">
        <w:rPr>
          <w:sz w:val="21"/>
          <w:szCs w:val="20"/>
          <w:vertAlign w:val="subscript"/>
        </w:rPr>
        <w:t>cfb</w:t>
      </w:r>
      <w:proofErr w:type="spellEnd"/>
      <w:r>
        <w:rPr>
          <w:sz w:val="21"/>
          <w:szCs w:val="20"/>
        </w:rPr>
        <w:t xml:space="preserve">, </w:t>
      </w:r>
      <w:proofErr w:type="spellStart"/>
      <w:r>
        <w:rPr>
          <w:sz w:val="21"/>
          <w:szCs w:val="20"/>
        </w:rPr>
        <w:t>Mn</w:t>
      </w:r>
      <w:r w:rsidR="00D55F82">
        <w:rPr>
          <w:sz w:val="21"/>
          <w:szCs w:val="20"/>
          <w:vertAlign w:val="subscript"/>
        </w:rPr>
        <w:t>cfb</w:t>
      </w:r>
      <w:proofErr w:type="spellEnd"/>
      <w:r>
        <w:rPr>
          <w:sz w:val="21"/>
          <w:szCs w:val="20"/>
        </w:rPr>
        <w:t xml:space="preserve"> and </w:t>
      </w:r>
      <w:proofErr w:type="spellStart"/>
      <w:r>
        <w:rPr>
          <w:sz w:val="21"/>
          <w:szCs w:val="20"/>
        </w:rPr>
        <w:t>Al</w:t>
      </w:r>
      <w:r w:rsidR="00D55F82">
        <w:rPr>
          <w:sz w:val="21"/>
          <w:szCs w:val="20"/>
          <w:vertAlign w:val="subscript"/>
        </w:rPr>
        <w:t>cfb</w:t>
      </w:r>
      <w:proofErr w:type="spellEnd"/>
      <w:r>
        <w:rPr>
          <w:sz w:val="21"/>
          <w:szCs w:val="20"/>
        </w:rPr>
        <w:t xml:space="preserve"> ternary diagrams for sinking material collected at </w:t>
      </w:r>
      <w:r w:rsidRPr="000C69C7">
        <w:rPr>
          <w:b/>
          <w:bCs/>
          <w:sz w:val="21"/>
          <w:szCs w:val="20"/>
        </w:rPr>
        <w:t>(a)</w:t>
      </w:r>
      <w:r>
        <w:rPr>
          <w:sz w:val="21"/>
          <w:szCs w:val="20"/>
        </w:rPr>
        <w:t xml:space="preserve"> 200 m and </w:t>
      </w:r>
      <w:r w:rsidRPr="000C69C7">
        <w:rPr>
          <w:b/>
          <w:bCs/>
          <w:sz w:val="21"/>
          <w:szCs w:val="20"/>
        </w:rPr>
        <w:t>(b)</w:t>
      </w:r>
      <w:r>
        <w:rPr>
          <w:sz w:val="21"/>
          <w:szCs w:val="20"/>
        </w:rPr>
        <w:t xml:space="preserve"> 1000 m and for </w:t>
      </w:r>
      <w:r w:rsidRPr="00A73E2D">
        <w:rPr>
          <w:b/>
          <w:bCs/>
          <w:sz w:val="21"/>
          <w:szCs w:val="20"/>
        </w:rPr>
        <w:t>(</w:t>
      </w:r>
      <w:r>
        <w:rPr>
          <w:b/>
          <w:bCs/>
          <w:sz w:val="21"/>
          <w:szCs w:val="20"/>
        </w:rPr>
        <w:t>c</w:t>
      </w:r>
      <w:r w:rsidRPr="00A73E2D">
        <w:rPr>
          <w:b/>
          <w:bCs/>
          <w:sz w:val="21"/>
          <w:szCs w:val="20"/>
        </w:rPr>
        <w:t>)</w:t>
      </w:r>
      <w:r>
        <w:rPr>
          <w:sz w:val="21"/>
          <w:szCs w:val="20"/>
        </w:rPr>
        <w:t xml:space="preserve"> seafloor sediments. </w:t>
      </w:r>
      <w:r w:rsidRPr="000C69C7">
        <w:rPr>
          <w:sz w:val="21"/>
          <w:szCs w:val="20"/>
        </w:rPr>
        <w:t>Also shown for comparison are some reference materials such as basalt (Japan Basalt</w:t>
      </w:r>
      <w:r>
        <w:rPr>
          <w:sz w:val="21"/>
          <w:szCs w:val="20"/>
        </w:rPr>
        <w:t xml:space="preserve">, GSJ; </w:t>
      </w:r>
      <w:r>
        <w:rPr>
          <w:sz w:val="21"/>
          <w:szCs w:val="20"/>
        </w:rPr>
        <w:fldChar w:fldCharType="begin"/>
      </w:r>
      <w:r w:rsidR="008019F3">
        <w:rPr>
          <w:sz w:val="21"/>
          <w:szCs w:val="20"/>
        </w:rPr>
        <w:instrText xml:space="preserve"> ADDIN ZOTERO_ITEM CSL_CITATION {"citationID":"ACehoYBs","properties":{"formattedCitation":"(Imai et al., 1995)","plainCitation":"(Imai et al., 1995)","dontUpdate":true,"noteIndex":0},"citationItems":[{"id":1766,"uris":["http://zotero.org/users/local/01lnVYoF/items/92STUU5G"],"itemData":{"id":1766,"type":"article-journal","container-title":"Geostandards and Geoanalytical Research","DOI":"10.1111/j.1751-908X.1995.tb00158.x","ISSN":"16394488","issue":"2","language":"en","page":"135-213","source":"DOI.org (Crossref)","title":"1994 Compilation of analytical data for minor and trace elements in seventeen GSJ geochemical reference samples, \"igneous rock series\"","volume":"19","author":[{"family":"Imai","given":"Noboru"},{"family":"Terashima","given":"Shigeru"},{"family":"Itoh","given":"Shiro"},{"family":"Ando","given":"Atsushi"}],"issued":{"date-parts":[["1995",10]]}}}],"schema":"https://github.com/citation-style-language/schema/raw/master/csl-citation.json"} </w:instrText>
      </w:r>
      <w:r>
        <w:rPr>
          <w:sz w:val="21"/>
          <w:szCs w:val="20"/>
        </w:rPr>
        <w:fldChar w:fldCharType="separate"/>
      </w:r>
      <w:r w:rsidRPr="000C69C7">
        <w:rPr>
          <w:rFonts w:cs="Times New Roman"/>
          <w:sz w:val="21"/>
        </w:rPr>
        <w:t>Imai et al., 1995)</w:t>
      </w:r>
      <w:r>
        <w:rPr>
          <w:sz w:val="21"/>
          <w:szCs w:val="20"/>
        </w:rPr>
        <w:fldChar w:fldCharType="end"/>
      </w:r>
      <w:r w:rsidRPr="000C69C7">
        <w:rPr>
          <w:sz w:val="21"/>
          <w:szCs w:val="20"/>
        </w:rPr>
        <w:t xml:space="preserve">, reference pelagic clays (see </w:t>
      </w:r>
      <w:r w:rsidRPr="00FF0042">
        <w:rPr>
          <w:i/>
          <w:iCs/>
          <w:sz w:val="21"/>
          <w:szCs w:val="20"/>
        </w:rPr>
        <w:t>Table 2</w:t>
      </w:r>
      <w:r w:rsidRPr="000C69C7">
        <w:rPr>
          <w:sz w:val="21"/>
          <w:szCs w:val="20"/>
        </w:rPr>
        <w:t>), a hydrothermal vent solution</w:t>
      </w:r>
      <w:r>
        <w:rPr>
          <w:sz w:val="21"/>
          <w:szCs w:val="20"/>
        </w:rPr>
        <w:t xml:space="preserve"> </w:t>
      </w:r>
      <w:r>
        <w:rPr>
          <w:sz w:val="21"/>
          <w:szCs w:val="20"/>
        </w:rPr>
        <w:fldChar w:fldCharType="begin"/>
      </w:r>
      <w:r>
        <w:rPr>
          <w:sz w:val="21"/>
          <w:szCs w:val="20"/>
        </w:rPr>
        <w:instrText xml:space="preserve"> ADDIN ZOTERO_ITEM CSL_CITATION {"citationID":"p6S4bTFS","properties":{"formattedCitation":"(Li and Schoonmaker, 2003)","plainCitation":"(Li and Schoonmaker, 2003)","noteIndex":0},"citationItems":[{"id":838,"uris":["http://zotero.org/users/local/01lnVYoF/items/P87ZQSZA"],"itemData":{"id":838,"type":"chapter","container-title":"Treatise on Geochemistry","ISBN":"978-0-08-043751-4","language":"en","note":"DOI: 10.1016/B0-08-043751-6/07088-2","page":"1-35","publisher":"Elsevier","source":"DOI.org (Crossref)","title":"Chemical Composition and Mineralogy of Marine Sediments","URL":"https://linkinghub.elsevier.com/retrieve/pii/B0080437516070882","author":[{"family":"Li","given":"Y.-H."},{"family":"Schoonmaker","given":"J.E."}],"accessed":{"date-parts":[["2022",7,11]]},"issued":{"date-parts":[["2003"]]}}}],"schema":"https://github.com/citation-style-language/schema/raw/master/csl-citation.json"} </w:instrText>
      </w:r>
      <w:r>
        <w:rPr>
          <w:sz w:val="21"/>
          <w:szCs w:val="20"/>
        </w:rPr>
        <w:fldChar w:fldCharType="separate"/>
      </w:r>
      <w:r w:rsidRPr="000C69C7">
        <w:rPr>
          <w:rFonts w:cs="Times New Roman"/>
          <w:sz w:val="21"/>
        </w:rPr>
        <w:t>(Li and Schoonmaker, 2003)</w:t>
      </w:r>
      <w:r>
        <w:rPr>
          <w:sz w:val="21"/>
          <w:szCs w:val="20"/>
        </w:rPr>
        <w:fldChar w:fldCharType="end"/>
      </w:r>
      <w:r w:rsidR="00F118F7">
        <w:rPr>
          <w:sz w:val="21"/>
          <w:szCs w:val="20"/>
        </w:rPr>
        <w:t>,</w:t>
      </w:r>
      <w:r w:rsidR="00FF0042">
        <w:rPr>
          <w:sz w:val="21"/>
          <w:szCs w:val="20"/>
        </w:rPr>
        <w:t xml:space="preserve"> </w:t>
      </w:r>
      <w:r w:rsidR="00FF0042">
        <w:rPr>
          <w:color w:val="000000"/>
          <w:sz w:val="21"/>
          <w:szCs w:val="21"/>
        </w:rPr>
        <w:t xml:space="preserve">a reference sedimentary material from </w:t>
      </w:r>
      <w:r w:rsidR="00D55F82">
        <w:rPr>
          <w:color w:val="000000"/>
          <w:sz w:val="21"/>
          <w:szCs w:val="21"/>
        </w:rPr>
        <w:t xml:space="preserve">the </w:t>
      </w:r>
      <w:r w:rsidR="00FF0042">
        <w:rPr>
          <w:color w:val="000000"/>
          <w:sz w:val="21"/>
          <w:szCs w:val="21"/>
        </w:rPr>
        <w:t>East Pacific Ris</w:t>
      </w:r>
      <w:r w:rsidRPr="000C69C7">
        <w:rPr>
          <w:sz w:val="21"/>
          <w:szCs w:val="20"/>
        </w:rPr>
        <w:t>e</w:t>
      </w:r>
      <w:r>
        <w:rPr>
          <w:sz w:val="21"/>
          <w:szCs w:val="20"/>
        </w:rPr>
        <w:t xml:space="preserve"> </w:t>
      </w:r>
      <w:r>
        <w:rPr>
          <w:sz w:val="21"/>
          <w:szCs w:val="20"/>
        </w:rPr>
        <w:fldChar w:fldCharType="begin"/>
      </w:r>
      <w:r w:rsidR="004429A8">
        <w:rPr>
          <w:sz w:val="21"/>
          <w:szCs w:val="20"/>
        </w:rPr>
        <w:instrText xml:space="preserve"> ADDIN ZOTERO_ITEM CSL_CITATION {"citationID":"KmgomGSL","properties":{"formattedCitation":"(Barrett et al., 2021; Nohara and Yokoto, 1978)","plainCitation":"(Barrett et al., 2021; Nohara and Yokoto, 1978)","dontUpdate":true,"noteIndex":0},"citationItems":[{"id":1809,"uris":["http://zotero.org/users/local/01lnVYoF/items/CXUFPC5I"],"itemData":{"id":1809,"type":"article-journal","container-title":"Earth-Science Reviews","DOI":"10.1016/j.earscirev.2021.103801","ISSN":"00128252","journalAbbreviation":"Earth-Science Reviews","language":"en","page":"103801","source":"DOI.org (Crossref)","title":"Chemical characteristics of modern deep-sea metalliferous sediments in closed versus open basins, with emphasis on rare-earth elements and Nd isotopes","volume":"222","author":[{"family":"Barrett","given":"Timothy J."},{"family":"Jarvis","given":"Ian"},{"family":"Hannington","given":"Mark D."},{"family":"Thirlwall","given":"Matthew F."}],"issued":{"date-parts":[["2021",11]]}}},{"id":879,"uris":["http://zotero.org/users/local/01lnVYoF/items/5ML78R3I"],"itemData":{"id":879,"type":"article-journal","container-title":"The Journal of the Geological Society of Japan","DOI":"https://doi.org/10.5575/geosoc.84.165","issue":"4","title":"The Geochemistry of Trace Elements in Pelagic Sediments from the Central Pacific Basin","volume":"84","author":[{"family":"Nohara","given":"Masato"},{"family":"Yokoto","given":"Setsuya"}],"issued":{"date-parts":[["1978"]]}}}],"schema":"https://github.com/citation-style-language/schema/raw/master/csl-citation.json"} </w:instrText>
      </w:r>
      <w:r>
        <w:rPr>
          <w:sz w:val="21"/>
          <w:szCs w:val="20"/>
        </w:rPr>
        <w:fldChar w:fldCharType="separate"/>
      </w:r>
      <w:r w:rsidR="00683711" w:rsidRPr="00683711">
        <w:rPr>
          <w:rFonts w:cs="Times New Roman"/>
          <w:sz w:val="21"/>
        </w:rPr>
        <w:t>(</w:t>
      </w:r>
      <w:r w:rsidR="00683711">
        <w:rPr>
          <w:rFonts w:cs="Times New Roman"/>
          <w:sz w:val="21"/>
        </w:rPr>
        <w:t xml:space="preserve">EPR; </w:t>
      </w:r>
      <w:r w:rsidR="00683711" w:rsidRPr="00683711">
        <w:rPr>
          <w:rFonts w:cs="Times New Roman"/>
          <w:sz w:val="21"/>
        </w:rPr>
        <w:t>Barrett et al., 2021; Nohara and Yokoto, 1978)</w:t>
      </w:r>
      <w:r>
        <w:rPr>
          <w:sz w:val="21"/>
          <w:szCs w:val="20"/>
        </w:rPr>
        <w:fldChar w:fldCharType="end"/>
      </w:r>
      <w:r w:rsidR="00F118F7">
        <w:rPr>
          <w:sz w:val="21"/>
          <w:szCs w:val="20"/>
        </w:rPr>
        <w:t xml:space="preserve"> and a hydrothermal particle field </w:t>
      </w:r>
      <w:r w:rsidR="00F118F7">
        <w:rPr>
          <w:sz w:val="21"/>
          <w:szCs w:val="20"/>
        </w:rPr>
        <w:fldChar w:fldCharType="begin"/>
      </w:r>
      <w:r w:rsidR="00F118F7">
        <w:rPr>
          <w:sz w:val="21"/>
          <w:szCs w:val="20"/>
        </w:rPr>
        <w:instrText xml:space="preserve"> ADDIN ZOTERO_ITEM CSL_CITATION {"citationID":"pV24uSOd","properties":{"formattedCitation":"(Edmonds and German, 2004)","plainCitation":"(Edmonds and German, 2004)","noteIndex":0},"citationItems":[{"id":1017,"uris":["http://zotero.org/users/local/01lnVYoF/items/L4VAFDCY"],"itemData":{"id":1017,"type":"article-journal","container-title":"Geochimica et Cosmochimica Acta","DOI":"10.1016/S0016-7037(03)00498-8","ISSN":"00167037","issue":"4","journalAbbreviation":"Geochimica et Cosmochimica Acta","language":"en","page":"759-772","source":"DOI.org (Crossref)","title":"Particle geochemistry in the Rainbow hydrothermal plume, Mid-Atlantic Ridge","volume":"68","author":[{"family":"Edmonds","given":"Henrietta N."},{"family":"German","given":"Christopher R."}],"issued":{"date-parts":[["2004",2]]}}}],"schema":"https://github.com/citation-style-language/schema/raw/master/csl-citation.json"} </w:instrText>
      </w:r>
      <w:r w:rsidR="00F118F7">
        <w:rPr>
          <w:sz w:val="21"/>
          <w:szCs w:val="20"/>
        </w:rPr>
        <w:fldChar w:fldCharType="separate"/>
      </w:r>
      <w:r w:rsidR="00F118F7" w:rsidRPr="00F118F7">
        <w:rPr>
          <w:rFonts w:cs="Times New Roman"/>
          <w:sz w:val="21"/>
        </w:rPr>
        <w:t>(Edmonds and German, 2004)</w:t>
      </w:r>
      <w:r w:rsidR="00F118F7">
        <w:rPr>
          <w:sz w:val="21"/>
          <w:szCs w:val="20"/>
        </w:rPr>
        <w:fldChar w:fldCharType="end"/>
      </w:r>
      <w:r w:rsidRPr="000C69C7">
        <w:rPr>
          <w:sz w:val="21"/>
          <w:szCs w:val="20"/>
        </w:rPr>
        <w:t>.</w:t>
      </w:r>
    </w:p>
    <w:bookmarkEnd w:id="27"/>
    <w:p w14:paraId="16507479" w14:textId="126943B5" w:rsidR="000C128D" w:rsidRPr="000C128D" w:rsidRDefault="000C128D" w:rsidP="000C128D">
      <w:pPr>
        <w:pStyle w:val="Titre3"/>
        <w:rPr>
          <w:b w:val="0"/>
          <w:bCs/>
          <w:i/>
          <w:iCs/>
        </w:rPr>
      </w:pPr>
      <w:r>
        <w:rPr>
          <w:b w:val="0"/>
          <w:bCs/>
          <w:i/>
          <w:iCs/>
        </w:rPr>
        <w:t>Along the Tonga Arc (small scale)</w:t>
      </w:r>
    </w:p>
    <w:p w14:paraId="7C076EEA" w14:textId="7E439E85" w:rsidR="00E34A06" w:rsidRPr="00E34A06" w:rsidRDefault="00E34A06" w:rsidP="00E34A06">
      <w:pPr>
        <w:spacing w:line="480" w:lineRule="auto"/>
        <w:jc w:val="both"/>
        <w:rPr>
          <w:rFonts w:eastAsia="Times New Roman" w:cs="Times New Roman"/>
          <w:szCs w:val="24"/>
          <w:lang w:eastAsia="ja-JP"/>
        </w:rPr>
      </w:pPr>
      <w:bookmarkStart w:id="28" w:name="_Hlk125562263"/>
      <w:r w:rsidRPr="00E34A06">
        <w:rPr>
          <w:rFonts w:eastAsia="Times New Roman" w:cs="Times New Roman"/>
          <w:color w:val="000000"/>
          <w:szCs w:val="24"/>
          <w:lang w:eastAsia="ja-JP"/>
        </w:rPr>
        <w:t xml:space="preserve">Stations 5 and 10 are located along the Tonga Arc, which hosts a multitude of active hydrothermal vents </w:t>
      </w:r>
      <w:r w:rsidRPr="00917ADA">
        <w:fldChar w:fldCharType="begin"/>
      </w:r>
      <w:r>
        <w:instrText xml:space="preserve"> ADDIN ZOTERO_ITEM CSL_CITATION {"citationID":"HTGKvHIh","properties":{"formattedCitation":"(Beaulieu and Szafra\\uc0\\u324{}ski, 2020; Lupton et al., 2004; Massoth et al., 2007)","plainCitation":"(Beaulieu and Szafrański, 2020; Lupton et al., 2004; Massoth et al., 2007)","dontUpdate":true,"noteIndex":0},"citationItems":[{"id":1542,"uris":["http://zotero.org/users/local/01lnVYoF/items/EB8ZBT98"],"itemData":{"id":1542,"type":"document","abstract":"The purpose of the InterRidge Global Database of Active Submarine Hydrothermal Vent Fields, hereafter referred to as the \"InterRidge Vents Database,\" is to provide a comprehensive list of active submarine hydrothermal vent fields for use in academic research, education, and marine policy. This dataset includes a data table (flat file) and a map representing the InterRidge Vents Database Version 3.4. Version 3.4 was completed on 25 March 2020 with a total of 721 vent fields, with 666 confirmed or inferred active and 55 inactive (please note: the database is not comprehensive for inactive vent fields). The number of known active vent fields increased by 134 in the past decade since the publication of InterRidge Vents Database Version 2.1 (Beaulieu et al., 2013, doi:10.1002/2013GC004998).The contents of the InterRidge Vents Database were derived principally from the open literature. The database includes a vocabulary of vent field names and information that may be useful in mapping, including position (latitude, longitude), depth, region, tectonic setting, national jurisdiction, and ocean. Additional information includes names of individual vent sites within vent fields, spreading rate for those vent fields at spreading centers, maximum temperature or temperature category (high or low) for confirmed active vent fields, notes on site description and biology for some of the vent fields, year discovered, and references.The data table was exported from the online database at https://vents-data.interridge.org/ on 2020-03-25; several columns were removed with script available at https://github.com/sbeaulieu/vents-Drupal. We also provide a text file with definitions for the column headers in the data table.The map is provided in several formats and shows locations of all vent fields in Version 3.4 (downloaded from the online database on 2019-12-24) with bathymetry from NOAA ETOPO1. The map was created by Jyun-Nai Wu (University of California San Diego).The InterRidge Vents Database is supported by the InterRidge program for international cooperation in ocean floor studies. For Version 3.4, S. Beaulieu was supported by U.S. National Science Foundation awards #1558904 and #1829773.","language":"en","license":"Creative Commons Attribution Non Commercial Share Alike 4.0 International","note":"dimensions: 20 data points\nmedium: text/tab-separated-values\npage: 20 data points\ntype: dataset\nDOI: 10.1594/PANGAEA.917894","publisher":"PANGAEA - Data Publisher for Earth &amp; Environmental Science","source":"DOI.org (Datacite)","title":"InterRidge Global Database of Active Submarine Hydrothermal Vent Fields Version 3.4","URL":"https://doi.pangaea.de/10.1594/PANGAEA.917894","author":[{"family":"Beaulieu","given":"Stace E."},{"family":"Szafrański","given":"Kamil M."}],"accessed":{"date-parts":[["2022",12,5]]},"issued":{"date-parts":[["2020"]]}}},{"id":400,"uris":["http://zotero.org/users/local/01lnVYoF/items/6G9TAFE7"],"itemData":{"id":400,"type":"article-journal","container-title":"Geochemistry, Geophysics, Geosystems","DOI":"10.1029/2003GC000607","ISSN":"15252027","issue":"1","journalAbbreviation":"Geochem. Geophys. Geosyst.","language":"en","source":"DOI.org (Crossref)","title":"Evidence for an extensive hydrothermal plume in the Tonga-Fiji region of the South Pacific","title-short":"Evidence for an extensive hydrothermal plume in the Tonga-Fiji region of the South Pacific","URL":"http://doi.wiley.com/10.1029/2003GC000607","volume":"5","author":[{"family":"Lupton","given":"John E."},{"family":"Py</w:instrText>
      </w:r>
      <w:r w:rsidRPr="00986804">
        <w:rPr>
          <w:lang w:val="fr-FR"/>
        </w:rPr>
        <w:instrText xml:space="preserve">le","given":"Douglas G."},{"family":"Jenkins","given":"William J."},{"family":"Greene","given":"Ronald"},{"family":"Evans","given":"Leigh"}],"accessed":{"date-parts":[["2021",11,29]]},"issued":{"date-parts":[["2004",1]]}}},{"id":63,"uris":["http://zotero.org/users/local/01lnVYoF/items/PUBS77XS"],"itemData":{"id":63,"type":"article-journal","container-title":"Geochemistry, Geophysics, Geosystems","DOI":"10.1029/2007GC001675","ISSN":"15252027","issue":"11","journalAbbreviation":"Geochem. Geophys. Geosyst.","language":"en","source":"DOI.org (Crossref)","title":"Multiple hydrothermal sources along the south Tonga arc and Valu Fa Ridge","title-short":"Multiple hydrothermal sources along the south Tonga arc and Valu Fa Ridge","URL":"http://doi.wiley.com/10.1029/2007GC001675","volume":"8","author":[{"family":"Massoth","given":"Gary"},{"family":"Baker","given":"Edward"},{"family":"Worthington","given":"Tim"},{"family":"Lupton","given":"John"},{"family":"Ronde","given":"Cornel","non-dropping-particle":"de"},{"family":"Arculus","given":"Richard"},{"family":"Walker","given":"Sharon"},{"family":"Nakamura","given":"Ko-ichi"},{"family":"Ishibashi","given":"Jun-ichiro"},{"family":"Stoffers","given":"Peter"},{"family":"Resing","given":"Joseph"},{"family":"Greene","given":"Ronald"},{"family":"Lebon","given":"Geoffrey"}],"accessed":{"date-parts":[["2020",4,28]]},"issued":{"date-parts":[["2007",11]]}}}],"schema":"https://github.com/citation-style-language/schema/raw/master/csl-citation.json"} </w:instrText>
      </w:r>
      <w:r w:rsidRPr="00917ADA">
        <w:fldChar w:fldCharType="separate"/>
      </w:r>
      <w:r w:rsidRPr="00E663DD">
        <w:rPr>
          <w:rFonts w:cs="Times New Roman"/>
          <w:szCs w:val="24"/>
          <w:lang w:val="fr-FR"/>
        </w:rPr>
        <w:t>(e.g</w:t>
      </w:r>
      <w:r>
        <w:rPr>
          <w:rFonts w:cs="Times New Roman"/>
          <w:szCs w:val="24"/>
          <w:lang w:val="fr-FR"/>
        </w:rPr>
        <w:t xml:space="preserve">., </w:t>
      </w:r>
      <w:r w:rsidRPr="00E663DD">
        <w:rPr>
          <w:rFonts w:cs="Times New Roman"/>
          <w:szCs w:val="24"/>
          <w:lang w:val="fr-FR"/>
        </w:rPr>
        <w:t>Beaulieu and Szafrański, 2020; Lupton et al., 2004; Massoth et al., 2007)</w:t>
      </w:r>
      <w:r w:rsidRPr="00917ADA">
        <w:fldChar w:fldCharType="end"/>
      </w:r>
      <w:r w:rsidRPr="00E34A06">
        <w:rPr>
          <w:rFonts w:eastAsia="Times New Roman" w:cs="Times New Roman"/>
          <w:color w:val="000000"/>
          <w:szCs w:val="24"/>
          <w:lang w:val="fr-FR" w:eastAsia="ja-JP"/>
        </w:rPr>
        <w:t xml:space="preserve">. </w:t>
      </w:r>
      <w:r w:rsidRPr="00E34A06">
        <w:rPr>
          <w:rFonts w:eastAsia="Times New Roman" w:cs="Times New Roman"/>
          <w:color w:val="000000"/>
          <w:szCs w:val="24"/>
          <w:lang w:eastAsia="ja-JP"/>
        </w:rPr>
        <w:t>About 15 km from the location of each of the drifting mooring lines, a shallow hydrothermal source was identified during the TONGA cruise: at ~200 m at station 5 and at ~300 m at station 10</w:t>
      </w:r>
      <w:r>
        <w:rPr>
          <w:rFonts w:eastAsia="Times New Roman" w:cs="Times New Roman"/>
          <w:color w:val="000000"/>
          <w:szCs w:val="24"/>
          <w:lang w:eastAsia="ja-JP"/>
        </w:rPr>
        <w:t xml:space="preserve"> </w:t>
      </w:r>
      <w:r>
        <w:rPr>
          <w:rFonts w:eastAsia="Times New Roman" w:cs="Times New Roman"/>
          <w:color w:val="000000"/>
          <w:szCs w:val="24"/>
          <w:lang w:eastAsia="ja-JP"/>
        </w:rPr>
        <w:fldChar w:fldCharType="begin"/>
      </w:r>
      <w:r>
        <w:rPr>
          <w:rFonts w:eastAsia="Times New Roman" w:cs="Times New Roman"/>
          <w:color w:val="000000"/>
          <w:szCs w:val="24"/>
          <w:lang w:eastAsia="ja-JP"/>
        </w:rPr>
        <w:instrText xml:space="preserve"> ADDIN ZOTERO_ITEM CSL_CITATION {"citationID":"HksvrVhj","properties":{"formattedCitation":"(Tilliette et al., 2022)","plainCitation":"(Tilliette et al., 2022)","noteIndex":0},"citationItems":[{"id":819,"uris":["http://zotero.org/users/local/01lnVYoF/items/YIPANZYN"],"itemData":{"id":819,"type":"article-journal","container-title":"Global Biogeochemical Cycles","DOI":"10.1029/2022GB007363","ISSN":"0886-6236, 1944-9224","journalAbbreviation":"Global Biogeochemical Cycles","language":"en","source":"DOI.org (Crossref)","title":"Dissolved iron patterns impacted by shallow hydrothermal sources along a transect through the Tonga‐Kermadec arc","URL":"https://onlinelibrary.wiley.com/doi/10.1029/2022GB007363","author":[{"family":"Tilliette","given":"Chloé"},{"family":"Taillandier","given":"Vincent"},{"family":"Bouruet‐Aubertot","given":"Pascale"},{"family":"Grima","given":"Nicolas"},{"family":"Maes","given":"Christophe"},{"family":"Montanes","given":"Maryline"},{"family":"Sarthou","given":"Géraldine"},{"family":"Vorrath","given":"Maria-Elena"},{"family":"Arnone","given":"Veronica"},{"family":"Bressac","given":"Matthieu"},{"family":"González‐Santana","given":"David"},{"family":"Gazeau","given":"Frédéric"},{"family":"Guieu","given":"Cécile"}],"accessed":{"date-parts":[["2022",7,4]]},"issued":{"date-parts":[["2022",7,4]]}}}],"schema":"https://github.com/citation-style-language/schema/raw/master/csl-citation.json"} </w:instrText>
      </w:r>
      <w:r>
        <w:rPr>
          <w:rFonts w:eastAsia="Times New Roman" w:cs="Times New Roman"/>
          <w:color w:val="000000"/>
          <w:szCs w:val="24"/>
          <w:lang w:eastAsia="ja-JP"/>
        </w:rPr>
        <w:fldChar w:fldCharType="separate"/>
      </w:r>
      <w:r w:rsidRPr="00E34A06">
        <w:rPr>
          <w:rFonts w:cs="Times New Roman"/>
        </w:rPr>
        <w:t>(Tilliette et al., 2022)</w:t>
      </w:r>
      <w:r>
        <w:rPr>
          <w:rFonts w:eastAsia="Times New Roman" w:cs="Times New Roman"/>
          <w:color w:val="000000"/>
          <w:szCs w:val="24"/>
          <w:lang w:eastAsia="ja-JP"/>
        </w:rPr>
        <w:fldChar w:fldCharType="end"/>
      </w:r>
      <w:r w:rsidRPr="00E34A06">
        <w:rPr>
          <w:rFonts w:eastAsia="Times New Roman" w:cs="Times New Roman"/>
          <w:color w:val="000000"/>
          <w:szCs w:val="24"/>
          <w:lang w:eastAsia="ja-JP"/>
        </w:rPr>
        <w:t>. </w:t>
      </w:r>
    </w:p>
    <w:p w14:paraId="5E5453BC" w14:textId="432E710A" w:rsidR="00E34A06" w:rsidRDefault="00E34A06" w:rsidP="0038494D">
      <w:pPr>
        <w:pStyle w:val="NormalWeb"/>
        <w:spacing w:before="120" w:beforeAutospacing="0" w:after="240" w:afterAutospacing="0" w:line="480" w:lineRule="auto"/>
        <w:jc w:val="both"/>
        <w:rPr>
          <w:color w:val="000000"/>
          <w:lang w:eastAsia="ja-JP"/>
        </w:rPr>
      </w:pPr>
      <w:bookmarkStart w:id="29" w:name="_Hlk125562638"/>
      <w:bookmarkEnd w:id="28"/>
      <w:r>
        <w:rPr>
          <w:color w:val="000000"/>
        </w:rPr>
        <w:lastRenderedPageBreak/>
        <w:t>Station 10 revealed materials with distinctive signatures depending on sampling depth. At 200 m, a low Boström index was estimated</w:t>
      </w:r>
      <w:r w:rsidR="00AA6183">
        <w:rPr>
          <w:color w:val="000000"/>
        </w:rPr>
        <w:t xml:space="preserve"> at </w:t>
      </w:r>
      <w:r>
        <w:rPr>
          <w:color w:val="000000"/>
        </w:rPr>
        <w:t xml:space="preserve">24 </w:t>
      </w:r>
      <w:r>
        <w:rPr>
          <w:rFonts w:ascii="Arial" w:hAnsi="Arial" w:cs="Arial"/>
          <w:color w:val="000000"/>
        </w:rPr>
        <w:t>±</w:t>
      </w:r>
      <w:r>
        <w:rPr>
          <w:color w:val="000000"/>
        </w:rPr>
        <w:t xml:space="preserve"> 6</w:t>
      </w:r>
      <w:r w:rsidR="00AA6183">
        <w:rPr>
          <w:color w:val="000000"/>
        </w:rPr>
        <w:t xml:space="preserve"> </w:t>
      </w:r>
      <w:r>
        <w:rPr>
          <w:color w:val="000000"/>
        </w:rPr>
        <w:t xml:space="preserve">with Fe-Mn-rich material </w:t>
      </w:r>
      <w:r>
        <w:t>(</w:t>
      </w:r>
      <w:r>
        <w:rPr>
          <w:i/>
          <w:iCs/>
        </w:rPr>
        <w:t xml:space="preserve">Table 3, Fig. </w:t>
      </w:r>
      <w:r w:rsidR="00853C2F">
        <w:rPr>
          <w:i/>
          <w:iCs/>
        </w:rPr>
        <w:t>5</w:t>
      </w:r>
      <w:r>
        <w:rPr>
          <w:i/>
          <w:iCs/>
        </w:rPr>
        <w:t>a</w:t>
      </w:r>
      <w:r>
        <w:t xml:space="preserve">). </w:t>
      </w:r>
      <w:r w:rsidR="00AA6183">
        <w:rPr>
          <w:color w:val="000000"/>
        </w:rPr>
        <w:t xml:space="preserve">For comparison, metalliferous sediments collected from two to 25 km downstream of the Rain hydrothermal vent on the Mid-Atlantic ridge display similar </w:t>
      </w:r>
      <w:proofErr w:type="spellStart"/>
      <w:r w:rsidR="00AA6183">
        <w:rPr>
          <w:color w:val="000000"/>
        </w:rPr>
        <w:t>Böstrom</w:t>
      </w:r>
      <w:proofErr w:type="spellEnd"/>
      <w:r w:rsidR="00AA6183">
        <w:rPr>
          <w:color w:val="000000"/>
        </w:rPr>
        <w:t xml:space="preserve"> values of ~25 </w:t>
      </w:r>
      <w:r w:rsidR="00AA6183">
        <w:rPr>
          <w:color w:val="000000"/>
        </w:rPr>
        <w:fldChar w:fldCharType="begin"/>
      </w:r>
      <w:r w:rsidR="00AA6183">
        <w:rPr>
          <w:color w:val="000000"/>
        </w:rPr>
        <w:instrText xml:space="preserve"> ADDIN ZOTERO_ITEM CSL_CITATION {"citationID":"5DxaNyPz","properties":{"formattedCitation":"(Cave et al., 2002)","plainCitation":"(Cave et al., 2002)","noteIndex":0},"citationItems":[{"id":1805,"uris":["http://zotero.org/users/local/01lnVYoF/items/PYWYZ2VG"],"itemData":{"id":1805,"type":"article-journal","container-title":"Geochimica et Cosmochimica Acta","DOI":"10.1016/S0016-7037(02)00823-2","ISSN":"00167037","issue":"11","journalAbbreviation":"Geochimica et Cosmochimica Acta","language":"en","page":"1905-1923","source":"DOI.org (Crossref)","title":"Fluxes to sediments underlying the Rainbow hydrothermal plume at 36°14′N on the Mid-Atlantic Ridge","volume":"66","author":[{"family":"Cave","given":"R.R."},{"family":"German","given":"C.R."},{"family":"Thomson","given":"J."},{"family":"Nesbitt","given":"R.W."}],"issued":{"date-parts":[["2002",6]]}}}],"schema":"https://github.com/citation-style-language/schema/raw/master/csl-citation.json"} </w:instrText>
      </w:r>
      <w:r w:rsidR="00AA6183">
        <w:rPr>
          <w:color w:val="000000"/>
        </w:rPr>
        <w:fldChar w:fldCharType="separate"/>
      </w:r>
      <w:r w:rsidR="00AA6183" w:rsidRPr="00AA6183">
        <w:t>(Cave et al., 2002)</w:t>
      </w:r>
      <w:r w:rsidR="00AA6183">
        <w:rPr>
          <w:color w:val="000000"/>
        </w:rPr>
        <w:fldChar w:fldCharType="end"/>
      </w:r>
      <w:r w:rsidR="00AA6183">
        <w:rPr>
          <w:color w:val="000000"/>
        </w:rPr>
        <w:t xml:space="preserve">. </w:t>
      </w:r>
      <w:r w:rsidR="00A35892">
        <w:rPr>
          <w:color w:val="000000"/>
        </w:rPr>
        <w:t>Such index values obtained for our samples is a clear signature of a fairly close hydrothermal source, in agreement with the identification of a shallow sourc</w:t>
      </w:r>
      <w:r>
        <w:t xml:space="preserve">e (~300 m) ~15 km </w:t>
      </w:r>
      <w:r>
        <w:rPr>
          <w:color w:val="000000"/>
        </w:rPr>
        <w:t>away from the drifting mooring initial</w:t>
      </w:r>
      <w:r>
        <w:t xml:space="preserve"> position, showing multiple acoustic anomalies and high DFe concentrations </w:t>
      </w:r>
      <w:r>
        <w:fldChar w:fldCharType="begin"/>
      </w:r>
      <w:r>
        <w:instrText xml:space="preserve"> ADDIN ZOTERO_ITEM CSL_CITATION {"citationID":"nHoNb8lo","properties":{"formattedCitation":"(Tilliette et al., 2022)","plainCitation":"(Tilliette et al., 2022)","noteIndex":0},"citationItems":[{"id":819,"uris":["http://zotero.org/users/local/01lnVYoF/items/YIPANZYN"],"itemData":{"id":819,"type":"article-journal","container-title":"Global Biogeochemical Cycles","DOI":"10.1029/2022GB007363","ISSN":"0886-6236, 1944-9224","journalAbbreviation":"Global Biogeochemical Cycles","language":"en","source":"DOI.org (Crossref)","title":"Dissolved iron patterns impacted by shallow hydrothermal sources along a transect through the Tonga‐Kermadec arc","URL":"https://onlinelibrary.wiley.com/doi/10.1029/2022GB007363","author":[{"family":"Tilliette","given":"Chloé"},{"family":"Taillandier","given":"Vincent"},{"family":"Bouruet‐Aubertot","given":"Pascale"},{"family":"Grima","given":"Nicolas"},{"family":"Maes","given":"Christophe"},{"family":"Montanes","given":"Maryline"},{"family":"Sarthou","given":"Géraldine"},{"family":"Vorrath","given":"Maria-Elena"},{"family":"Arnone","given":"Veronica"},{"family":"Bressac","given":"Matthieu"},{"family":"González‐Santana","given":"David"},{"family":"Gazeau","given":"Frédéric"},{"family":"Guieu","given":"Cécile"}],"accessed":{"date-parts":[["2022",7,4]]},"issued":{"date-parts":[["2022",7,4]]}}}],"schema":"https://github.com/citation-style-language/schema/raw/master/csl-citation.json"} </w:instrText>
      </w:r>
      <w:r>
        <w:fldChar w:fldCharType="separate"/>
      </w:r>
      <w:r w:rsidRPr="00EA3E58">
        <w:t>(Tilliette et al., 2022)</w:t>
      </w:r>
      <w:r>
        <w:fldChar w:fldCharType="end"/>
      </w:r>
      <w:r>
        <w:t>. Consistently, Cu</w:t>
      </w:r>
      <w:r>
        <w:rPr>
          <w:vertAlign w:val="subscript"/>
        </w:rPr>
        <w:t>EF</w:t>
      </w:r>
      <w:r>
        <w:t>, Zn</w:t>
      </w:r>
      <w:r>
        <w:rPr>
          <w:vertAlign w:val="subscript"/>
        </w:rPr>
        <w:t>EF</w:t>
      </w:r>
      <w:r>
        <w:t xml:space="preserve"> and Ni</w:t>
      </w:r>
      <w:r>
        <w:rPr>
          <w:vertAlign w:val="subscript"/>
        </w:rPr>
        <w:t>EF</w:t>
      </w:r>
      <w:r>
        <w:t xml:space="preserve"> were detected in the trap (x18, 37 and 7, respectively; </w:t>
      </w:r>
      <w:r w:rsidRPr="00E34A06">
        <w:rPr>
          <w:i/>
          <w:iCs/>
        </w:rPr>
        <w:t>Table 2</w:t>
      </w:r>
      <w:r>
        <w:t xml:space="preserve">), compared to reference pelagic clays. It should be noted that biological (intracellular) inputs through organic matter (~41 wt.%) must contribute in part to these high enrichments </w:t>
      </w:r>
      <w:r w:rsidR="002C614B">
        <w:rPr>
          <w:color w:val="000000"/>
        </w:rPr>
        <w:t xml:space="preserve">relative to reference pelagic clays, </w:t>
      </w:r>
      <w:r>
        <w:t>since some metals, notably Zn, are highly abundant in phytoplankton ([C</w:t>
      </w:r>
      <w:r w:rsidRPr="00DA218C">
        <w:rPr>
          <w:vertAlign w:val="subscript"/>
        </w:rPr>
        <w:t>1</w:t>
      </w:r>
      <w:r>
        <w:rPr>
          <w:vertAlign w:val="subscript"/>
        </w:rPr>
        <w:t>06</w:t>
      </w:r>
      <w:r>
        <w:t>N</w:t>
      </w:r>
      <w:r w:rsidRPr="00DA218C">
        <w:rPr>
          <w:vertAlign w:val="subscript"/>
        </w:rPr>
        <w:t>16</w:t>
      </w:r>
      <w:r>
        <w:t>P</w:t>
      </w:r>
      <w:r w:rsidRPr="00DA218C">
        <w:rPr>
          <w:vertAlign w:val="subscript"/>
        </w:rPr>
        <w:t>1</w:t>
      </w:r>
      <w:r w:rsidRPr="00AD17D0">
        <w:t>]</w:t>
      </w:r>
      <w:r>
        <w:rPr>
          <w:vertAlign w:val="subscript"/>
        </w:rPr>
        <w:t>1000</w:t>
      </w:r>
      <w:r>
        <w:t>Fe</w:t>
      </w:r>
      <w:r>
        <w:rPr>
          <w:vertAlign w:val="subscript"/>
        </w:rPr>
        <w:t>11.9</w:t>
      </w:r>
      <w:r>
        <w:t>Zn</w:t>
      </w:r>
      <w:r>
        <w:rPr>
          <w:vertAlign w:val="subscript"/>
        </w:rPr>
        <w:t>1.27</w:t>
      </w:r>
      <w:r>
        <w:t>Cu</w:t>
      </w:r>
      <w:r>
        <w:rPr>
          <w:vertAlign w:val="subscript"/>
        </w:rPr>
        <w:t>0.15</w:t>
      </w:r>
      <w:r>
        <w:t xml:space="preserve">; </w:t>
      </w:r>
      <w:r>
        <w:fldChar w:fldCharType="begin"/>
      </w:r>
      <w:r>
        <w:instrText xml:space="preserve"> ADDIN ZOTERO_ITEM CSL_CITATION {"citationID":"T8zudIC4","properties":{"formattedCitation":"(Ho et al., 2003; Redfield et al., 1963; Zhang et al., 2018)","plainCitation":"(Ho et al., 2003; Redfield et al., 1963; Zhang et al., 2018)","dontUpdate":true,"noteIndex":0},"citationItems":[{"id":1146,"uris":["http://zotero.org/users/local/01lnVYoF/items/UBSEVKBF"],"itemData":{"id":1146,"type":"article-journal","abstract":"We analyzed the cellular content of C, N, P, S, K, Mg, Ca, Sr, Fe, Mn, Zn, Cu, Co, Cd, and Mo in 15 marine eukaryotic phytoplankton species in culture representing the major marine phyla. All the organisms were grown under identical culture conditions, in a medium designed to allow rapid growth while minimizing precipitation of iron hydroxide. The cellular concentrations of all metals, phosphorus, and sulfur were determined by high-resolution inductively coupled plasma mass spectrometry (HR-ICPMS) and those of carbon and nitrogen by a carbon hydrogen nitrogen analyzer. Accuracy of the HR-ICPMS method was validated by comparison with data obtained with 55Fe radioactive tracer and by a planktonic reference material. The cellular quotas (normalized to P) of trace metals and major cations in the biomass varied by a factor of about 20 among species (except for Cd, which varied over two orders of magnitude) compared with factors of 5 to 10 for major nutrients. Green algae had generally higher C, N, Fe, Zn, and Cu quotas and lower S, K, Ca, Sr, Mn, Co, and Cd quotas than coccolithophores and diatoms. Co and Cd quotas were also lower in diatoms than in coccolithophores. Although trace element quotas are influenced by a variety of growth conditions, a comparison of our results with published data suggests that the measured compositions reflect chiefly the intrinsic (i.e. genetically encoded) trace element physiology of the individual species. Published field data on the composition of the planktonic biomass fall within the range of laboratory values and are generally close to the approximate extended Redfield formula given by the average stoichiometry of our model species (excluding the hard parts): While clearly this elemental stoichiometry varies between species and, potentially, in response to changes in the chemistry of seawater, it provides a basis for examining how phytoplankton influence the relative distributions of the ensemble of major and trace elements in the ocean.","container-title":"Journal of Phycology","DOI":"10.1111/j.0022-3646.2003.03-090.x","ISSN":"1529-8817","issue":"6","language":"en","note":"_eprint: https://onlinelibrary.wiley.com/doi/pdf/10.1111/j.0022-3646.2003.03-090.x","page":"1145-1159","source":"Wiley Online Library","title":"The Elemental Composition of Some Marine Phytoplankton","volume":"39","author":[{"family":"Ho","given":"Tung-Yuan"},{"family":"Quigg","given":"Antonietta"},{"family":"Finkel","given":"Zoe V."},{"family":"Milligan","given":"Allen J."},{"family":"Wyman","given":"Kevin"},{"family":"Falkowski","given":"Paul G."},{"family":"Morel","given":"François M. M."}],"issued":{"date-parts":[["2003"]]}}},{"id":258,"uris":["http://zotero.org/users/local/01lnVYoF/items/RB9C3PFQ"],"itemData":{"id":258,"type":"chapter","collection-title":"The Sea","container-title":"The composition of seawater: Comparative and descriptive oceanography","ISBN":"978-0-674-01728-3","page":"26-77","publisher":"Interscience Publishers: New York","title":"The influence of organisms on the composition of sea-water","volume":"2","author":[{"family":"Redfield","given":"A. C."},{"family":"Ketchum","given":"B. H."},{"family":"Richards","given":"F. A."}],"issued":{"date-parts":[["1963"]]}}},{"id":1704,"uris":["http://zotero.org/users/local/01lnVYoF/items/66EILURU"],"itemData":{"id":1704,"type":"article-journal","abstract":"Based on our novel ICP-MS method, we find that the metalloproteins are a better indicator of metal requirements of phytoplankton compared with whole cell metal quotas.\n          , \n            \n              The quotas of a limited number of trace elements in the extended Redfield ratios have been determined before and thought to reflect the requirements of phytoplankton. However, these quotas are found to be quite variable under different environmental conditions, suggesting that the cellular trace metal quota is not an accurate measure of cellular trace metal requirement. Here we present a method that has been developed and optimised for direct analysis of 32 elements simultaneously in small volume of cell lysate in buffers with a high salt matrix (800 μL, up to 30% TDS). We then demonstrate the application of the method to resolve the extended Redfield ratio of cell requirement by measuring the intracellular trace element composition of six\n              Emiliania huxleyi\n              strains isolated from different locations. The method uses a quadrupole-ICP-MS with a collision/reaction cell to resolve polyatomic interferences. The ICP-MS is interfaced with an Elemental Scientific Flow Injection Automation System (FIAS). The accuracy of the analysis according to this new method is verified by measuring 2 certified reference materials, BCR 273 and BCR 414. This work presents a number of running parameters, optimised for multi-element analysis of samples with a high TDS sample matrix. This method allows direct measurement of protein samples in their native state: no alteration or digestion is needed, which simplifies the steps for sample preparation. In this study with 6\n              E. huxleyi\n              strains isolated from the environment, our method reveals significant differences between whole cell and intracellular metal quotas for all strains. The intracellular metal composition, interpreted as a truer representation of organisms' metal requirements, shows an environmentally dependent signal. This suggests that, compared with whole cell metal quotas, the metalloproteins are a better indicator of metal requirements of phytoplankton under various environmental conditions.","container-title":"Journal of Analytical Atomic Spectrometry","DOI":"10.1039/C8JA00031J","ISSN":"0267-9477, 1364-5544","issue":"7","journalAbbreviation":"J. Anal. At. Spectrom.","language":"en","page":"1196-1208","source":"DOI.org (Crossref)","title":"Direct measurement of multi-elements in high matrix samples with a flow injection ICP-MS: application to the extended &lt;i&gt;Emiliania huxleyi&lt;/i&gt; Redfield ratio","title-short":"Direct measurement of multi-elements in high matrix samples with a flow injection ICP-MS","volume":"33","author":[{"family":"Zhang","given":"Qiong"},{"family":"Snow","given":"Joseph T."},{"family":"Holdship","given":"Phil"},{"family":"Price","given":"David"},{"family":"Watson","given":"Paul"},{"family":"Rickaby","given":"Rosalind E. M."}],"issued":{"date-parts":[["2018"]]}}}],"schema":"https://github.com/citation-style-language/schema/raw/master/csl-citation.json"} </w:instrText>
      </w:r>
      <w:r>
        <w:fldChar w:fldCharType="separate"/>
      </w:r>
      <w:r w:rsidRPr="00CB4B8A">
        <w:t>Ho et al., 2003; Redfield et al., 1963; Zhang et al., 2018)</w:t>
      </w:r>
      <w:r>
        <w:fldChar w:fldCharType="end"/>
      </w:r>
      <w:r w:rsidRPr="00CB4B8A">
        <w:t xml:space="preserve">. </w:t>
      </w:r>
      <w:r>
        <w:rPr>
          <w:color w:val="000000"/>
        </w:rPr>
        <w:t xml:space="preserve">However, based on these elemental ratios, the biological fraction would represent only a small part of the total Zn concentration (~3%). </w:t>
      </w:r>
      <w:r w:rsidRPr="00596C59">
        <w:t xml:space="preserve">At 1000 m, </w:t>
      </w:r>
      <w:r>
        <w:rPr>
          <w:color w:val="000000"/>
        </w:rPr>
        <w:t>a Boström index typical of conventional detrital material was measured (</w:t>
      </w:r>
      <w:r w:rsidRPr="00717D5A">
        <w:rPr>
          <w:i/>
          <w:iCs/>
          <w:color w:val="000000"/>
        </w:rPr>
        <w:t>Table 3</w:t>
      </w:r>
      <w:r>
        <w:rPr>
          <w:color w:val="000000"/>
        </w:rPr>
        <w:t>)</w:t>
      </w:r>
      <w:r w:rsidR="00924144">
        <w:rPr>
          <w:color w:val="000000"/>
        </w:rPr>
        <w:t xml:space="preserve">, although </w:t>
      </w:r>
      <w:r w:rsidR="002C614B">
        <w:rPr>
          <w:color w:val="000000"/>
        </w:rPr>
        <w:t>the Al-Fe-Mn signature of the collected material seems to differ from that of the reference pelagic clays (</w:t>
      </w:r>
      <w:r w:rsidR="002C614B">
        <w:rPr>
          <w:i/>
          <w:iCs/>
          <w:color w:val="000000"/>
        </w:rPr>
        <w:t xml:space="preserve">Fig. </w:t>
      </w:r>
      <w:r w:rsidR="00853C2F">
        <w:rPr>
          <w:i/>
          <w:iCs/>
          <w:color w:val="000000"/>
        </w:rPr>
        <w:t>5</w:t>
      </w:r>
      <w:r w:rsidR="002C614B">
        <w:rPr>
          <w:i/>
          <w:iCs/>
          <w:color w:val="000000"/>
        </w:rPr>
        <w:t>b</w:t>
      </w:r>
      <w:r w:rsidR="002C614B">
        <w:rPr>
          <w:color w:val="000000"/>
        </w:rPr>
        <w:t xml:space="preserve">). </w:t>
      </w:r>
      <w:r w:rsidR="00924144">
        <w:rPr>
          <w:color w:val="000000"/>
        </w:rPr>
        <w:t xml:space="preserve">Yet, station 10 is located close to the Late’iki submarine volcano, which </w:t>
      </w:r>
      <w:r w:rsidR="00A35892">
        <w:rPr>
          <w:color w:val="000000"/>
        </w:rPr>
        <w:t xml:space="preserve">was </w:t>
      </w:r>
      <w:r w:rsidR="00924144">
        <w:rPr>
          <w:color w:val="000000"/>
        </w:rPr>
        <w:t>erupted a month prior to the cruise. This surtseyan eruption created a new island, baptized New Late'iki, which eroded in just two months. This erosion released a large amount of volcanic material into the</w:t>
      </w:r>
      <w:r w:rsidR="00D55F82">
        <w:rPr>
          <w:color w:val="000000"/>
        </w:rPr>
        <w:t xml:space="preserve"> </w:t>
      </w:r>
      <w:r w:rsidR="00924144">
        <w:rPr>
          <w:color w:val="000000"/>
        </w:rPr>
        <w:t xml:space="preserve">water column, which was detectable until </w:t>
      </w:r>
      <w:r w:rsidR="00A5530F">
        <w:rPr>
          <w:color w:val="000000"/>
        </w:rPr>
        <w:t>December</w:t>
      </w:r>
      <w:r w:rsidR="00924144">
        <w:rPr>
          <w:color w:val="000000"/>
        </w:rPr>
        <w:t xml:space="preserve"> 2020 </w:t>
      </w:r>
      <w:r w:rsidR="00924144">
        <w:rPr>
          <w:color w:val="000000"/>
        </w:rPr>
        <w:fldChar w:fldCharType="begin"/>
      </w:r>
      <w:r w:rsidR="00924144">
        <w:rPr>
          <w:color w:val="000000"/>
        </w:rPr>
        <w:instrText xml:space="preserve"> ADDIN ZOTERO_ITEM CSL_CITATION {"citationID":"jL0r2JXq","properties":{"formattedCitation":"(Plank et al., 2020)","plainCitation":"(Plank et al., 2020)","noteIndex":0},"citationItems":[{"id":276,"uris":["http://zotero.org/users/local/01lnVYoF/items/53CVV8G3"],"itemData":{"id":276,"type":"article-journal","abstract":"Abstract\n            Satellite-based Earth observation plays a key role for monitoring volcanoes, especially those which are located in remote areas and which very often are not observed by a terrestrial monitoring network. In our study we jointly analyzed data from thermal (Moderate Resolution Imaging Spectrometer MODIS and Visible Infrared Imaging Radiometer Suite VIIRS), optical (Operational Land Imager and Multispectral Instrument) and synthetic aperture radar (SAR) (Sentinel-1 and TerraSAR-X) satellite sensors to investigate the mid-October 2019 surtseyan eruption at Late’iki Volcano, located on the Tonga Volcanic Arc. During the eruption, the remains of an older volcanic island formed in 1995 collapsed and a new volcanic island, called New Late’iki was formed. After the 12 days long lasting eruption, we observed a rapid change of the island’s shape and size, and an erosion of this newly formed volcanic island, which was reclaimed by the ocean two months after the eruption ceased. This fast erosion of New Late’iki Island is in strong contrast to the over 25 years long survival of the volcanic island formed in 1995.","container-title":"Scientific Reports","DOI":"10.1038/s41598-020-79261-7","ISSN":"2045-2322","issue":"1","journalAbbreviation":"Sci Rep","language":"en","page":"22293","source":"DOI.org (Crossref)","title":"The short life of the volcanic island New Late’iki (Tonga) analyzed by multi-sensor remote sensing data","volume":"10","author":[{"family":"Plank","given":"Simon"},{"family":"Marchese","given":"Francesco"},{"family":"Genzano","given":"Nicola"},{"family":"Nolde","given":"Michael"},{"family":"Martinis","given":"Sandro"}],"issued":{"date-parts":[["2020",12]]}}}],"schema":"https://github.com/citation-style-language/schema/raw/master/csl-citation.json"} </w:instrText>
      </w:r>
      <w:r w:rsidR="00924144">
        <w:rPr>
          <w:color w:val="000000"/>
        </w:rPr>
        <w:fldChar w:fldCharType="separate"/>
      </w:r>
      <w:r w:rsidR="00924144" w:rsidRPr="00924144">
        <w:t>(Plank et al., 2020)</w:t>
      </w:r>
      <w:r w:rsidR="00924144">
        <w:rPr>
          <w:color w:val="000000"/>
        </w:rPr>
        <w:fldChar w:fldCharType="end"/>
      </w:r>
      <w:r w:rsidR="00924144">
        <w:rPr>
          <w:color w:val="000000"/>
        </w:rPr>
        <w:t>. Accordingly,</w:t>
      </w:r>
      <w:r>
        <w:t xml:space="preserve"> a huge abundance of basaltic glass, likely from this eruption, </w:t>
      </w:r>
      <w:r w:rsidRPr="00522F7D">
        <w:t xml:space="preserve">was collected in </w:t>
      </w:r>
      <w:r w:rsidR="00924144">
        <w:t>the 1000 m-trap deployed at this station</w:t>
      </w:r>
      <w:r w:rsidRPr="00522F7D">
        <w:t xml:space="preserve"> (</w:t>
      </w:r>
      <w:r w:rsidRPr="00522F7D">
        <w:rPr>
          <w:i/>
          <w:iCs/>
        </w:rPr>
        <w:t xml:space="preserve">Fig. </w:t>
      </w:r>
      <w:r w:rsidR="00853C2F">
        <w:rPr>
          <w:i/>
          <w:iCs/>
        </w:rPr>
        <w:t>6</w:t>
      </w:r>
      <w:r w:rsidRPr="00522F7D">
        <w:t>),</w:t>
      </w:r>
      <w:r>
        <w:rPr>
          <w:color w:val="000000"/>
        </w:rPr>
        <w:t xml:space="preserve"> the quantity of lithogenic material being impressive </w:t>
      </w:r>
      <w:r w:rsidRPr="00522F7D">
        <w:t>(196 ± 74</w:t>
      </w:r>
      <w:r>
        <w:t xml:space="preserve"> mg d</w:t>
      </w:r>
      <w:r w:rsidRPr="00522F7D">
        <w:rPr>
          <w:vertAlign w:val="superscript"/>
        </w:rPr>
        <w:t>-1</w:t>
      </w:r>
      <w:r>
        <w:t xml:space="preserve">; </w:t>
      </w:r>
      <w:r w:rsidRPr="00AE3520">
        <w:rPr>
          <w:i/>
          <w:iCs/>
        </w:rPr>
        <w:t>Fig. 2c</w:t>
      </w:r>
      <w:r>
        <w:t xml:space="preserve">). </w:t>
      </w:r>
      <w:r w:rsidR="00A35892">
        <w:rPr>
          <w:color w:val="000000"/>
        </w:rPr>
        <w:t>Indeed, the angular shape of this volcanic material indicates its recent origin and freshness rather than remobilized volcanic particles, which would display more rounded angles</w:t>
      </w:r>
      <w:r w:rsidR="001F6F64">
        <w:rPr>
          <w:color w:val="000000"/>
        </w:rPr>
        <w:t xml:space="preserve">. </w:t>
      </w:r>
      <w:r w:rsidR="00A35892">
        <w:rPr>
          <w:color w:val="000000"/>
        </w:rPr>
        <w:t xml:space="preserve">The higher Boström index at 1000 m (~40 to 66; </w:t>
      </w:r>
      <w:r w:rsidR="00A35892">
        <w:rPr>
          <w:i/>
          <w:iCs/>
          <w:color w:val="000000"/>
        </w:rPr>
        <w:t>Table 3</w:t>
      </w:r>
      <w:r w:rsidR="00A35892">
        <w:rPr>
          <w:color w:val="000000"/>
        </w:rPr>
        <w:t xml:space="preserve">) </w:t>
      </w:r>
      <w:r w:rsidR="001F6F64">
        <w:rPr>
          <w:color w:val="000000"/>
        </w:rPr>
        <w:t>can therefore be attributed to the predominance of volcanic-derived particles,</w:t>
      </w:r>
      <w:r>
        <w:rPr>
          <w:color w:val="000000"/>
        </w:rPr>
        <w:t xml:space="preserve"> a material reported as Mn-poor but Fe and Al-rich</w:t>
      </w:r>
      <w:r>
        <w:t xml:space="preserve"> </w:t>
      </w:r>
      <w:r>
        <w:fldChar w:fldCharType="begin"/>
      </w:r>
      <w:r>
        <w:instrText xml:space="preserve"> ADDIN ZOTERO_ITEM CSL_CITATION {"citationID":"1tb1CkdB","properties":{"formattedCitation":"(Almir\\uc0\\u243{}n et al., 2021; Fiantis et al., 2010; Leonelli et al., 2007; Naji and Asi, 2008; Oskarasson, 2010; Razzhigaeva et al., 2009; Tchakoute Kouamo et al., 2012)","plainCitation":"(Almirón et al., 2021; Fiantis et al., 2010; Leonelli et al., 2007; Naji and Asi, 2008; Oskarasson, 2010; Razzhigaeva et al., 2009; Tchakoute Kouamo et al., 2012)","dontUpdate":true,"noteIndex":0},"citationItems":[{"id":1329,"uris":["http://zotero.org/users/local/01lnVYoF/items/2LSSW4S4"],"itemData":{"id":1329,"type":"article-journal","abstract":"In this research, the influence of natural zeolites obtained from the volcanic ash of the Ubinas volcano has been studied as synergistic agents in a flame-retardant system (composed of ammonium polyphosphate, pentaerythritol, and polypropylene). Four zeolites were synthesized from volcanic ash, including those that had been calcined and those that had not. These were then placed in an alkaline solution at three synthesis temperatures. Zeolites were characterized through X-ray diffraction, specific surface area by nitrogen adsorption analysis (Brunauer–Emmett–Teller) and scanning electron microscopy. Polypropylene matrix composites were prepared with ammonium polyphosphate, pentaerythritol and zeolites at 1, 5 and 9%. Its thermal stability and fire resistance were evaluated by thermogravimetric analysis, limiting oxygen index, vertical burning test and cone calorimeter and its morphological structure by scanning electron microscopy. It was determined that the synthesis temperature and the use of calcined and without calcined volcanic ash have an influence on the characteristics of the zeolites and on its synergistic action.","container-title":"Buildings","DOI":"10.3390/buildings12010024","ISSN":"2075-5309","issue":"1","journalAbbreviation":"Buildings","language":"en","page":"24","source":"DOI.org (Crossref)","title":"Influence of the Process of Synthesis of Zeolites from Volcanic Ash in Its Synergistic Action as a Flame-Retardant for Polypropylene Composites","volume":"12","author":[{"family":"Almirón","given":"Jonathan"},{"family":"Vargas","given":"María"},{"family":"Tupayachy-Quispe","given":"Danny"},{"family":"Duquesne","given":"Sophie"},{"family":"Roudet","given":"Francine"},{"family":"Silva-Vela","given":"Alejandro"}],"issued":{"date-parts":[["2021",12,30]]}}},{"id":1332,"uris":["http://zotero.org/users/local/01lnVYoF/items/3NKHC6IZ"],"itemData":{"id":1332,"type":"article-journal","container-title":"Eurasian Soil Science","DOI":"10.1134/S1064229310130077","ISSN":"1064-2293, 1556-195X","issue":"13","journalAbbreviation":"Eurasian Soil Sc.","language":"en","page":"1477-1485","source":"DOI.org (Crossref)","title":"Determination of the geochemical weathering indices and trace elements content of new volcanic ash deposits from Mt. Talang (West Sumatra) Indonesia","volume":"43","author":[{"family":"Fiantis","given":"D."},{"family":"Nelson","given":"M."},{"family":"Shamshuddin","given":"J."},{"family":"Goh","given":"T. B."},{"family":"Van Ranst","given":"E."}],"issued":{"date-parts":[["2010",12]]}},"label":"page"},{"id":1331,"uris":["http://zotero.org/users/local/01lnVYoF/items/GQEW57VD"],"itemData":{"id":1331,"type":"article-journal","container-title":"Advances in Applied Ceramics","DOI":"10.1179/174367607X159329","ISSN":"1743-6753, 1743-6761","issue":"3","journalAbbreviation":"Advances in Applied Ceramics","language":"en","page":"135-141","source":"DOI.org (Crossref)","title":"Volcanic ash as alternative raw materials for traditional vitrified ceramic products","volume":"106","author":[{"family":"Leonelli","given":"C."},{"family":"Kamseu","given":"E."},{"family":"Boccaccini","given":"D. N."},{"family":"Melo","given":"U. C."},{"family":"Rizzuti","given":"A."},{"family":"Billong","given":"N."},{"family":"Miselli","given":"P."}],"issued":{"date-parts":[["2007",6]]}},"label":"page"},{"id":1327,"uris":["http://zotero.org/users/local/01lnVYoF/items/KUDKBES6"],"itemData":{"id":1327,"type":"article-journal","container-title":"Journal of Materials in Civil Engineering","DOI":"10.1061/(ASCE)0899-1561(2008)20:12(754)","ISSN":"0899-1561, 1943-5533","issue":"12","journalAbbreviation":"J. Mater. Civ. Eng.","language":"en","page":"754-761","source":"DOI.org (Crossref)","title":"Performance Evaluation of Asphalt Concrete Mixes Containing Granular Volcanic Ash","volume":"20","author":[{"family":"Naji","given":"Jamil A."},{"family":"Asi","given":"Ibrahim M."}],"issued":{"date-parts":[["2008",12]]}},"label":"page"},{"id":1336,"uris":["http://zotero.org/users/local/01lnVYoF/items/2HEQTNU2"],"itemData":{"id":1336,"type":"speech","event-place":"Institute of Earth Sciences","publisher-place":"Institute of Earth Sciences","title":"Chemical analysis of rocks from the Eyjafjallajökull 2010 eruptions","URL":"https://earthice.hi.is/eyjafjallajokull_2010_chemical_composition","author":[{"family":"Oskarasson","given":"Niels"}],"accessed":{"date-parts":[["2022",9,20]]},"issued":{"date-parts":[["2010"]]}},"label":"page"},{"id":1328,"uris":["http://zotero.org/users/local/01lnVYoF/items/EX5NBPCV"],"itemData":{"id":1328,"type":"article-journal","container-title":"Russian Journal of Pacific Geology","DOI":"10.1134/S1819714009060050","ISSN":"1819-7140, 1819-7159","issue":"6","journalAbbreviation":"Russ. J. of Pac. Ge</w:instrText>
      </w:r>
      <w:r w:rsidRPr="00BB0AB1">
        <w:rPr>
          <w:lang w:val="fr-FR"/>
        </w:rPr>
        <w:instrText xml:space="preserve">ol.","language":"en","page":"570-584","source":"DOI.org (Crossref)","title":"The peat bog of Ketoi Island: The Middle-Upper Holocene reference section of the Central Kuriles","title-short":"The peat bog of Ketoi Island","volume":"3","author":[{"family":"Razzhigaeva","given":"N. G."},{"family":"Ganzei","given":"L. A."},{"family":"Grebennikova","given":"T. A."},{"family":"Mokhova","given":"L. M."},{"family":"Kopoteva","given":"T. A."},{"family":"Rybin","given":"A. V."},{"family":"Kharlamov","given":"A. A."}],"issued":{"date-parts":[["2009",12]]}}},{"id":1326,"uris":["http://zotero.org/users/local/01lnVYoF/items/7TNUZIUA"],"itemData":{"id":1326,"type":"article-journal","container-title":"Construction and Building Materials","DOI":"10.1016/j.conbuildmat.2012.04.023","ISSN":"09500618","journalAbbreviation":"Construction and Building Materials","language":"en","page":"960-969","source":"DOI.org (Crossref)","title":"The effect of adding alumina-oxide to metakaolin and volcanic ash on geopolymer products: A comparative study","title-short":"The effect of adding alumina-oxide to metakaolin and volcanic ash on geopolymer products","volume":"35","author":[{"family":"Tchakoute Kouamo","given":"H."},{"family":"Elimbi","given":"A."},{"family":"Mbey","given":"J.A."},{"family":"Ngally Sabouang","given":"C.J."},{"family":"Njopwouo","given":"D."}],"issued":{"date-parts":[["2012",10]]}},"label":"page"}],"schema":"https://github.com/citation-style-language/schema/raw/master/csl-citation.json"} </w:instrText>
      </w:r>
      <w:r>
        <w:fldChar w:fldCharType="separate"/>
      </w:r>
      <w:r w:rsidRPr="00BB0AB1">
        <w:rPr>
          <w:lang w:val="fr-FR"/>
        </w:rPr>
        <w:t>(</w:t>
      </w:r>
      <w:r w:rsidRPr="00717D5A">
        <w:rPr>
          <w:i/>
          <w:iCs/>
          <w:lang w:val="fr-FR"/>
        </w:rPr>
        <w:t>Fig</w:t>
      </w:r>
      <w:r w:rsidR="006971E1">
        <w:rPr>
          <w:i/>
          <w:iCs/>
          <w:lang w:val="fr-FR"/>
        </w:rPr>
        <w:t>.</w:t>
      </w:r>
      <w:r w:rsidRPr="00717D5A">
        <w:rPr>
          <w:i/>
          <w:iCs/>
          <w:lang w:val="fr-FR"/>
        </w:rPr>
        <w:t xml:space="preserve"> </w:t>
      </w:r>
      <w:r w:rsidR="006971E1">
        <w:rPr>
          <w:i/>
          <w:iCs/>
          <w:lang w:val="fr-FR"/>
        </w:rPr>
        <w:t>5</w:t>
      </w:r>
      <w:r w:rsidRPr="00717D5A">
        <w:rPr>
          <w:i/>
          <w:iCs/>
          <w:lang w:val="fr-FR"/>
        </w:rPr>
        <w:t>b</w:t>
      </w:r>
      <w:r>
        <w:rPr>
          <w:lang w:val="fr-FR"/>
        </w:rPr>
        <w:t xml:space="preserve">; </w:t>
      </w:r>
      <w:r w:rsidRPr="00BB0AB1">
        <w:rPr>
          <w:lang w:val="fr-FR"/>
        </w:rPr>
        <w:t xml:space="preserve">e.g., Almirón </w:t>
      </w:r>
      <w:r w:rsidRPr="00BB0AB1">
        <w:rPr>
          <w:lang w:val="fr-FR"/>
        </w:rPr>
        <w:lastRenderedPageBreak/>
        <w:t>et al., 2021; Fiantis et al., 2010; Leonelli et al., 2007; Naji and Asi, 2008; Oskarasson, 2010; Razzhigaeva et al., 2009; Tchakoute Kouamo et al., 2012)</w:t>
      </w:r>
      <w:r>
        <w:fldChar w:fldCharType="end"/>
      </w:r>
      <w:r w:rsidRPr="00BB0AB1">
        <w:rPr>
          <w:lang w:val="fr-FR"/>
        </w:rPr>
        <w:t xml:space="preserve">. </w:t>
      </w:r>
      <w:r w:rsidR="001F6F64">
        <w:rPr>
          <w:color w:val="000000"/>
        </w:rPr>
        <w:t xml:space="preserve">It also explains the </w:t>
      </w:r>
      <w:r w:rsidR="00A35892">
        <w:rPr>
          <w:color w:val="000000"/>
        </w:rPr>
        <w:t xml:space="preserve">high </w:t>
      </w:r>
      <w:r w:rsidR="001F6F64">
        <w:rPr>
          <w:color w:val="000000"/>
        </w:rPr>
        <w:t xml:space="preserve">estimated </w:t>
      </w:r>
      <w:r w:rsidR="001F6F64" w:rsidRPr="001F6F64">
        <w:rPr>
          <w:color w:val="000000"/>
        </w:rPr>
        <w:t>LSi</w:t>
      </w:r>
      <w:r w:rsidR="001F6F64" w:rsidRPr="001F6F64">
        <w:rPr>
          <w:color w:val="000000"/>
          <w:vertAlign w:val="subscript"/>
        </w:rPr>
        <w:t xml:space="preserve">EF </w:t>
      </w:r>
      <w:r w:rsidR="001F6F64" w:rsidRPr="001F6F64">
        <w:rPr>
          <w:color w:val="000000"/>
        </w:rPr>
        <w:t>a</w:t>
      </w:r>
      <w:r w:rsidR="001F6F64">
        <w:rPr>
          <w:color w:val="000000"/>
        </w:rPr>
        <w:t xml:space="preserve">t 1000 m (x14 relative to reference pelagic clays) as this element has been reported to be enriched in volcanic material relative to pelagic ones </w:t>
      </w:r>
      <w:r>
        <w:t>(</w:t>
      </w:r>
      <w:r>
        <w:fldChar w:fldCharType="begin"/>
      </w:r>
      <w:r>
        <w:instrText xml:space="preserve"> ADDIN ZOTERO_ITEM CSL_CITATION {"citationID":"sNwVjY4p","properties":{"formattedCitation":"(Li and Schoonmaker, 2003; Sayles and Bischoff, 1973)","plainCitation":"(Li and Schoonmaker, 2003; Sayles and Bischoff, 1973)","dontUpdate":true,"noteIndex":0},"citationItems":[{"id":838,"uris":["http://zotero.org/users/local/01lnVYoF/items/P87ZQSZA"],"itemData":{"id":838,"type":"chapter","container-title":"Treatise on Geochemistry","ISBN":"978-0-08-043751-4","language":"en","note":"DOI: 10.1016/B0-08-043751-6/07088-2","page":"1-35","publisher":"Elsevier","source":"DOI.org (Crossref)","title":"Chemical Composition and Mineralogy of Marine Sediments","URL":"https://linkinghub.elsevier.com/retrieve/pii/B0080437516070882","author":[{"family":"Li","given":"Y.-H."},{"family":"Schoonmaker","given":"J.E."}],"accessed":{"date-parts":[["2022",7,11]]},"issued":{"date-parts":[["2003"]]}}},{"id":877,"uris":["http://zotero.org/users/local/01lnVYoF/items/XZK9B48G"],"itemData":{"id":877,"type":"article-journal","container-title":"Earth and Planetary Science Letters","DOI":"10.1016/0012-821X(73)90083-6","ISSN":"0012821X","issue":"3","journalAbbreviation":"Earth and Planetary Science Letters","language":"en","page":"330-336","source":"DOI.org (Crossref)","title":"Ferromanganoan sediments in the equatorial East Pacific","volume":"19","author":[{"family":"Sayles","given":"F.L."},{"family":"Bischoff","given":"James L."}],"issued":{"date-parts":[["1973",7]]}}}],"schema":"https://github.com/citation-style-language/schema/raw/master/csl-citation.json"} </w:instrText>
      </w:r>
      <w:r>
        <w:fldChar w:fldCharType="separate"/>
      </w:r>
      <w:r w:rsidRPr="00AD0CDB">
        <w:t>Li and Schoonmaker, 2003; Sayles and Bischoff, 1973</w:t>
      </w:r>
      <w:r>
        <w:fldChar w:fldCharType="end"/>
      </w:r>
      <w:r>
        <w:t xml:space="preserve">; </w:t>
      </w:r>
      <w:r>
        <w:fldChar w:fldCharType="begin"/>
      </w:r>
      <w:r>
        <w:instrText xml:space="preserve"> ADDIN ZOTERO_ITEM CSL_CITATION {"citationID":"F73B948e","properties":{"formattedCitation":"(Bailey, 1993; Fiantis et al., 2010; Oskarasson, 2010)","plainCitation":"(Bailey, 1993; Fiantis et al., 2010; Oskarasson, 2010)","dontUpdate":true,"noteIndex":0},"citationItems":[{"id":989,"uris":["http://zotero.org/users/local/01lnVYoF/items/H3XN6EN5"],"itemData":{"id":989,"type":"article-journal","container-title":"Journal of the Geological Society","DOI":"10.1144/gsjgs.150.4.0637","ISSN":"0016-7649, 2041-479X","issue":"4","journalAbbreviation":"JGS","language":"en","page":"637-651","source":"DOI.org (Crossref)","title":"Carbonate magmas","volume":"150","author":[{"family":"Bailey","given":"D.K."}],"issued":{"date-parts":[["1993",7]]}}},{"id":1332,"uris":["http://zotero.org/users/local/01lnVYoF/items/3NKHC6IZ"],"itemData":{"id":1332,"type":"article-journal","container-title":"Eurasian Soil Science","DOI":"10.1134/S1064229310130077","ISSN":"1064-2293, 1556-195X","issue":"13","journalAbbreviation":"Eurasian Soil Sc.","language":"en","page":"1477-1485","source":"DOI.org (Crossref)","title":"Determination of the geochemical weathering indices and trace elements content of new volcanic ash deposits from Mt. Talang (West Sumatra) Indonesia","volume":"43","author":[{"family":"Fiantis","given":"D."},{"family":"Nelson","given":"M."},{"family":"Shamshuddin","given":"J."},{"family":"Goh","given":"T. B."},{"family":"Van Ranst","given":"E."}],"issued":{"date-parts":[["2010",12]]}}},{"id":1336,"uris":["http://zotero.org/users/local/01lnVYoF/items/2HEQTNU2"],"itemData":{"id":1336,"type":"speech","event-place":"Institute of Earth Sciences","publisher-place":"Institute of Earth Sciences","title":"Chemical analysis of rocks from the Eyjafjallajökull 2010 eruptions","URL":"https://earthice.hi.is/eyjafjallajokull_2010_chemical_composition","author":[{"family":"Oskarasson","given":"Niels"}],"accessed":{"date-parts":[["2022",9,20]]},"issued":{"date-parts":[["2010"]]}}}],"schema":"https://github.com/citation-style-language/schema/raw/master/csl-citation.json"} </w:instrText>
      </w:r>
      <w:r>
        <w:fldChar w:fldCharType="separate"/>
      </w:r>
      <w:r w:rsidRPr="00AD0CDB">
        <w:t>Bailey, 1993; Fiantis et al., 2010)</w:t>
      </w:r>
      <w:r>
        <w:fldChar w:fldCharType="end"/>
      </w:r>
      <w:r>
        <w:t xml:space="preserve">. </w:t>
      </w:r>
      <w:r w:rsidR="0079162F">
        <w:rPr>
          <w:color w:val="000000"/>
        </w:rPr>
        <w:t xml:space="preserve">Thus, a mixture of volcanic, hydrothermal and detrital material probably prevailed at 1000 m. </w:t>
      </w:r>
      <w:r>
        <w:t xml:space="preserve">In the seafloor sediments, a moderate </w:t>
      </w:r>
      <w:r w:rsidRPr="0079162F">
        <w:t xml:space="preserve">index (45 ± 1 over the whole core; </w:t>
      </w:r>
      <w:r w:rsidRPr="0079162F">
        <w:rPr>
          <w:i/>
          <w:iCs/>
        </w:rPr>
        <w:t>Table 3</w:t>
      </w:r>
      <w:r w:rsidRPr="0079162F">
        <w:t xml:space="preserve">) </w:t>
      </w:r>
      <w:r w:rsidRPr="0079162F">
        <w:rPr>
          <w:color w:val="000000"/>
        </w:rPr>
        <w:t>reflected the presence of metals fed by a rather distal hydrothermal source</w:t>
      </w:r>
      <w:r>
        <w:rPr>
          <w:color w:val="000000"/>
        </w:rPr>
        <w:t xml:space="preserve"> providing high Fe</w:t>
      </w:r>
      <w:r>
        <w:t>, Cu and, to a lesser extent, Mn contents (</w:t>
      </w:r>
      <w:r w:rsidRPr="00717D5A">
        <w:rPr>
          <w:i/>
          <w:iCs/>
        </w:rPr>
        <w:t>Fig</w:t>
      </w:r>
      <w:r w:rsidR="0079162F">
        <w:rPr>
          <w:i/>
          <w:iCs/>
        </w:rPr>
        <w:t>s</w:t>
      </w:r>
      <w:r w:rsidRPr="00717D5A">
        <w:rPr>
          <w:i/>
          <w:iCs/>
        </w:rPr>
        <w:t xml:space="preserve">. </w:t>
      </w:r>
      <w:r w:rsidR="0079162F">
        <w:rPr>
          <w:i/>
          <w:iCs/>
        </w:rPr>
        <w:t xml:space="preserve">3, </w:t>
      </w:r>
      <w:r w:rsidR="006971E1">
        <w:rPr>
          <w:i/>
          <w:iCs/>
        </w:rPr>
        <w:t>5</w:t>
      </w:r>
      <w:r w:rsidRPr="00717D5A">
        <w:rPr>
          <w:i/>
          <w:iCs/>
        </w:rPr>
        <w:t>c</w:t>
      </w:r>
      <w:r>
        <w:t xml:space="preserve">). Indeed, in addition to the near-surface hydrothermal source, deep sources are likely to occur </w:t>
      </w:r>
      <w:r>
        <w:fldChar w:fldCharType="begin"/>
      </w:r>
      <w:r>
        <w:instrText xml:space="preserve"> ADDIN ZOTERO_ITEM CSL_CITATION {"citationID":"1EldgTRZ","properties":{"formattedCitation":"(Tilliette et al., 2022)","plainCitation":"(Tilliette et al., 2022)","noteIndex":0},"citationItems":[{"id":819,"uris":["http://zotero.org/users/local/01lnVYoF/items/YIPANZYN"],"itemData":{"id":819,"type":"article-journal","container-title":"Global Biogeochemical Cycles","DOI":"10.1029/2022GB007363","ISSN":"0886-6236, 1944-9224","journalAbbreviation":"Global Biogeochemical Cycles","language":"en","source":"DOI.org (Crossref)","title":"Dissolved iron patterns impacted by shallow hydrothermal sources along a transect through the Tonga‐Kermadec arc","URL":"https://onlinelibrary.wiley.com/doi/10.1029/2022GB007363","author":[{"family":"Tilliette","given":"Chloé"},{"family":"Taillandier","given":"Vincent"},{"family":"Bouruet‐Aubertot","given":"Pascale"},{"family":"Grima","given":"Nicolas"},{"family":"Maes","given":"Christophe"},{"family":"Montanes","given":"Maryline"},{"family":"Sarthou","given":"Géraldine"},{"family":"Vorrath","given":"Maria-Elena"},{"family":"Arnone","given":"Veronica"},{"family":"Bressac","given":"Matthieu"},{"family":"González‐Santana","given":"David"},{"family":"Gazeau","given":"Frédéric"},{"family":"Guieu","given":"Cécile"}],"accessed":{"date-parts":[["2022",7,4]]},"issued":{"date-parts":[["2022",7,4]]}}}],"schema":"https://github.com/citation-style-language/schema/raw/master/csl-citation.json"} </w:instrText>
      </w:r>
      <w:r>
        <w:fldChar w:fldCharType="separate"/>
      </w:r>
      <w:r w:rsidRPr="0092611F">
        <w:t>(Tilliette et al., 2022)</w:t>
      </w:r>
      <w:r>
        <w:fldChar w:fldCharType="end"/>
      </w:r>
      <w:r>
        <w:t xml:space="preserve"> within a reasonable distance of the station given the particle size (~80 µm), typical of distal transport </w:t>
      </w:r>
      <w:r>
        <w:fldChar w:fldCharType="begin"/>
      </w:r>
      <w:r>
        <w:instrText xml:space="preserve"> ADDIN ZOTERO_ITEM CSL_CITATION {"citationID":"4mjp1oYV","properties":{"formattedCitation":"(Feely et al., 1990, 1987; Lou et al., 2020)","plainCitation":"(Feely et al., 1990, 1987; Lou et al., 2020)","noteIndex":0},"citationItems":[{"id":1023,"uris":["http://zotero.org/users/local/01lnVYoF/items/CP9CUK8X"],"itemData":{"id":1023,"type":"article-journal","container-title":"Journal of Geophysical Research","DOI":"10.1029/JB095iB08p12855","ISSN":"0148-0227","issue":"B8","journalAbbreviation":"J. Geophys. Res.","language":"en","page":"12855","source":"DOI.org (Crossref)","title":"Distribution and composition of hydrothermal plume particles from the ASHES Vent Field at Axial Volcano, Juan de Fuca Ridge","volume":"95","author":[{"family":"Feely","given":"R. A."},{"family":"Geiselman","given":"T. L."},{"family":"Baker","given":"E. T."},{"family":"Massoth","given":"G. J."},{"family":"Hammond","given":"S. R."}],"issued":{"date-parts":[["1990"]]}}},{"id":1769,"uris":["http://zotero.org/users/local/01lnVYoF/items/EVPQQPZE"],"itemData":{"id":1769,"type":"article-journal","container-title":"Journal of Geophysical Research: Solid Earth","DOI":"10.1029/JB092iB11p11347","ISSN":"01480227","issue":"B11","journalAbbreviation":"J. Geophys. Res.","language":"en","page":"11347-11363","source":"DOI.org (Crossref)","title":"Composition and dissolution of black smoker particulates from active vents on the Juan de Fuca Ridge","volume":"92","author":[{"family":"Feely","given":"Richard A."},{"family":"Lewison","given":"Maureen"},{"family":"Massoth","given":"Gary J."},{"family":"Robert-Baldo","given":"Gillian"},{"family":"Lavelle","given":"J. William"},{"family":"Byrne","given":"Robert H."},{"family":"Von Damm","given":"Karen L."},{"family":"Curl","given":"Herbert C."}],"issued":{"date-parts":[["1987",10,10]]}}},{"id":803,"uris":["http://zotero.org/users/local/01lnVYoF/items/HUHKYWF2"],"itemData":{"id":803,"type":"article-journal","container-title":"Geophysical Research Letters","DOI":"10.1029/2020GL089935","ISSN":"0094-8276, 1944-8007","issue":"20","journalAbbreviation":"Geophys. Res. Lett.","language":"en","source":"DOI.org (Crossref)","title":"Transport and Deposition Patterns of Particles Laden by Rising Submarine Hydrothermal Plumes","URL":"https://onlinelibrary.wiley.com/doi/10.1029/2020GL089935","volume":"47","author":[{"family":"Lou","given":"Yingzhong"},{"family":"He","given":"Zhiguo"},{"family":"Han","given":"Xiqiu"}],"accessed":{"date-parts":[["2022",6,29]]},"issued":{"date-parts":[["2020",10,28]]}}}],"schema":"https://github.com/citation-style-language/schema/raw/master/csl-citation.json"} </w:instrText>
      </w:r>
      <w:r>
        <w:fldChar w:fldCharType="separate"/>
      </w:r>
      <w:r w:rsidRPr="00F70573">
        <w:t>(Feely et al., 1990, 1987; Lou et al., 2020)</w:t>
      </w:r>
      <w:r>
        <w:fldChar w:fldCharType="end"/>
      </w:r>
      <w:r>
        <w:t xml:space="preserve">. </w:t>
      </w:r>
      <w:r>
        <w:rPr>
          <w:lang w:eastAsia="en-GB"/>
        </w:rPr>
        <w:t xml:space="preserve">Consistently, estimated sedimentation rates were </w:t>
      </w:r>
      <w:r w:rsidR="00C103E8">
        <w:rPr>
          <w:lang w:eastAsia="en-GB"/>
        </w:rPr>
        <w:t>94-</w:t>
      </w:r>
      <w:r>
        <w:rPr>
          <w:lang w:eastAsia="en-GB"/>
        </w:rPr>
        <w:t>4</w:t>
      </w:r>
      <w:r w:rsidR="00BF4A6D">
        <w:rPr>
          <w:lang w:eastAsia="en-GB"/>
        </w:rPr>
        <w:t>7</w:t>
      </w:r>
      <w:r>
        <w:rPr>
          <w:lang w:eastAsia="en-GB"/>
        </w:rPr>
        <w:t xml:space="preserve">0 times higher than those of pelagic sediments </w:t>
      </w:r>
      <w:r>
        <w:rPr>
          <w:lang w:eastAsia="en-GB"/>
        </w:rPr>
        <w:fldChar w:fldCharType="begin"/>
      </w:r>
      <w:r>
        <w:rPr>
          <w:lang w:eastAsia="en-GB"/>
        </w:rPr>
        <w:instrText xml:space="preserve"> ADDIN ZOTERO_ITEM CSL_CITATION {"citationID":"yIjAf51r","properties":{"formattedCitation":"(Li and Schoonmaker, 2003; Piper, 2005)","plainCitation":"(Li and Schoonmaker, 2003; Piper, 2005)","dontUpdate":true,"noteIndex":0},"citationItems":[{"id":838,"uris":["http://zotero.org/users/local/01lnVYoF/items/P87ZQSZA"],"itemData":{"id":838,"type":"chapter","container-title":"Treatise on Geochemistry","ISBN":"978-0-08-043751-4","language":"en","note":"DOI: 10.1016/B0-08-043751-6/07088-2","page":"1-35","publisher":"Elsevier","source":"DOI.org (Crossref)","title":"Chemical Composition and Mineralogy of Marine Sediments","URL":"https://linkinghub.elsevier.com/retrieve/pii/B0080437516070882","author":[{"family":"Li","given":"Y.-H."},{"family":"Schoonmaker","given":"J.E."}],"accessed":{"date-parts":[["2022",7,11]]},"issued":{"date-parts":[["2003"]]}}},{"id":1038,"uris":["http://zotero.org/users/local/01lnVYoF/items/BRYDZ45S"],"itemData":{"id":1038,"type":"chapter","container-title":"Encyclopedia of Geology","ISBN":"978-0-12-369396-9","language":"en","note":"DOI: 10.1016/B0-12-369396-9/00496-2","page":"641-649","publisher":"Elsevier","source":"DOI.org (Crossref)","title":"SEDIMENTARY PROCESSES | Deep Water Processes and Deposits","URL":"https://linkinghub.elsevier.com/retrieve/pii/B0123693969004962","author":[{"family":"Piper","given":"D.J.W."}],"accessed":{"date-parts":[["2022",8,23]]},"issued":{"date-parts":[["2005"]]}}}],"schema":"https://github.com/citation-style-language/schema/raw/master/csl-citation.json"} </w:instrText>
      </w:r>
      <w:r>
        <w:rPr>
          <w:lang w:eastAsia="en-GB"/>
        </w:rPr>
        <w:fldChar w:fldCharType="separate"/>
      </w:r>
      <w:r>
        <w:t>(</w:t>
      </w:r>
      <w:r w:rsidR="00C103E8" w:rsidRPr="00C103E8">
        <w:rPr>
          <w:color w:val="000000"/>
        </w:rPr>
        <w:t>average 0.1-0.5 mm kyr</w:t>
      </w:r>
      <w:r w:rsidR="00C103E8" w:rsidRPr="00C103E8">
        <w:rPr>
          <w:color w:val="000000"/>
          <w:vertAlign w:val="superscript"/>
        </w:rPr>
        <w:t>-1</w:t>
      </w:r>
      <w:r w:rsidR="00C103E8" w:rsidRPr="00C103E8">
        <w:rPr>
          <w:color w:val="000000"/>
        </w:rPr>
        <w:t>;</w:t>
      </w:r>
      <w:r w:rsidR="00C103E8">
        <w:rPr>
          <w:color w:val="000000"/>
        </w:rPr>
        <w:t xml:space="preserve"> </w:t>
      </w:r>
      <w:r w:rsidRPr="00BF4DF4">
        <w:t>Li and Schoonmaker, 2003; Piper, 2005)</w:t>
      </w:r>
      <w:r>
        <w:rPr>
          <w:lang w:eastAsia="en-GB"/>
        </w:rPr>
        <w:fldChar w:fldCharType="end"/>
      </w:r>
      <w:r w:rsidR="00D55F82">
        <w:rPr>
          <w:lang w:eastAsia="en-GB"/>
        </w:rPr>
        <w:t xml:space="preserve"> and in the range of those measured in coastal areas, continental margins and hydrothermally-influenced areas accumulating to several cm kyr</w:t>
      </w:r>
      <w:r w:rsidR="00D55F82" w:rsidRPr="00946EE2">
        <w:rPr>
          <w:vertAlign w:val="superscript"/>
          <w:lang w:eastAsia="en-GB"/>
        </w:rPr>
        <w:t>-1</w:t>
      </w:r>
      <w:r w:rsidR="00D55F82">
        <w:rPr>
          <w:vertAlign w:val="superscript"/>
          <w:lang w:eastAsia="en-GB"/>
        </w:rPr>
        <w:t xml:space="preserve"> </w:t>
      </w:r>
      <w:r w:rsidR="00D55F82">
        <w:rPr>
          <w:vertAlign w:val="superscript"/>
          <w:lang w:eastAsia="en-GB"/>
        </w:rPr>
        <w:fldChar w:fldCharType="begin"/>
      </w:r>
      <w:r w:rsidR="000F21FD">
        <w:rPr>
          <w:vertAlign w:val="superscript"/>
          <w:lang w:eastAsia="en-GB"/>
        </w:rPr>
        <w:instrText xml:space="preserve"> ADDIN ZOTERO_ITEM CSL_CITATION {"citationID":"aMfWPrA0","properties":{"formattedCitation":"(Cave, 2002; Cave et al., 2002; Dutkiewicz et al., 2016; Mahiques et al., 2011)","plainCitation":"(Cave, 2002; Cave et al., 2002; Dutkiewicz et al., 2016; Mahiques et al., 2011)","noteIndex":0},"citationItems":[{"id":890,"uris":["http://zotero.org/users/local/01lnVYoF/items/7WBCIUVS"],"itemData":{"id":890,"type":"thesis","event-place":"University of Southampton","genre":"PhD Thesis","publisher-place":"University of Southampton","title":"A Geochemical Study of Hydrothermal Signals in Marine Sediments: The Rainbow Hydro thermal Area, 36 degrees on the Mid-Atlantic Ridge","author":[{"family":"Cave","given":"Rachel"}],"issued":{"date-parts":[["2002"]]}}},{"id":1805,"uris":["http://zotero.org/users/local/01lnVYoF/items/PYWYZ2VG"],"itemData":{"id":1805,"type":"article-journal","container-title":"Geochimica et Cosmochimica Acta","DOI":"10.1016/S0016-7037(02)00823-2","ISSN":"00167037","issue":"11","journalAbbreviation":"Geochimica et Cosmochimica Acta","language":"en","page":"1905-1923","source":"DOI.org (Crossref)","title":"Fluxes to sediments underlying the Rainbow hydrothermal plume at 36°14′N on the Mid-Atlantic Ridge","volume":"66","author":[{"family":"Cave","given":"R.R."},{"family":"German","given":"C.R."},{"family":"Thomson","given":"J."},{"family":"Nesbitt","given":"R.W."}],"issued":{"date-parts":[["2002",6]]}}},{"id":1076,"uris":["http://zotero.org/users/local/01lnVYoF/items/M3VW6S8W"],"itemData":{"id":1076,"type":"article-journal","container-title":"Geology","DOI":"10.1130/G38143.1","ISSN":"0091-7613, 1943-2682","issue":"8","journalAbbreviation":"Geology","language":"en","page":"663-666","source":"DOI.org (Crossref)","title":"Vigorous deep-sea currents cause global anomaly in sediment accumulation in the Southern Ocean","volume":"44","author":[{"family":"Dutkiewicz","given":"Adriana"},{"family":"Müller","given":"R. Dietmar"},{"family":"Hogg","given":"Andrew McC."},{"family":"Spence","given":"Paul"}],"issued":{"date-parts":[["2016",8]]}}},{"id":1087,"uris":["http://zotero.org/users/local/01lnVYoF/items/UMYBJJB3"],"itemData":{"id":1087,"type":"article-journal","abstract":"The aim of this work was to generate an inventory of the data on radiocarbon datings obtained from sediments of the São Paulo Bight (southern Brazilian upper margin) and to analyze the data in terms of Late Quaternary sedimentary processes and sedimentation rates. A total of 238 radiocarbon datings from materials collected using differents ampling procedures was considered for this work. The sedimentation rates varied from less than 2 to 68 cm.kyr-1. The highest sedimentation rate values were found in a low-energy (ría type) coastal system as well as in the upwelling zones of Santa Catarina and Cabo Frio. The lowest rates were found on the outer shelf and upper slopes. Our results confirm the strong dependency of the shelf currents, with an emphasis to the terrigenous input from the Río de La Plata outflow which is transported via the Brazilian Coastal Current, as well as of the coupled Brazil Current - Intermediate Western Boundary Current (BC-IWBC) dynamics on the sedimentary processes. At least three indicators ofthe paleo sea level were found at 12200 yr BP (conventional radiocarbon age) (103 meters below sea level - mbsl),8300-8800 cal yr BP (13 mbsl) and 7700-8100 cal yr BP (6 mbsl).\n          , \n            O objetivo deste trabalho foi a geração de um inventário dos dados de datação de radiocarbono obtidos de sedimentos do Embaiamento de São Paulo (Margem Continental Superior do Sul do Brasil) e analisar os dados em termos de processos sedimentares quaternários e taxas de sedimentação. Um total de238 datações ao radiocarbono de materiais coletados com autilização de procedimentos amostrais diferentes foi considerado neste trabalho. As taxas de sedimentação variaram de menor que 2 a 68 cm.kyr-1. As taxas de sedimentação mais altas foram encontradas em um sistema costeiro de baixa energia (tipo ría), bem como nas zonas de ressurgência de Santa Catarina e Cabo Frio.</w:instrText>
      </w:r>
      <w:r w:rsidR="000F21FD" w:rsidRPr="000F21FD">
        <w:rPr>
          <w:vertAlign w:val="superscript"/>
          <w:lang w:val="fr-FR" w:eastAsia="en-GB"/>
        </w:rPr>
        <w:instrText xml:space="preserve"> As taxas mais baixas foram encontradas na plataforma externa e talude superior. Nossos resultados confirmam a forte dependência do sistema de correntes de plataforma, com ênfase no aporte terrígeno oriundo do Rio daPrata, transportado através da Corrente Costeira do Brasil, e da dinâmica da Corrente do Brasil - Corrente de Contorno Intermediária (CB-CCI) nos processos sedimentares. Pelo menostrês indicadores de paleo-níveis marinhos foram encontrados a 12200 anos AP (idade radiocarbônica convencional) (103 metros abaixo do nível do mar atual - manm), 8300-8800 cal anos AP (13 manm) e 7700-8100 cal anos BP (6 manm).","container-title":"Anais da Academia Brasileira de Ciências","DOI":"10.1590/S0001-37652011005000028","ISSN":"1678-2690, 0001-3765","issue":"3","journalAbbreviation":"An. Acad. Bras. Ciênc.","page":"817-834","source":"DOI.org (Crossref)","title":"Radiocarbon geochronology of the sediments of the São Paulo Bight (southern Brazilian upper margin)","volume":"83","author":[{"family":"Mahiques","given":"Michel M."},{"family":"Sousa","given":"Silvia H.M."},{"family":"Burone","given":"Leticia"},{"family":"Nagai","given":"Renata H."},{"family":"Silveira","given":"Ilson C.A."},{"family":"Figueira","given":"Rubens C.L."},{"family":"Soutelino","given":"Rafael G."},{"family":"Ponsoni","given":"Leandro"},{"family":"Klein","given":"Daniel A."}],"issued":{"date-parts":[["2011",7,29]]}}}],"schema":"https://github.com/citation-style-language/schema/raw/master/csl-citation.json"} </w:instrText>
      </w:r>
      <w:r w:rsidR="00D55F82">
        <w:rPr>
          <w:vertAlign w:val="superscript"/>
          <w:lang w:eastAsia="en-GB"/>
        </w:rPr>
        <w:fldChar w:fldCharType="separate"/>
      </w:r>
      <w:r w:rsidR="000F21FD" w:rsidRPr="000F21FD">
        <w:rPr>
          <w:lang w:val="fr-FR"/>
        </w:rPr>
        <w:t>(Cave, 2002; Cave et al., 2002; Dutkiewicz et al., 2016; Mahiques et al., 2011)</w:t>
      </w:r>
      <w:r w:rsidR="00D55F82">
        <w:rPr>
          <w:vertAlign w:val="superscript"/>
          <w:lang w:eastAsia="en-GB"/>
        </w:rPr>
        <w:fldChar w:fldCharType="end"/>
      </w:r>
      <w:r w:rsidR="00D55F82" w:rsidRPr="000F21FD">
        <w:rPr>
          <w:lang w:val="fr-FR" w:eastAsia="en-GB"/>
        </w:rPr>
        <w:t xml:space="preserve">. </w:t>
      </w:r>
      <w:r w:rsidR="00D55F82">
        <w:rPr>
          <w:lang w:eastAsia="en-GB"/>
        </w:rPr>
        <w:t xml:space="preserve">This </w:t>
      </w:r>
      <w:r>
        <w:rPr>
          <w:lang w:eastAsia="en-GB"/>
        </w:rPr>
        <w:t>indicat</w:t>
      </w:r>
      <w:r w:rsidR="00D55F82">
        <w:rPr>
          <w:lang w:eastAsia="en-GB"/>
        </w:rPr>
        <w:t>es</w:t>
      </w:r>
      <w:r>
        <w:rPr>
          <w:lang w:eastAsia="en-GB"/>
        </w:rPr>
        <w:t xml:space="preserve"> a much greater material flux, likely from shallow and deep hydrothermal sources.</w:t>
      </w:r>
      <w:r>
        <w:t xml:space="preserve"> </w:t>
      </w:r>
      <w:r>
        <w:rPr>
          <w:color w:val="000000"/>
        </w:rPr>
        <w:t xml:space="preserve">The volcanic </w:t>
      </w:r>
      <w:r w:rsidR="0079162F">
        <w:rPr>
          <w:color w:val="000000"/>
        </w:rPr>
        <w:t>signature identified</w:t>
      </w:r>
      <w:r>
        <w:rPr>
          <w:color w:val="000000"/>
        </w:rPr>
        <w:t xml:space="preserve"> at 1000 m was recovered at different depths in the sediments of this station</w:t>
      </w:r>
      <w:r>
        <w:t xml:space="preserve">, with </w:t>
      </w:r>
      <w:r w:rsidRPr="009465F7">
        <w:t>LSi</w:t>
      </w:r>
      <w:r>
        <w:rPr>
          <w:vertAlign w:val="subscript"/>
        </w:rPr>
        <w:t>XS</w:t>
      </w:r>
      <w:r>
        <w:t xml:space="preserve"> </w:t>
      </w:r>
      <w:r w:rsidRPr="009465F7">
        <w:t>of</w:t>
      </w:r>
      <w:r>
        <w:t xml:space="preserve"> 6.7 wt.%</w:t>
      </w:r>
      <w:r w:rsidR="0079162F">
        <w:t xml:space="preserve">, </w:t>
      </w:r>
      <w:r w:rsidR="0079162F">
        <w:rPr>
          <w:color w:val="000000"/>
        </w:rPr>
        <w:t xml:space="preserve">but also at station 5 (up to 4.5 wt.% </w:t>
      </w:r>
      <w:r w:rsidR="0079162F" w:rsidRPr="0079162F">
        <w:rPr>
          <w:color w:val="000000"/>
        </w:rPr>
        <w:t>LSi</w:t>
      </w:r>
      <w:r w:rsidR="0079162F" w:rsidRPr="0079162F">
        <w:rPr>
          <w:color w:val="000000"/>
          <w:vertAlign w:val="subscript"/>
        </w:rPr>
        <w:t>XS</w:t>
      </w:r>
      <w:r w:rsidR="0079162F" w:rsidRPr="0079162F">
        <w:rPr>
          <w:color w:val="000000"/>
        </w:rPr>
        <w:t>)</w:t>
      </w:r>
      <w:r>
        <w:t>. This result was not surprising as this volcano is known to have recurrent eruptions since the 18</w:t>
      </w:r>
      <w:r w:rsidRPr="0092611F">
        <w:rPr>
          <w:vertAlign w:val="superscript"/>
        </w:rPr>
        <w:t>th</w:t>
      </w:r>
      <w:r>
        <w:t xml:space="preserve"> century </w:t>
      </w:r>
      <w:r>
        <w:fldChar w:fldCharType="begin"/>
      </w:r>
      <w:r>
        <w:instrText xml:space="preserve"> ADDIN ZOTERO_ITEM CSL_CITATION {"citationID":"umcuAiqU","properties":{"formattedCitation":"(Ewart et al., 1977)","plainCitation":"(Ewart et al., 1977)","noteIndex":0},"citationItems":[{"id":837,"uris":["http://zotero.org/users/local/01lnVYoF/items/WJV3KEYK"],"itemData":{"id":837,"type":"article-journal","container-title":"Journal of Volcanology and Geothermal Research","DOI":"10.1016/0377-0273(77)90001-4","ISSN":"03770273","issue":"3","journalAbbreviation":"Journal of Volcanology and Geothermal Research","language":"en","page":"205-250","source":"DOI.org (Crossref)","title":"An outline of the geology and geochemistry, and the possible petrogenetic evolution of the volcanic rocks of the Tonga-Kermadec-New Zealand island arc","volume":"2","author":[{"family":"Ewart","given":"A."},{"family":"Brothers","given":"R.N."},{"family":"Mateen","given":"A."}],"issued":{"date-parts":[["1977",9]]}}}],"schema":"https://github.com/citation-style-language/schema/raw/master/csl-citation.json"} </w:instrText>
      </w:r>
      <w:r>
        <w:fldChar w:fldCharType="separate"/>
      </w:r>
      <w:r w:rsidRPr="0092611F">
        <w:t>(Ewart et al., 1977)</w:t>
      </w:r>
      <w:r>
        <w:fldChar w:fldCharType="end"/>
      </w:r>
      <w:r>
        <w:t xml:space="preserve">, </w:t>
      </w:r>
      <w:r w:rsidRPr="00050FCC">
        <w:rPr>
          <w:color w:val="000000"/>
          <w:lang w:eastAsia="ja-JP"/>
        </w:rPr>
        <w:t> </w:t>
      </w:r>
      <w:r w:rsidR="0038494D" w:rsidRPr="0038494D">
        <w:rPr>
          <w:color w:val="000000"/>
          <w:lang w:eastAsia="ja-JP"/>
        </w:rPr>
        <w:t>consistent with the LSi</w:t>
      </w:r>
      <w:r w:rsidR="0038494D" w:rsidRPr="0038494D">
        <w:rPr>
          <w:color w:val="000000"/>
          <w:vertAlign w:val="subscript"/>
          <w:lang w:eastAsia="ja-JP"/>
        </w:rPr>
        <w:t>XS</w:t>
      </w:r>
      <w:r w:rsidR="0038494D" w:rsidRPr="0038494D">
        <w:rPr>
          <w:color w:val="000000"/>
          <w:lang w:eastAsia="ja-JP"/>
        </w:rPr>
        <w:t xml:space="preserve"> found in cored sediments at station 10 (depths &gt; 3 cm below the seafloor, corresponding to the 18th century; see </w:t>
      </w:r>
      <w:r w:rsidR="0038494D" w:rsidRPr="0038494D">
        <w:rPr>
          <w:i/>
          <w:iCs/>
          <w:color w:val="000000"/>
          <w:lang w:eastAsia="ja-JP"/>
        </w:rPr>
        <w:t>Table 1</w:t>
      </w:r>
      <w:r w:rsidR="0038494D" w:rsidRPr="0038494D">
        <w:rPr>
          <w:color w:val="000000"/>
          <w:lang w:eastAsia="ja-JP"/>
        </w:rPr>
        <w:t>).</w:t>
      </w:r>
      <w:r w:rsidR="005C2286">
        <w:rPr>
          <w:color w:val="000000"/>
          <w:lang w:eastAsia="ja-JP"/>
        </w:rPr>
        <w:br w:type="page"/>
      </w:r>
    </w:p>
    <w:bookmarkEnd w:id="29"/>
    <w:p w14:paraId="0BA3DCF3" w14:textId="77777777" w:rsidR="00853C2F" w:rsidRPr="00250BDC" w:rsidRDefault="00853C2F" w:rsidP="00853C2F">
      <w:pPr>
        <w:jc w:val="center"/>
        <w:rPr>
          <w:lang w:eastAsia="en-GB"/>
        </w:rPr>
      </w:pPr>
      <w:r>
        <w:rPr>
          <w:noProof/>
          <w:lang w:eastAsia="en-GB"/>
        </w:rPr>
        <w:lastRenderedPageBreak/>
        <w:drawing>
          <wp:inline distT="0" distB="0" distL="0" distR="0" wp14:anchorId="07D8DD7D" wp14:editId="25B5A7EE">
            <wp:extent cx="6208395" cy="3159125"/>
            <wp:effectExtent l="0" t="0" r="1905" b="317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08395" cy="3159125"/>
                    </a:xfrm>
                    <a:prstGeom prst="rect">
                      <a:avLst/>
                    </a:prstGeom>
                  </pic:spPr>
                </pic:pic>
              </a:graphicData>
            </a:graphic>
          </wp:inline>
        </w:drawing>
      </w:r>
    </w:p>
    <w:p w14:paraId="180F3294" w14:textId="4D1BD1F3" w:rsidR="00853C2F" w:rsidRPr="00853C2F" w:rsidRDefault="00853C2F" w:rsidP="00853C2F">
      <w:pPr>
        <w:spacing w:line="360" w:lineRule="auto"/>
        <w:jc w:val="both"/>
        <w:rPr>
          <w:sz w:val="21"/>
          <w:szCs w:val="20"/>
        </w:rPr>
      </w:pPr>
      <w:r w:rsidRPr="00B833A0">
        <w:rPr>
          <w:b/>
          <w:bCs/>
          <w:i/>
          <w:iCs/>
          <w:sz w:val="21"/>
          <w:szCs w:val="20"/>
        </w:rPr>
        <w:t xml:space="preserve">Figure </w:t>
      </w:r>
      <w:r>
        <w:rPr>
          <w:b/>
          <w:bCs/>
          <w:i/>
          <w:iCs/>
          <w:sz w:val="21"/>
          <w:szCs w:val="20"/>
        </w:rPr>
        <w:t>6.</w:t>
      </w:r>
      <w:r w:rsidRPr="00B833A0">
        <w:rPr>
          <w:sz w:val="21"/>
          <w:szCs w:val="20"/>
        </w:rPr>
        <w:t xml:space="preserve"> </w:t>
      </w:r>
      <w:bookmarkStart w:id="30" w:name="_Hlk125562848"/>
      <w:r>
        <w:rPr>
          <w:sz w:val="21"/>
          <w:szCs w:val="20"/>
        </w:rPr>
        <w:t>Scanning electron microscopy views of dry material from samples collected in</w:t>
      </w:r>
      <w:r w:rsidRPr="00B07D59">
        <w:rPr>
          <w:sz w:val="21"/>
          <w:szCs w:val="20"/>
        </w:rPr>
        <w:t xml:space="preserve"> the 1000 m</w:t>
      </w:r>
      <w:r>
        <w:rPr>
          <w:sz w:val="21"/>
          <w:szCs w:val="20"/>
        </w:rPr>
        <w:t>-</w:t>
      </w:r>
      <w:r w:rsidRPr="00B07D59">
        <w:rPr>
          <w:sz w:val="21"/>
          <w:szCs w:val="20"/>
        </w:rPr>
        <w:t>trap at station 1</w:t>
      </w:r>
      <w:r>
        <w:rPr>
          <w:sz w:val="21"/>
          <w:szCs w:val="20"/>
        </w:rPr>
        <w:t xml:space="preserve">0 </w:t>
      </w:r>
      <w:r w:rsidRPr="00B07D59">
        <w:rPr>
          <w:sz w:val="21"/>
          <w:szCs w:val="20"/>
        </w:rPr>
        <w:t xml:space="preserve">where </w:t>
      </w:r>
      <w:r>
        <w:rPr>
          <w:sz w:val="21"/>
          <w:szCs w:val="20"/>
        </w:rPr>
        <w:t>basaltic glass</w:t>
      </w:r>
      <w:r w:rsidRPr="00B07D59">
        <w:rPr>
          <w:sz w:val="21"/>
          <w:szCs w:val="20"/>
        </w:rPr>
        <w:t xml:space="preserve"> was recovered </w:t>
      </w:r>
      <w:r>
        <w:rPr>
          <w:sz w:val="21"/>
          <w:szCs w:val="20"/>
        </w:rPr>
        <w:t xml:space="preserve">(magnification </w:t>
      </w:r>
      <w:r w:rsidRPr="00B07D59">
        <w:rPr>
          <w:b/>
          <w:bCs/>
          <w:sz w:val="21"/>
          <w:szCs w:val="20"/>
        </w:rPr>
        <w:t>(a, b)</w:t>
      </w:r>
      <w:r>
        <w:rPr>
          <w:sz w:val="21"/>
          <w:szCs w:val="20"/>
        </w:rPr>
        <w:t xml:space="preserve">: x2,100 and </w:t>
      </w:r>
      <w:r w:rsidRPr="00B07D59">
        <w:rPr>
          <w:b/>
          <w:bCs/>
          <w:sz w:val="21"/>
          <w:szCs w:val="20"/>
        </w:rPr>
        <w:t>(c)</w:t>
      </w:r>
      <w:r>
        <w:rPr>
          <w:sz w:val="21"/>
          <w:szCs w:val="20"/>
        </w:rPr>
        <w:t>: x12,000).</w:t>
      </w:r>
      <w:bookmarkEnd w:id="30"/>
    </w:p>
    <w:p w14:paraId="62A104BA" w14:textId="5D4F9116" w:rsidR="00DB41D3" w:rsidRPr="00BC641A" w:rsidRDefault="0079162F" w:rsidP="000C128D">
      <w:pPr>
        <w:spacing w:line="480" w:lineRule="auto"/>
        <w:jc w:val="both"/>
      </w:pPr>
      <w:bookmarkStart w:id="31" w:name="_Hlk125563323"/>
      <w:r>
        <w:rPr>
          <w:color w:val="000000"/>
        </w:rPr>
        <w:t>During the TONGA cruise, a shallow hydrothermal source (~200 m) was identified at station 5</w:t>
      </w:r>
      <w:r w:rsidR="000C128D">
        <w:t>. This source was a very active site showing typical acoustic and chemical anomalies such as low pH, low O</w:t>
      </w:r>
      <w:r w:rsidR="000C128D" w:rsidRPr="005E5750">
        <w:rPr>
          <w:vertAlign w:val="subscript"/>
        </w:rPr>
        <w:t>2</w:t>
      </w:r>
      <w:r w:rsidR="000C128D">
        <w:t xml:space="preserve"> concentrations and high levels of DFe, DMn, CH</w:t>
      </w:r>
      <w:r w:rsidR="000C128D" w:rsidRPr="00917ADA">
        <w:rPr>
          <w:vertAlign w:val="subscript"/>
        </w:rPr>
        <w:t>4</w:t>
      </w:r>
      <w:r w:rsidR="000C128D">
        <w:t>, CO</w:t>
      </w:r>
      <w:r w:rsidR="000C128D" w:rsidRPr="00917ADA">
        <w:rPr>
          <w:vertAlign w:val="subscript"/>
        </w:rPr>
        <w:t>2</w:t>
      </w:r>
      <w:r w:rsidR="000C128D">
        <w:t xml:space="preserve"> and H</w:t>
      </w:r>
      <w:r w:rsidR="000C128D" w:rsidRPr="00917ADA">
        <w:rPr>
          <w:vertAlign w:val="subscript"/>
        </w:rPr>
        <w:t>2</w:t>
      </w:r>
      <w:r w:rsidR="000C128D">
        <w:t xml:space="preserve">S </w:t>
      </w:r>
      <w:r w:rsidR="000C128D">
        <w:fldChar w:fldCharType="begin"/>
      </w:r>
      <w:r w:rsidR="000C128D">
        <w:instrText xml:space="preserve"> ADDIN ZOTERO_ITEM CSL_CITATION {"citationID":"Gz1TLePN","properties":{"formattedCitation":"(Tilliette et al., 2022)","plainCitation":"(Tilliette et al., 2022)","noteIndex":0},"citationItems":[{"id":819,"uris":["http://zotero.org/users/local/01lnVYoF/items/YIPANZYN"],"itemData":{"id":819,"type":"article-journal","container-title":"Global Biogeochemical Cycles","DOI":"10.1029/2022GB007363","ISSN":"0886-6236, 1944-9224","journalAbbreviation":"Global Biogeochemical Cycles","language":"en","source":"DOI.org (Crossref)","title":"Dissolved iron patterns impacted by shallow hydrothermal sources along a transect through the Tonga‐Kermadec arc","URL":"https://onlinelibrary.wiley.com/doi/10.1029/2022GB007363","author":[{"family":"Tilliette","given":"Chloé"},{"family":"Taillandier","given":"Vincent"},{"family":"Bouruet‐Aubertot","given":"Pascale"},{"family":"Grima","given":"Nicolas"},{"family":"Maes","given":"Christophe"},{"family":"Montanes","given":"Maryline"},{"family":"Sarthou","given":"Géraldine"},{"family":"Vorrath","given":"Maria-Elena"},{"family":"Arnone","given":"Veronica"},{"family":"Bressac","given":"Matthieu"},{"family":"González‐Santana","given":"David"},{"family":"Gazeau","given":"Frédéric"},{"family":"Guieu","given":"Cécile"}],"accessed":{"date-parts":[["2022",7,4]]},"issued":{"date-parts":[["2022",7,4]]}}}],"schema":"https://github.com/citation-style-language/schema/raw/master/csl-citation.json"} </w:instrText>
      </w:r>
      <w:r w:rsidR="000C128D">
        <w:fldChar w:fldCharType="separate"/>
      </w:r>
      <w:r w:rsidR="000C128D" w:rsidRPr="00917ADA">
        <w:rPr>
          <w:rFonts w:cs="Times New Roman"/>
        </w:rPr>
        <w:t>(Tilliette et al., 2022)</w:t>
      </w:r>
      <w:r w:rsidR="000C128D">
        <w:fldChar w:fldCharType="end"/>
      </w:r>
      <w:r w:rsidR="000C128D">
        <w:t xml:space="preserve">. </w:t>
      </w:r>
      <w:r w:rsidR="00023D1F" w:rsidRPr="00023D1F">
        <w:rPr>
          <w:color w:val="000000"/>
          <w:szCs w:val="24"/>
        </w:rPr>
        <w:t xml:space="preserve">At 1000 m, the collected particles showed a moderate Boström index (50 ± 1; </w:t>
      </w:r>
      <w:r w:rsidR="00023D1F" w:rsidRPr="00023D1F">
        <w:rPr>
          <w:i/>
          <w:iCs/>
          <w:color w:val="000000"/>
          <w:szCs w:val="24"/>
        </w:rPr>
        <w:t>Table 3</w:t>
      </w:r>
      <w:r w:rsidR="00023D1F" w:rsidRPr="00023D1F">
        <w:rPr>
          <w:color w:val="000000"/>
          <w:szCs w:val="24"/>
        </w:rPr>
        <w:t xml:space="preserve">). This mid-range index probably reflects a mixture of </w:t>
      </w:r>
      <w:r w:rsidR="00023D1F" w:rsidRPr="00023D1F">
        <w:rPr>
          <w:b/>
          <w:bCs/>
          <w:color w:val="000000"/>
          <w:szCs w:val="24"/>
        </w:rPr>
        <w:t>(1)</w:t>
      </w:r>
      <w:r w:rsidR="00023D1F" w:rsidRPr="00023D1F">
        <w:rPr>
          <w:color w:val="000000"/>
          <w:szCs w:val="24"/>
        </w:rPr>
        <w:t xml:space="preserve"> hydrothermal material from shallow hydrothermal plumes (~200 m;</w:t>
      </w:r>
      <w:r w:rsidR="00023D1F">
        <w:rPr>
          <w:color w:val="000000"/>
          <w:szCs w:val="24"/>
        </w:rPr>
        <w:t xml:space="preserve"> </w:t>
      </w:r>
      <w:r w:rsidR="00023D1F">
        <w:rPr>
          <w:color w:val="000000"/>
          <w:szCs w:val="24"/>
        </w:rPr>
        <w:fldChar w:fldCharType="begin"/>
      </w:r>
      <w:r w:rsidR="00BF4A6D">
        <w:rPr>
          <w:color w:val="000000"/>
          <w:szCs w:val="24"/>
        </w:rPr>
        <w:instrText xml:space="preserve"> ADDIN ZOTERO_ITEM CSL_CITATION {"citationID":"R6HvJGxW","properties":{"formattedCitation":"(Tilliette et al., 2022)","plainCitation":"(Tilliette et al., 2022)","dontUpdate":true,"noteIndex":0},"citationItems":[{"id":819,"uris":["http://zotero.org/users/local/01lnVYoF/items/YIPANZYN"],"itemData":{"id":819,"type":"article-journal","container-title":"Global Biogeochemical Cycles","DOI":"10.1029/2022GB007363","ISSN":"0886-6236, 1944-9224","journalAbbreviation":"Global Biogeochemical Cycles","language":"en","source":"DOI.org (Crossref)","title":"Dissolved iron patterns impacted by shallow hydrothermal sources along a transect through the Tonga‐Kermadec arc","URL":"https://onlinelibrary.wiley.com/doi/10.1029/2022GB007363","author":[{"family":"Tilliette","given":"Chloé"},{"family":"Taillandier","given":"Vincent"},{"family":"Bouruet‐Aubertot","given":"Pascale"},{"family":"Grima","given":"Nicolas"},{"family":"Maes","given":"Christophe"},{"family":"Montanes","given":"Maryline"},{"family":"Sarthou","given":"Géraldine"},{"family":"Vorrath","given":"Maria-Elena"},{"family":"Arnone","given":"Veronica"},{"family":"Bressac","given":"Matthieu"},{"family":"González‐Santana","given":"David"},{"family":"Gazeau","given":"Frédéric"},{"family":"Guieu","given":"Cécile"}],"accessed":{"date-parts":[["2022",7,4]]},"issued":{"date-parts":[["2022",7,4]]}}}],"schema":"https://github.com/citation-style-language/schema/raw/master/csl-citation.json"} </w:instrText>
      </w:r>
      <w:r w:rsidR="00023D1F">
        <w:rPr>
          <w:color w:val="000000"/>
          <w:szCs w:val="24"/>
        </w:rPr>
        <w:fldChar w:fldCharType="separate"/>
      </w:r>
      <w:r w:rsidR="00023D1F" w:rsidRPr="00023D1F">
        <w:rPr>
          <w:rFonts w:cs="Times New Roman"/>
        </w:rPr>
        <w:t>Tilliette et al., 2022)</w:t>
      </w:r>
      <w:r w:rsidR="00023D1F">
        <w:rPr>
          <w:color w:val="000000"/>
          <w:szCs w:val="24"/>
        </w:rPr>
        <w:fldChar w:fldCharType="end"/>
      </w:r>
      <w:r w:rsidR="00023D1F" w:rsidRPr="00023D1F">
        <w:rPr>
          <w:color w:val="000000"/>
          <w:szCs w:val="24"/>
        </w:rPr>
        <w:t>, notably supported by strong Fe</w:t>
      </w:r>
      <w:r w:rsidR="00023D1F" w:rsidRPr="00023D1F">
        <w:rPr>
          <w:color w:val="000000"/>
          <w:szCs w:val="24"/>
          <w:vertAlign w:val="subscript"/>
        </w:rPr>
        <w:t>EF</w:t>
      </w:r>
      <w:r w:rsidR="00023D1F" w:rsidRPr="00023D1F">
        <w:rPr>
          <w:color w:val="000000"/>
          <w:szCs w:val="24"/>
        </w:rPr>
        <w:t xml:space="preserve"> and Zn</w:t>
      </w:r>
      <w:r w:rsidR="00023D1F" w:rsidRPr="00023D1F">
        <w:rPr>
          <w:color w:val="000000"/>
          <w:szCs w:val="24"/>
          <w:vertAlign w:val="subscript"/>
        </w:rPr>
        <w:t>EF</w:t>
      </w:r>
      <w:r w:rsidR="00023D1F" w:rsidRPr="00023D1F">
        <w:rPr>
          <w:color w:val="000000"/>
          <w:szCs w:val="24"/>
        </w:rPr>
        <w:t xml:space="preserve"> (</w:t>
      </w:r>
      <w:r w:rsidR="00023D1F" w:rsidRPr="00023D1F">
        <w:rPr>
          <w:i/>
          <w:iCs/>
          <w:color w:val="000000"/>
          <w:szCs w:val="24"/>
        </w:rPr>
        <w:t>Table 2</w:t>
      </w:r>
      <w:r w:rsidR="00023D1F" w:rsidRPr="00023D1F">
        <w:rPr>
          <w:color w:val="000000"/>
          <w:szCs w:val="24"/>
        </w:rPr>
        <w:t xml:space="preserve">, </w:t>
      </w:r>
      <w:r w:rsidR="00023D1F" w:rsidRPr="00023D1F">
        <w:rPr>
          <w:i/>
          <w:iCs/>
          <w:color w:val="000000"/>
          <w:szCs w:val="24"/>
        </w:rPr>
        <w:t xml:space="preserve">Fig. </w:t>
      </w:r>
      <w:r w:rsidR="00853C2F">
        <w:rPr>
          <w:i/>
          <w:iCs/>
          <w:color w:val="000000"/>
          <w:szCs w:val="24"/>
        </w:rPr>
        <w:t>5</w:t>
      </w:r>
      <w:r w:rsidR="00023D1F" w:rsidRPr="00023D1F">
        <w:rPr>
          <w:i/>
          <w:iCs/>
          <w:color w:val="000000"/>
          <w:szCs w:val="24"/>
        </w:rPr>
        <w:t>b</w:t>
      </w:r>
      <w:r w:rsidR="00023D1F" w:rsidRPr="00023D1F">
        <w:rPr>
          <w:color w:val="000000"/>
          <w:szCs w:val="24"/>
        </w:rPr>
        <w:t>),</w:t>
      </w:r>
      <w:r w:rsidR="00023D1F" w:rsidRPr="00023D1F">
        <w:rPr>
          <w:b/>
          <w:bCs/>
          <w:color w:val="000000"/>
          <w:szCs w:val="24"/>
        </w:rPr>
        <w:t xml:space="preserve"> (2)</w:t>
      </w:r>
      <w:r w:rsidR="00023D1F" w:rsidRPr="00023D1F">
        <w:rPr>
          <w:color w:val="000000"/>
          <w:szCs w:val="24"/>
        </w:rPr>
        <w:t xml:space="preserve"> </w:t>
      </w:r>
      <w:r w:rsidR="00D55F82">
        <w:rPr>
          <w:color w:val="000000"/>
        </w:rPr>
        <w:t xml:space="preserve">material from the erosion of the New Late’iki volcanic island, according to the westward </w:t>
      </w:r>
      <w:r w:rsidR="00694FD4">
        <w:rPr>
          <w:color w:val="000000"/>
        </w:rPr>
        <w:t>main current</w:t>
      </w:r>
      <w:r w:rsidR="00D55F82">
        <w:rPr>
          <w:color w:val="000000"/>
        </w:rPr>
        <w:t>, rich in LSi</w:t>
      </w:r>
      <w:r w:rsidR="00D55F82" w:rsidRPr="00023D1F">
        <w:rPr>
          <w:color w:val="000000"/>
          <w:szCs w:val="24"/>
        </w:rPr>
        <w:t xml:space="preserve"> </w:t>
      </w:r>
      <w:r w:rsidR="00023D1F" w:rsidRPr="00023D1F">
        <w:rPr>
          <w:color w:val="000000"/>
          <w:szCs w:val="24"/>
        </w:rPr>
        <w:t>(LSi</w:t>
      </w:r>
      <w:r w:rsidR="00023D1F" w:rsidRPr="00023D1F">
        <w:rPr>
          <w:color w:val="000000"/>
          <w:szCs w:val="24"/>
          <w:vertAlign w:val="subscript"/>
        </w:rPr>
        <w:t>EF</w:t>
      </w:r>
      <w:r w:rsidR="00023D1F" w:rsidRPr="00023D1F">
        <w:rPr>
          <w:color w:val="000000"/>
          <w:szCs w:val="24"/>
        </w:rPr>
        <w:t>= 5.2) and Al (</w:t>
      </w:r>
      <w:r w:rsidR="00023D1F" w:rsidRPr="00023D1F">
        <w:rPr>
          <w:i/>
          <w:iCs/>
          <w:color w:val="000000"/>
          <w:szCs w:val="24"/>
        </w:rPr>
        <w:t xml:space="preserve">Fig. </w:t>
      </w:r>
      <w:r w:rsidR="00853C2F">
        <w:rPr>
          <w:i/>
          <w:iCs/>
          <w:color w:val="000000"/>
          <w:szCs w:val="24"/>
        </w:rPr>
        <w:t>5</w:t>
      </w:r>
      <w:r w:rsidR="00023D1F" w:rsidRPr="00023D1F">
        <w:rPr>
          <w:i/>
          <w:iCs/>
          <w:color w:val="000000"/>
          <w:szCs w:val="24"/>
        </w:rPr>
        <w:t>b</w:t>
      </w:r>
      <w:r w:rsidR="00023D1F" w:rsidRPr="00023D1F">
        <w:rPr>
          <w:color w:val="000000"/>
          <w:szCs w:val="24"/>
        </w:rPr>
        <w:t>) but depleted in Mn (Mn</w:t>
      </w:r>
      <w:r w:rsidR="00023D1F" w:rsidRPr="00023D1F">
        <w:rPr>
          <w:color w:val="000000"/>
          <w:szCs w:val="24"/>
          <w:vertAlign w:val="subscript"/>
        </w:rPr>
        <w:t>EF</w:t>
      </w:r>
      <w:r w:rsidR="00023D1F" w:rsidRPr="00023D1F">
        <w:rPr>
          <w:color w:val="000000"/>
          <w:szCs w:val="24"/>
        </w:rPr>
        <w:t xml:space="preserve"> = 0.2; </w:t>
      </w:r>
      <w:r w:rsidR="00023D1F" w:rsidRPr="00023D1F">
        <w:rPr>
          <w:i/>
          <w:iCs/>
          <w:color w:val="000000"/>
          <w:szCs w:val="24"/>
        </w:rPr>
        <w:t xml:space="preserve">Fig. </w:t>
      </w:r>
      <w:r w:rsidR="00853C2F">
        <w:rPr>
          <w:i/>
          <w:iCs/>
          <w:color w:val="000000"/>
          <w:szCs w:val="24"/>
        </w:rPr>
        <w:t>5</w:t>
      </w:r>
      <w:r w:rsidR="00023D1F" w:rsidRPr="00023D1F">
        <w:rPr>
          <w:i/>
          <w:iCs/>
          <w:color w:val="000000"/>
          <w:szCs w:val="24"/>
        </w:rPr>
        <w:t>b</w:t>
      </w:r>
      <w:r w:rsidR="00023D1F" w:rsidRPr="00023D1F">
        <w:rPr>
          <w:color w:val="000000"/>
          <w:szCs w:val="24"/>
        </w:rPr>
        <w:t>) and</w:t>
      </w:r>
      <w:r w:rsidR="00023D1F" w:rsidRPr="00023D1F">
        <w:rPr>
          <w:b/>
          <w:bCs/>
          <w:color w:val="000000"/>
          <w:szCs w:val="24"/>
        </w:rPr>
        <w:t xml:space="preserve"> (3)</w:t>
      </w:r>
      <w:r w:rsidR="00023D1F" w:rsidRPr="00023D1F">
        <w:rPr>
          <w:color w:val="000000"/>
          <w:szCs w:val="24"/>
        </w:rPr>
        <w:t xml:space="preserve"> probably some detrital material. </w:t>
      </w:r>
      <w:r w:rsidR="000C128D" w:rsidRPr="00BC641A">
        <w:rPr>
          <w:rFonts w:cs="Times New Roman"/>
        </w:rPr>
        <w:t xml:space="preserve">In </w:t>
      </w:r>
      <w:r w:rsidR="00DB41D3" w:rsidRPr="00BC641A">
        <w:rPr>
          <w:rFonts w:cs="Times New Roman"/>
        </w:rPr>
        <w:t xml:space="preserve">the </w:t>
      </w:r>
      <w:r w:rsidR="000C128D" w:rsidRPr="00BC641A">
        <w:rPr>
          <w:rFonts w:cs="Times New Roman"/>
        </w:rPr>
        <w:t>seafloor sediments, a lower Boström index was estimated (40 ± 2</w:t>
      </w:r>
      <w:r w:rsidR="00E807AD">
        <w:rPr>
          <w:rFonts w:cs="Times New Roman"/>
        </w:rPr>
        <w:t xml:space="preserve">; </w:t>
      </w:r>
      <w:r w:rsidR="00E807AD" w:rsidRPr="00E807AD">
        <w:rPr>
          <w:rFonts w:cs="Times New Roman"/>
          <w:i/>
          <w:iCs/>
        </w:rPr>
        <w:t>Table 3</w:t>
      </w:r>
      <w:r w:rsidR="000C128D" w:rsidRPr="00BC641A">
        <w:rPr>
          <w:rFonts w:cs="Times New Roman"/>
        </w:rPr>
        <w:t>), possibly</w:t>
      </w:r>
      <w:r w:rsidR="000C128D">
        <w:t xml:space="preserve"> due to </w:t>
      </w:r>
      <w:r w:rsidR="00DB41D3">
        <w:t>the additional distal</w:t>
      </w:r>
      <w:r w:rsidR="000C128D">
        <w:t xml:space="preserve"> </w:t>
      </w:r>
      <w:r w:rsidR="00DB41D3">
        <w:t xml:space="preserve">impact </w:t>
      </w:r>
      <w:r w:rsidR="000C128D">
        <w:t xml:space="preserve">from deeper </w:t>
      </w:r>
      <w:r w:rsidR="000C128D" w:rsidRPr="00F077A9">
        <w:t>sources (&gt; 1500 m)</w:t>
      </w:r>
      <w:r w:rsidR="00DB41D3" w:rsidRPr="00F077A9">
        <w:t xml:space="preserve">, </w:t>
      </w:r>
      <w:r w:rsidR="000C128D" w:rsidRPr="00F077A9">
        <w:t xml:space="preserve">as </w:t>
      </w:r>
      <w:r w:rsidR="000C128D" w:rsidRPr="00F077A9">
        <w:fldChar w:fldCharType="begin"/>
      </w:r>
      <w:r w:rsidR="000C128D" w:rsidRPr="00F077A9">
        <w:instrText xml:space="preserve"> ADDIN ZOTERO_ITEM CSL_CITATION {"citationID":"WOYXLj7i","properties":{"formattedCitation":"(Tilliette et al., 2022)","plainCitation":"(Tilliette et al., 2022)","dontUpdate":true,"noteIndex":0},"citationItems":[{"id":819,"uris":["http://zotero.org/users/local/01lnVYoF/items/YIPANZYN"],"itemData":{"id":819,"type":"article-journal","container-title":"Global Biogeochemical Cycles","DOI":"10.1029/2022GB007363","ISSN":"0886-6236, 1944-9224","journalAbbreviation":"Global Biogeochemical Cycles","language":"en","source":"DOI.org (Crossref)","title":"Dissolved iron patterns impacted by shallow hydrothermal sources along a transect through the Tonga‐Kermadec arc","URL":"https://onlinelibrary.wiley.com/doi/10.1029/2022GB007363","author":[{"family":"Tilliette","given":"Chloé"},{"family":"Taillandier","given":"Vincent"},{"family":"Bouruet‐Aubertot","given":"Pascale"},{"family":"Grima","given":"Nicolas"},{"family":"Maes","given":"Christophe"},{"family":"Montanes","given":"Maryline"},{"family":"Sarthou","given":"Géraldine"},{"family":"Vorrath","given":"Maria-Elena"},{"family":"Arnone","given":"Veronica"},{"family":"Bressac","given":"Matthieu"},{"family":"González‐Santana","given":"David"},{"family":"Gazeau","given":"Frédéric"},{"family":"Guieu","given":"Cécile"}],"accessed":{"date-parts":[["2022",7,4]]},"issued":{"date-parts":[["2022",7,4]]}}}],"schema":"https://github.com/citation-style-language/schema/raw/master/csl-citation.json"} </w:instrText>
      </w:r>
      <w:r w:rsidR="000C128D" w:rsidRPr="00F077A9">
        <w:fldChar w:fldCharType="separate"/>
      </w:r>
      <w:r w:rsidR="000C128D" w:rsidRPr="00F077A9">
        <w:rPr>
          <w:rFonts w:cs="Times New Roman"/>
        </w:rPr>
        <w:t>Tilliette et al. (2022)</w:t>
      </w:r>
      <w:r w:rsidR="000C128D" w:rsidRPr="00F077A9">
        <w:fldChar w:fldCharType="end"/>
      </w:r>
      <w:r w:rsidR="000C128D" w:rsidRPr="00F077A9">
        <w:t xml:space="preserve"> measured DFe-rich plume in the deep layer. </w:t>
      </w:r>
      <w:r w:rsidR="00506248" w:rsidRPr="00506248">
        <w:rPr>
          <w:color w:val="000000"/>
          <w:szCs w:val="24"/>
        </w:rPr>
        <w:t>These sources provided high Fe</w:t>
      </w:r>
      <w:r w:rsidR="00506248" w:rsidRPr="00506248">
        <w:rPr>
          <w:color w:val="000000"/>
          <w:szCs w:val="24"/>
          <w:vertAlign w:val="subscript"/>
        </w:rPr>
        <w:t>XS</w:t>
      </w:r>
      <w:r w:rsidR="00506248" w:rsidRPr="00506248">
        <w:rPr>
          <w:color w:val="000000"/>
          <w:szCs w:val="24"/>
        </w:rPr>
        <w:t xml:space="preserve"> (~5 wt.%), Mn</w:t>
      </w:r>
      <w:r w:rsidR="00506248" w:rsidRPr="00506248">
        <w:rPr>
          <w:color w:val="000000"/>
          <w:szCs w:val="24"/>
          <w:vertAlign w:val="subscript"/>
        </w:rPr>
        <w:t>XS</w:t>
      </w:r>
      <w:r w:rsidR="00506248" w:rsidRPr="00506248">
        <w:rPr>
          <w:color w:val="000000"/>
          <w:szCs w:val="24"/>
        </w:rPr>
        <w:t xml:space="preserve"> (~3 wt.%) and Cu</w:t>
      </w:r>
      <w:r w:rsidR="00506248" w:rsidRPr="00506248">
        <w:rPr>
          <w:color w:val="000000"/>
          <w:szCs w:val="24"/>
          <w:vertAlign w:val="subscript"/>
        </w:rPr>
        <w:t>XS</w:t>
      </w:r>
      <w:r w:rsidR="00506248" w:rsidRPr="00506248">
        <w:rPr>
          <w:color w:val="000000"/>
          <w:szCs w:val="24"/>
        </w:rPr>
        <w:t xml:space="preserve"> (~120 ppm</w:t>
      </w:r>
      <w:r w:rsidR="00506248" w:rsidRPr="00506248">
        <w:rPr>
          <w:color w:val="000000"/>
          <w:szCs w:val="24"/>
          <w:shd w:val="clear" w:color="auto" w:fill="FFFFFF"/>
        </w:rPr>
        <w:t>) to these sediments (</w:t>
      </w:r>
      <w:r w:rsidR="00506248" w:rsidRPr="00506248">
        <w:rPr>
          <w:i/>
          <w:iCs/>
          <w:color w:val="000000"/>
          <w:szCs w:val="24"/>
          <w:shd w:val="clear" w:color="auto" w:fill="FFFFFF"/>
        </w:rPr>
        <w:t xml:space="preserve">Figs. 3, </w:t>
      </w:r>
      <w:r w:rsidR="00C103E8">
        <w:rPr>
          <w:i/>
          <w:iCs/>
          <w:color w:val="000000"/>
          <w:szCs w:val="24"/>
          <w:shd w:val="clear" w:color="auto" w:fill="FFFFFF"/>
        </w:rPr>
        <w:t>5</w:t>
      </w:r>
      <w:r w:rsidR="00506248" w:rsidRPr="00506248">
        <w:rPr>
          <w:i/>
          <w:iCs/>
          <w:color w:val="000000"/>
          <w:szCs w:val="24"/>
          <w:shd w:val="clear" w:color="auto" w:fill="FFFFFF"/>
        </w:rPr>
        <w:t>c</w:t>
      </w:r>
      <w:r w:rsidR="00506248" w:rsidRPr="00506248">
        <w:rPr>
          <w:color w:val="000000"/>
          <w:szCs w:val="24"/>
          <w:shd w:val="clear" w:color="auto" w:fill="FFFFFF"/>
        </w:rPr>
        <w:t>)</w:t>
      </w:r>
      <w:r w:rsidR="00506248" w:rsidRPr="00506248">
        <w:rPr>
          <w:color w:val="000000"/>
          <w:szCs w:val="24"/>
        </w:rPr>
        <w:t>.</w:t>
      </w:r>
      <w:r w:rsidR="00755CB5" w:rsidRPr="00F077A9">
        <w:rPr>
          <w:rFonts w:cs="Times New Roman"/>
          <w:szCs w:val="24"/>
        </w:rPr>
        <w:t xml:space="preserve"> The</w:t>
      </w:r>
      <w:r w:rsidR="00755CB5" w:rsidRPr="00F077A9">
        <w:rPr>
          <w:szCs w:val="24"/>
        </w:rPr>
        <w:t xml:space="preserve"> distal</w:t>
      </w:r>
      <w:r w:rsidR="00755CB5" w:rsidRPr="00F077A9">
        <w:t xml:space="preserve"> hydrothermal origin</w:t>
      </w:r>
      <w:r w:rsidR="00F077A9">
        <w:t xml:space="preserve"> of the sedimented material</w:t>
      </w:r>
      <w:r w:rsidR="00755CB5" w:rsidRPr="00F077A9">
        <w:t xml:space="preserve"> was also supported by </w:t>
      </w:r>
      <w:r w:rsidR="00755CB5" w:rsidRPr="00F077A9">
        <w:rPr>
          <w:b/>
          <w:bCs/>
        </w:rPr>
        <w:t>(1)</w:t>
      </w:r>
      <w:r w:rsidR="00755CB5" w:rsidRPr="00F077A9">
        <w:t xml:space="preserve"> the heterogeneous and large size of particles </w:t>
      </w:r>
      <w:r w:rsidR="00755CB5">
        <w:t xml:space="preserve">(&gt; 60 µm), much larger than clays </w:t>
      </w:r>
      <w:r w:rsidR="00755CB5">
        <w:lastRenderedPageBreak/>
        <w:t>(&lt; 3 µm</w:t>
      </w:r>
      <w:r w:rsidR="00755CB5">
        <w:rPr>
          <w:rFonts w:eastAsia="Times New Roman" w:cs="Times New Roman"/>
          <w:szCs w:val="24"/>
          <w:lang w:eastAsia="en-GB"/>
        </w:rPr>
        <w:t xml:space="preserve">; </w:t>
      </w:r>
      <w:r w:rsidR="00755CB5">
        <w:rPr>
          <w:rFonts w:eastAsia="Times New Roman" w:cs="Times New Roman"/>
          <w:szCs w:val="24"/>
          <w:lang w:eastAsia="en-GB"/>
        </w:rPr>
        <w:fldChar w:fldCharType="begin"/>
      </w:r>
      <w:r w:rsidR="00755CB5">
        <w:rPr>
          <w:rFonts w:eastAsia="Times New Roman" w:cs="Times New Roman"/>
          <w:szCs w:val="24"/>
          <w:lang w:eastAsia="en-GB"/>
        </w:rPr>
        <w:instrText xml:space="preserve"> ADDIN ZOTERO_ITEM CSL_CITATION {"citationID":"jbPtG1f6","properties":{"formattedCitation":"(Horn et al., 1970; Leinen, 1989)","plainCitation":"(Horn et al., 1970; Leinen, 1989)","dontUpdate":true,"noteIndex":0},"citationItems":[{"id":1003,"uris":["http://zotero.org/users/local/01lnVYoF/items/ADI8MRWM"],"itemData":{"id":1003,"type":"chapter","container-title":"Geological Society of America Memoirs","ISBN":"978-0-8137-1126-3","language":"en","note":"DOI: 10.1130/MEM126-p1","page":"1-22","publisher":"Geological Society of America","source":"DOI.org (Crossref)","title":"Sedimentary Provinces of the North Pacific","URL":"https://pubs.geoscienceworld.org/books/book/130/chapter/3789117/","volume":"126","author":[{"family":"Horn","given":"D. R."},{"family":"Horn","given":"B. M."},{"family":"Delach","given":"M. N."}],"accessed":{"date-parts":[["2022",8,22]]},"issued":{"date-parts":[["1970"]]}}},{"id":1002,"uris":["http://zotero.org/users/local/01lnVYoF/items/VMRGQNPG"],"itemData":{"id":1002,"type":"chapter","container-title":"The Eastern Pacific Ocean and Hawaii","event-place":"North America","ISBN":"978-0-8137-5208-2","language":"en","note":"DOI: 10.1130/DNAG-GNA-N.323","page":"323-335","publisher":"Geological Society of America","publisher-place":"North America","source":"DOI.org (Crossref)","title":"The pelagic clay province of the North Pacific Ocean","URL":"https://pubs.geoscienceworld.org/books/book/872/chapter/3922031/","editor":[{"family":"Winterer","given":"E. L."},{"family":"Hussong","given":"Donald M."},{"family":"Decker","given":"Robert W."}],"author":[{"family":"Leinen","given":"Margaret"}],"accessed":{"date-parts":[["2022",8,22]]},"issued":{"date-parts":[["1989"]]}}}],"schema":"https://github.com/citation-style-language/schema/raw/master/csl-citation.json"} </w:instrText>
      </w:r>
      <w:r w:rsidR="00755CB5">
        <w:rPr>
          <w:rFonts w:eastAsia="Times New Roman" w:cs="Times New Roman"/>
          <w:szCs w:val="24"/>
          <w:lang w:eastAsia="en-GB"/>
        </w:rPr>
        <w:fldChar w:fldCharType="separate"/>
      </w:r>
      <w:r w:rsidR="00755CB5" w:rsidRPr="00157E05">
        <w:rPr>
          <w:rFonts w:cs="Times New Roman"/>
        </w:rPr>
        <w:t>Horn et al., 1970; Leinen, 1989)</w:t>
      </w:r>
      <w:r w:rsidR="00755CB5">
        <w:rPr>
          <w:rFonts w:eastAsia="Times New Roman" w:cs="Times New Roman"/>
          <w:szCs w:val="24"/>
          <w:lang w:eastAsia="en-GB"/>
        </w:rPr>
        <w:fldChar w:fldCharType="end"/>
      </w:r>
      <w:r w:rsidR="00755CB5">
        <w:rPr>
          <w:rFonts w:eastAsia="Times New Roman" w:cs="Times New Roman"/>
          <w:szCs w:val="24"/>
          <w:lang w:eastAsia="en-GB"/>
        </w:rPr>
        <w:t xml:space="preserve"> and typical of </w:t>
      </w:r>
      <w:r w:rsidR="00F077A9">
        <w:rPr>
          <w:rFonts w:eastAsia="Times New Roman" w:cs="Times New Roman"/>
          <w:szCs w:val="24"/>
          <w:lang w:eastAsia="en-GB"/>
        </w:rPr>
        <w:t>distal</w:t>
      </w:r>
      <w:r w:rsidR="00755CB5">
        <w:rPr>
          <w:rFonts w:eastAsia="Times New Roman" w:cs="Times New Roman"/>
          <w:szCs w:val="24"/>
          <w:lang w:eastAsia="en-GB"/>
        </w:rPr>
        <w:t xml:space="preserve"> </w:t>
      </w:r>
      <w:r w:rsidR="00F077A9">
        <w:rPr>
          <w:rFonts w:eastAsia="Times New Roman" w:cs="Times New Roman"/>
          <w:szCs w:val="24"/>
          <w:lang w:eastAsia="en-GB"/>
        </w:rPr>
        <w:t>transport</w:t>
      </w:r>
      <w:r w:rsidR="00755CB5">
        <w:rPr>
          <w:rFonts w:eastAsia="Times New Roman" w:cs="Times New Roman"/>
          <w:szCs w:val="24"/>
          <w:lang w:eastAsia="en-GB"/>
        </w:rPr>
        <w:t xml:space="preserve"> (1-100 µm; </w:t>
      </w:r>
      <w:r w:rsidR="00755CB5">
        <w:rPr>
          <w:rFonts w:eastAsia="Times New Roman" w:cs="Times New Roman"/>
          <w:szCs w:val="24"/>
          <w:lang w:eastAsia="en-GB"/>
        </w:rPr>
        <w:fldChar w:fldCharType="begin"/>
      </w:r>
      <w:r w:rsidR="00E34A06">
        <w:rPr>
          <w:rFonts w:eastAsia="Times New Roman" w:cs="Times New Roman"/>
          <w:szCs w:val="24"/>
          <w:lang w:eastAsia="en-GB"/>
        </w:rPr>
        <w:instrText xml:space="preserve"> ADDIN ZOTERO_ITEM CSL_CITATION {"citationID":"M5eD8Yjm","properties":{"formattedCitation":"(Feely et al., 1990, 1987; Lou et al., 2020; Ng et al., 2019)","plainCitation":"(Feely et al., 1990, 1987; Lou et al., 2020; Ng et al., 2019)","dontUpdate":true,"noteIndex":0},"citationItems":[{"id":1023,"uris":["http://zotero.org/users/local/01lnVYoF/items/CP9CUK8X"],"itemData":{"id":1023,"type":"article-journal","container-title":"Journal of Geophysical Research","DOI":"10.1029/JB095iB08p12855","ISSN":"0148-0227","issue":"B8","journalAbbreviation":"J. Geophys. Res.","language":"en","page":"12855","source":"DOI.org (Crossref)","title":"Distribution and composition of hydrothermal plume particles from the ASHES Vent Field at Axial Volcano, Juan de Fuca Ridge","volume":"95","author":[{"family":"Feely","given":"R. A."},{"family":"Geiselman","given":"T. L."},{"family":"Baker","given":"E. T."},{"family":"Massoth","given":"G. J."},{"family":"Hammond","given":"S. R."}],"issued":{"date-parts":[["1990"]]}}},{"id":1769,"uris":["http://zotero.org/users/local/01lnVYoF/items/EVPQQPZE"],"itemData":{"id":1769,"type":"article-journal","container-title":"Journal of Geophysical Research: Solid Earth","DOI":"10.1029/JB092iB11p11347","ISSN":"01480227","issue":"B11","journalAbbreviation":"J. Geophys. Res.","language":"en","page":"11347-11363","source":"DOI.org (Crossref)","title":"Composition and dissolution of black smoker particulates from active vents on the Juan de Fuca Ridge","volume":"92","author":[{"family":"Feely","given":"Richard A."},{"family":"Lewison","given":"Maureen"},{"family":"Massoth","given":"Gary J."},{"family":"Robert-Baldo","given":"Gillian"},{"family":"Lavelle","given":"J. William"},{"family":"Byrne","given":"Robert H."},{"family":"Von Damm","given":"Karen L."},{"family":"Curl","given":"Herbert C."}],"issued":{"date-parts":[["1987",10,10]]}}},{"id":803,"uris":["http://zotero.org/users/local/01lnVYoF/items/HUHKYWF2"],"itemData":{"id":803,"type":"article-journal","container-title":"Geophysical Research Letters","DOI":"10.1029/2020GL089935","ISSN":"0094-8276, 1944-8007","issue":"20","journalAbbreviation":"Geophys. Res. Lett.","language":"en","source":"DOI.org (Crossref)","title":"Transport and Deposition Patterns of Particles Laden by Rising Submarine Hydrothermal Plumes","URL":"https://onlinelibrary.wiley.com/doi/10.1029/2020GL089935","volume":"47","author":[{"family":"Lou","given":"Yingzhong"},{"family":"He","given":"Zhiguo"},{"family":"Han","given":"Xiqiu"}],"accessed":{"date-parts":[["2022",6,29]]},"issued":{"date-parts":[["2020",10,28]]}}},{"id":1400,"uris":["http://zotero.org/users/local/01lnVYoF/items/V2RDL95Y"],"itemData":{"id":1400,"type":"article-journal","abstract":"Particle size analysis is able to reveal essential information about processes like production, transportation, sorting, and deposition of a study area. Pre-treatment of sediment by using hydrogen peroxide is recommended for more accuracy of particle size distribution as it removes organic matter which is adsorbed on the grain particle. A shallow water where hydrothermal vents site are located in Guishan Island is selected as the study site in this research. Sediment samples were collected at the depth of 3 â€“ 5 cm from the seabed surface by SCUBA diving. Particle size analysis was conducted by dry sieving before and after hydrogen peroxide treatment. Results showed significant differences in very coarse sand (p &amp;lt; 0.05) as it decreases significantly in weight after treatment (10.62% of change). The other particle size level of sediment increases slightly in weight and the changes ranged from 1.20% to 2.60%, showing no significant difference (500Î¼m=0.59; p value 250Î¼m=0.67; p value 125Î¼m=0.48; p value 63Î¼m=0.47; p value &amp;gt;63Î¼m=0.38). Therefore, in order to accurately determine the particle size distribution at hydrothermal vent site, pre-treatment using hydrogen peroxide is recommended to remove organic material because hydrothermal vent is proved to have high organic matter content.","container-title":"Borneo Journal of Marine Science and Aquaculture (BJoMSA)","DOI":"10.51200/bjomsa.v3i2.1995","ISSN":"2600-8637","issue":"2","language":"en","license":"Copyright (c) 2019 Borneo Journal of Marine Science and Aquaculture (BJoMSA)","note":"number: 2","page":"52-56","source":"jurcon.ums.edu.my","title":"Effects of hydrogen peroxide treatment on the particle size distribution of hydrothermal vent sediments: A case study in Guishan Island, Taiwan","title-short":"Effects of hydrogen peroxide treatment on the particle size distribution of hydrothermal vent sediments","volume":"3","author":[{"family":"Ng","given":"Wei-Ling"},{"family":"Chen","given":"Cheng-Ann"},{"family":"Kawi","given":"Stephenie Demie"},{"family":"Musta","given":"Baba"},{"family":"Chan","given":"Tin-Yam"}],"issued":{"date-parts":[["2019",12,10]]}}}],"schema":"https://github.com/citation-style-language/schema/raw/master/csl-citation.json"} </w:instrText>
      </w:r>
      <w:r w:rsidR="00755CB5">
        <w:rPr>
          <w:rFonts w:eastAsia="Times New Roman" w:cs="Times New Roman"/>
          <w:szCs w:val="24"/>
          <w:lang w:eastAsia="en-GB"/>
        </w:rPr>
        <w:fldChar w:fldCharType="separate"/>
      </w:r>
      <w:r w:rsidR="00F70573" w:rsidRPr="00F70573">
        <w:rPr>
          <w:rFonts w:cs="Times New Roman"/>
        </w:rPr>
        <w:t>Feely et al., 1990, 1987; Lou et al., 2020; Ng et al., 2019)</w:t>
      </w:r>
      <w:r w:rsidR="00755CB5">
        <w:rPr>
          <w:rFonts w:eastAsia="Times New Roman" w:cs="Times New Roman"/>
          <w:szCs w:val="24"/>
          <w:lang w:eastAsia="en-GB"/>
        </w:rPr>
        <w:fldChar w:fldCharType="end"/>
      </w:r>
      <w:r w:rsidR="00BC641A">
        <w:rPr>
          <w:rFonts w:eastAsia="Times New Roman" w:cs="Times New Roman"/>
          <w:szCs w:val="24"/>
          <w:lang w:eastAsia="en-GB"/>
        </w:rPr>
        <w:t xml:space="preserve">, </w:t>
      </w:r>
      <w:r w:rsidR="00755CB5" w:rsidRPr="00BC641A">
        <w:rPr>
          <w:rFonts w:eastAsia="Times New Roman" w:cs="Times New Roman"/>
          <w:b/>
          <w:bCs/>
          <w:szCs w:val="24"/>
          <w:lang w:eastAsia="en-GB"/>
        </w:rPr>
        <w:t>(2)</w:t>
      </w:r>
      <w:r w:rsidR="00755CB5" w:rsidRPr="00755CB5">
        <w:rPr>
          <w:rFonts w:eastAsia="Times New Roman" w:cs="Times New Roman"/>
          <w:szCs w:val="24"/>
          <w:lang w:eastAsia="en-GB"/>
        </w:rPr>
        <w:t xml:space="preserve"> the accumulation rates much h</w:t>
      </w:r>
      <w:r w:rsidR="00755CB5">
        <w:rPr>
          <w:rFonts w:eastAsia="Times New Roman" w:cs="Times New Roman"/>
          <w:szCs w:val="24"/>
          <w:lang w:eastAsia="en-GB"/>
        </w:rPr>
        <w:t>igher (x</w:t>
      </w:r>
      <w:r w:rsidR="00B2797C">
        <w:rPr>
          <w:rFonts w:eastAsia="Times New Roman" w:cs="Times New Roman"/>
          <w:szCs w:val="24"/>
          <w:lang w:eastAsia="en-GB"/>
        </w:rPr>
        <w:t>116-</w:t>
      </w:r>
      <w:r w:rsidR="00755CB5">
        <w:rPr>
          <w:rFonts w:eastAsia="Times New Roman" w:cs="Times New Roman"/>
          <w:szCs w:val="24"/>
          <w:lang w:eastAsia="en-GB"/>
        </w:rPr>
        <w:t>580) than those of pelagic clays</w:t>
      </w:r>
      <w:r w:rsidR="00BC641A">
        <w:rPr>
          <w:rFonts w:eastAsia="Times New Roman" w:cs="Times New Roman"/>
          <w:szCs w:val="24"/>
          <w:lang w:eastAsia="en-GB"/>
        </w:rPr>
        <w:t xml:space="preserve"> (</w:t>
      </w:r>
      <w:r w:rsidR="00BC641A">
        <w:rPr>
          <w:rFonts w:eastAsia="Times New Roman" w:cs="Times New Roman"/>
          <w:szCs w:val="24"/>
          <w:lang w:eastAsia="en-GB"/>
        </w:rPr>
        <w:fldChar w:fldCharType="begin"/>
      </w:r>
      <w:r w:rsidR="00AD17D0">
        <w:rPr>
          <w:rFonts w:eastAsia="Times New Roman" w:cs="Times New Roman"/>
          <w:szCs w:val="24"/>
          <w:lang w:eastAsia="en-GB"/>
        </w:rPr>
        <w:instrText xml:space="preserve"> ADDIN ZOTERO_ITEM CSL_CITATION {"citationID":"DaH3GwIu","properties":{"formattedCitation":"(Li and Schoonmaker, 2003; Piper, 2005)","plainCitation":"(Li and Schoonmaker, 2003; Piper, 2005)","dontUpdate":true,"noteIndex":0},"citationItems":[{"id":838,"uris":["http://zotero.org/users/local/01lnVYoF/items/P87ZQSZA"],"itemData":{"id":838,"type":"chapter","container-title":"Treatise on Geochemistry","ISBN":"978-0-08-043751-4","language":"en","note":"DOI: 10.1016/B0-08-043751-6/07088-2","page":"1-35","publisher":"Elsevier","source":"DOI.org (Crossref)","title":"Chemical Composition and Mineralogy of Marine Sediments","URL":"https://linkinghub.elsevier.com/retrieve/pii/B0080437516070882","author":[{"family":"Li","given":"Y.-H."},{"family":"Schoonmaker","given":"J.E."}],"accessed":{"date-parts":[["2022",7,11]]},"issued":{"date-parts":[["2003"]]}}},{"id":1038,"uris":["http://zotero.org/users/local/01lnVYoF/items/BRYDZ45S"],"itemData":{"id":1038,"type":"chapter","container-title":"Encyclopedia of Geology","ISBN":"978-0-12-369396-9","language":"en","note":"DOI: 10.1016/B0-12-369396-9/00496-2","page":"641-649","publisher":"Elsevier","source":"DOI.org (Crossref)","title":"SEDIMENTARY PROCESSES | Deep Water Processes and Deposits","URL":"https://linkinghub.elsevier.com/retrieve/pii/B0123693969004962","author":[{"family":"Piper","given":"D.J.W."}],"accessed":{"date-parts":[["2022",8,23]]},"issued":{"date-parts":[["2005"]]}}}],"schema":"https://github.com/citation-style-language/schema/raw/master/csl-citation.json"} </w:instrText>
      </w:r>
      <w:r w:rsidR="00BC641A">
        <w:rPr>
          <w:rFonts w:eastAsia="Times New Roman" w:cs="Times New Roman"/>
          <w:szCs w:val="24"/>
          <w:lang w:eastAsia="en-GB"/>
        </w:rPr>
        <w:fldChar w:fldCharType="separate"/>
      </w:r>
      <w:r w:rsidR="00BC641A" w:rsidRPr="00BF4DF4">
        <w:rPr>
          <w:rFonts w:cs="Times New Roman"/>
        </w:rPr>
        <w:t>Li and Schoonmaker, 2003; Piper, 2005)</w:t>
      </w:r>
      <w:r w:rsidR="00BC641A">
        <w:rPr>
          <w:rFonts w:eastAsia="Times New Roman" w:cs="Times New Roman"/>
          <w:szCs w:val="24"/>
          <w:lang w:eastAsia="en-GB"/>
        </w:rPr>
        <w:fldChar w:fldCharType="end"/>
      </w:r>
      <w:r w:rsidR="00BC641A">
        <w:rPr>
          <w:rFonts w:eastAsia="Times New Roman" w:cs="Times New Roman"/>
          <w:szCs w:val="24"/>
          <w:lang w:eastAsia="en-GB"/>
        </w:rPr>
        <w:t xml:space="preserve"> </w:t>
      </w:r>
      <w:r w:rsidR="00BC641A" w:rsidRPr="00BC641A">
        <w:rPr>
          <w:rFonts w:eastAsia="Times New Roman" w:cs="Times New Roman"/>
          <w:szCs w:val="24"/>
          <w:lang w:eastAsia="en-GB"/>
        </w:rPr>
        <w:t>and</w:t>
      </w:r>
      <w:r w:rsidR="00F077A9">
        <w:rPr>
          <w:rFonts w:eastAsia="Times New Roman" w:cs="Times New Roman"/>
          <w:szCs w:val="24"/>
          <w:lang w:eastAsia="en-GB"/>
        </w:rPr>
        <w:t xml:space="preserve"> finally</w:t>
      </w:r>
      <w:r w:rsidR="00BC641A" w:rsidRPr="00BC641A">
        <w:rPr>
          <w:rFonts w:eastAsia="Times New Roman" w:cs="Times New Roman"/>
          <w:szCs w:val="24"/>
          <w:lang w:eastAsia="en-GB"/>
        </w:rPr>
        <w:t xml:space="preserve"> </w:t>
      </w:r>
      <w:r w:rsidR="00BC641A" w:rsidRPr="00BC641A">
        <w:rPr>
          <w:rFonts w:eastAsia="Times New Roman" w:cs="Times New Roman"/>
          <w:b/>
          <w:bCs/>
          <w:szCs w:val="24"/>
          <w:lang w:eastAsia="en-GB"/>
        </w:rPr>
        <w:t>(3)</w:t>
      </w:r>
      <w:r w:rsidR="00BC641A" w:rsidRPr="00BC641A">
        <w:rPr>
          <w:rFonts w:eastAsia="Times New Roman" w:cs="Times New Roman"/>
          <w:szCs w:val="24"/>
          <w:lang w:eastAsia="en-GB"/>
        </w:rPr>
        <w:t xml:space="preserve"> the absence of </w:t>
      </w:r>
      <w:r w:rsidR="00BC641A">
        <w:rPr>
          <w:rFonts w:eastAsia="Times New Roman" w:cs="Times New Roman"/>
          <w:szCs w:val="24"/>
          <w:lang w:eastAsia="en-GB"/>
        </w:rPr>
        <w:t>Ni</w:t>
      </w:r>
      <w:r w:rsidR="009465F7">
        <w:rPr>
          <w:rFonts w:eastAsia="Times New Roman" w:cs="Times New Roman"/>
          <w:szCs w:val="24"/>
          <w:vertAlign w:val="subscript"/>
          <w:lang w:eastAsia="en-GB"/>
        </w:rPr>
        <w:t>XS</w:t>
      </w:r>
      <w:r w:rsidR="00BC641A">
        <w:rPr>
          <w:rFonts w:eastAsia="Times New Roman" w:cs="Times New Roman"/>
          <w:szCs w:val="24"/>
          <w:lang w:eastAsia="en-GB"/>
        </w:rPr>
        <w:t xml:space="preserve"> and Zn</w:t>
      </w:r>
      <w:r w:rsidR="009465F7">
        <w:rPr>
          <w:rFonts w:eastAsia="Times New Roman" w:cs="Times New Roman"/>
          <w:szCs w:val="24"/>
          <w:vertAlign w:val="subscript"/>
          <w:lang w:eastAsia="en-GB"/>
        </w:rPr>
        <w:t>XS</w:t>
      </w:r>
      <w:r w:rsidR="00BC641A">
        <w:rPr>
          <w:rFonts w:eastAsia="Times New Roman" w:cs="Times New Roman"/>
          <w:szCs w:val="24"/>
          <w:lang w:eastAsia="en-GB"/>
        </w:rPr>
        <w:t xml:space="preserve"> </w:t>
      </w:r>
      <w:r w:rsidR="00F077A9">
        <w:rPr>
          <w:rFonts w:eastAsia="Times New Roman" w:cs="Times New Roman"/>
          <w:szCs w:val="24"/>
          <w:lang w:eastAsia="en-GB"/>
        </w:rPr>
        <w:t>throughout the core</w:t>
      </w:r>
      <w:r w:rsidR="00BC641A">
        <w:rPr>
          <w:rFonts w:eastAsia="Times New Roman" w:cs="Times New Roman"/>
          <w:szCs w:val="24"/>
          <w:lang w:eastAsia="en-GB"/>
        </w:rPr>
        <w:t xml:space="preserve"> (</w:t>
      </w:r>
      <w:r w:rsidR="00BC641A" w:rsidRPr="00BC641A">
        <w:rPr>
          <w:rFonts w:eastAsia="Times New Roman" w:cs="Times New Roman"/>
          <w:i/>
          <w:iCs/>
          <w:szCs w:val="24"/>
          <w:lang w:eastAsia="en-GB"/>
        </w:rPr>
        <w:t>Fig. 3</w:t>
      </w:r>
      <w:r w:rsidR="00BC641A">
        <w:rPr>
          <w:rFonts w:eastAsia="Times New Roman" w:cs="Times New Roman"/>
          <w:szCs w:val="24"/>
          <w:lang w:eastAsia="en-GB"/>
        </w:rPr>
        <w:t xml:space="preserve">), </w:t>
      </w:r>
      <w:r w:rsidR="00F077A9">
        <w:rPr>
          <w:rFonts w:eastAsia="Times New Roman" w:cs="Times New Roman"/>
          <w:szCs w:val="24"/>
          <w:lang w:eastAsia="en-GB"/>
        </w:rPr>
        <w:t>the</w:t>
      </w:r>
      <w:r w:rsidR="00BC641A">
        <w:rPr>
          <w:rFonts w:eastAsia="Times New Roman" w:cs="Times New Roman"/>
          <w:szCs w:val="24"/>
          <w:lang w:eastAsia="en-GB"/>
        </w:rPr>
        <w:t>se elements being lost near sources.</w:t>
      </w:r>
      <w:r w:rsidR="007D752F">
        <w:rPr>
          <w:rFonts w:eastAsia="Times New Roman" w:cs="Times New Roman"/>
          <w:szCs w:val="24"/>
          <w:lang w:eastAsia="en-GB"/>
        </w:rPr>
        <w:t xml:space="preserve"> </w:t>
      </w:r>
      <w:r w:rsidR="007D752F">
        <w:rPr>
          <w:color w:val="000000"/>
        </w:rPr>
        <w:t xml:space="preserve">The presence of volcanic material (increasing the index value) is also strongly suspected in the sediments of this station, in view of the continuous </w:t>
      </w:r>
      <w:r w:rsidR="007D752F" w:rsidRPr="007D752F">
        <w:rPr>
          <w:color w:val="000000"/>
          <w:szCs w:val="24"/>
        </w:rPr>
        <w:t>LSi</w:t>
      </w:r>
      <w:r w:rsidR="007D752F" w:rsidRPr="007D752F">
        <w:rPr>
          <w:color w:val="000000"/>
          <w:szCs w:val="24"/>
          <w:vertAlign w:val="subscript"/>
        </w:rPr>
        <w:t>XS</w:t>
      </w:r>
      <w:r w:rsidR="007D752F" w:rsidRPr="007D752F">
        <w:rPr>
          <w:color w:val="000000"/>
          <w:szCs w:val="24"/>
        </w:rPr>
        <w:t xml:space="preserve"> (</w:t>
      </w:r>
      <w:r w:rsidR="007D752F">
        <w:rPr>
          <w:color w:val="000000"/>
        </w:rPr>
        <w:t xml:space="preserve">up to 5 wt.%; </w:t>
      </w:r>
      <w:r w:rsidR="007D752F">
        <w:rPr>
          <w:i/>
          <w:iCs/>
          <w:color w:val="000000"/>
        </w:rPr>
        <w:t>Fig. 3</w:t>
      </w:r>
      <w:r w:rsidR="007D752F">
        <w:rPr>
          <w:color w:val="000000"/>
        </w:rPr>
        <w:t xml:space="preserve">) found in the cored sediments at station 5 (dating from the 19th century to the present day according to accumulation rates, see </w:t>
      </w:r>
      <w:r w:rsidR="007D752F">
        <w:rPr>
          <w:i/>
          <w:iCs/>
          <w:color w:val="000000"/>
        </w:rPr>
        <w:t>Table 1</w:t>
      </w:r>
      <w:r w:rsidR="007D752F">
        <w:rPr>
          <w:color w:val="000000"/>
        </w:rPr>
        <w:t xml:space="preserve">) and the frequent eruptions of </w:t>
      </w:r>
      <w:r w:rsidR="00434A0B">
        <w:rPr>
          <w:color w:val="000000"/>
        </w:rPr>
        <w:t xml:space="preserve">the </w:t>
      </w:r>
      <w:r w:rsidR="007D752F">
        <w:rPr>
          <w:color w:val="000000"/>
        </w:rPr>
        <w:t xml:space="preserve">Late’iki volcano since the 18th century </w:t>
      </w:r>
      <w:r w:rsidR="007D752F">
        <w:fldChar w:fldCharType="begin"/>
      </w:r>
      <w:r w:rsidR="00F62F55">
        <w:instrText xml:space="preserve"> ADDIN ZOTERO_ITEM CSL_CITATION {"citationID":"ph7aLJPq","properties":{"formattedCitation":"(Ewart et al., 1977)","plainCitation":"(Ewart et al., 1977)","noteIndex":0},"citationItems":[{"id":837,"uris":["http://zotero.org/users/local/01lnVYoF/items/WJV3KEYK"],"itemData":{"id":837,"type":"article-journal","container-title":"Journal of Volcanology and Geothermal Research","DOI":"10.1016/0377-0273(77)90001-4","ISSN":"03770273","issue":"3","journalAbbreviation":"Journal of Volcanology and Geothermal Research","language":"en","page":"205-250","source":"DOI.org (Crossref)","title":"An outline of the geology and geochemistry, and the possible petrogenetic evolution of the volcanic rocks of the Tonga-Kermadec-New Zealand island arc","volume":"2","author":[{"family":"Ewart","given":"A."},{"family":"Brothers","given":"R.N."},{"family":"Mateen","given":"A."}],"issued":{"date-parts":[["1977",9]]}}}],"schema":"https://github.com/citation-style-language/schema/raw/master/csl-citation.json"} </w:instrText>
      </w:r>
      <w:r w:rsidR="007D752F">
        <w:fldChar w:fldCharType="separate"/>
      </w:r>
      <w:r w:rsidR="007D752F" w:rsidRPr="0092611F">
        <w:t>(Ewart et al., 1977)</w:t>
      </w:r>
      <w:r w:rsidR="007D752F">
        <w:fldChar w:fldCharType="end"/>
      </w:r>
      <w:r w:rsidR="007D752F">
        <w:t>.</w:t>
      </w:r>
    </w:p>
    <w:bookmarkEnd w:id="31"/>
    <w:p w14:paraId="4E9EF1A6" w14:textId="3EB4677E" w:rsidR="00133F31" w:rsidRPr="000C128D" w:rsidRDefault="00133F31" w:rsidP="00133F31">
      <w:pPr>
        <w:pStyle w:val="Titre3"/>
        <w:rPr>
          <w:b w:val="0"/>
          <w:bCs/>
          <w:i/>
          <w:iCs/>
        </w:rPr>
      </w:pPr>
      <w:r>
        <w:rPr>
          <w:b w:val="0"/>
          <w:bCs/>
          <w:i/>
          <w:iCs/>
        </w:rPr>
        <w:t xml:space="preserve">Along the Lau </w:t>
      </w:r>
      <w:r w:rsidR="00BA1A6E">
        <w:rPr>
          <w:b w:val="0"/>
          <w:bCs/>
          <w:i/>
          <w:iCs/>
        </w:rPr>
        <w:t>ridge</w:t>
      </w:r>
      <w:r>
        <w:rPr>
          <w:b w:val="0"/>
          <w:bCs/>
          <w:i/>
          <w:iCs/>
        </w:rPr>
        <w:t xml:space="preserve"> (l</w:t>
      </w:r>
      <w:r w:rsidR="00BA1A6E">
        <w:rPr>
          <w:b w:val="0"/>
          <w:bCs/>
          <w:i/>
          <w:iCs/>
        </w:rPr>
        <w:t>arge</w:t>
      </w:r>
      <w:r>
        <w:rPr>
          <w:b w:val="0"/>
          <w:bCs/>
          <w:i/>
          <w:iCs/>
        </w:rPr>
        <w:t xml:space="preserve"> scale)</w:t>
      </w:r>
    </w:p>
    <w:p w14:paraId="7AD65551" w14:textId="716E7937" w:rsidR="00053D52" w:rsidRPr="00053D52" w:rsidRDefault="000F21FD" w:rsidP="00DF6CF2">
      <w:pPr>
        <w:spacing w:line="480" w:lineRule="auto"/>
        <w:jc w:val="both"/>
        <w:rPr>
          <w:color w:val="000000"/>
          <w:szCs w:val="24"/>
        </w:rPr>
      </w:pPr>
      <w:r>
        <w:rPr>
          <w:color w:val="000000"/>
        </w:rPr>
        <w:t xml:space="preserve">Station 12 was positioned sufficiently far from the identified shallow sources on the Tonga Arc to incorporate their effect on a regional scale. </w:t>
      </w:r>
      <w:r w:rsidR="00053D52" w:rsidRPr="00053D52">
        <w:rPr>
          <w:color w:val="000000"/>
          <w:szCs w:val="24"/>
        </w:rPr>
        <w:t>At 200 m, the Boström index was rather high (56 ± 10) but still lower than detrital material (</w:t>
      </w:r>
      <w:r>
        <w:rPr>
          <w:color w:val="000000"/>
          <w:szCs w:val="24"/>
        </w:rPr>
        <w:t xml:space="preserve">~66; </w:t>
      </w:r>
      <w:r w:rsidR="00053D52" w:rsidRPr="00053D52">
        <w:rPr>
          <w:i/>
          <w:iCs/>
          <w:color w:val="000000"/>
          <w:szCs w:val="24"/>
        </w:rPr>
        <w:t>Table 3</w:t>
      </w:r>
      <w:r w:rsidR="00053D52" w:rsidRPr="00053D52">
        <w:rPr>
          <w:color w:val="000000"/>
          <w:szCs w:val="24"/>
        </w:rPr>
        <w:t>). This signature reflects the likely remote impact of the shallow sources identified along the Tonga Arc (~200 km from station 12), according to the westward main current, supplying low but</w:t>
      </w:r>
      <w:r>
        <w:rPr>
          <w:color w:val="000000"/>
          <w:szCs w:val="24"/>
        </w:rPr>
        <w:t xml:space="preserve"> still</w:t>
      </w:r>
      <w:r w:rsidR="00053D52" w:rsidRPr="00053D52">
        <w:rPr>
          <w:color w:val="000000"/>
          <w:szCs w:val="24"/>
        </w:rPr>
        <w:t xml:space="preserve"> significant concentrations of metals within the photic layer, particularly Fe (</w:t>
      </w:r>
      <w:r w:rsidR="00053D52" w:rsidRPr="00053D52">
        <w:rPr>
          <w:i/>
          <w:iCs/>
          <w:color w:val="000000"/>
          <w:szCs w:val="24"/>
        </w:rPr>
        <w:t xml:space="preserve">Fig. </w:t>
      </w:r>
      <w:r w:rsidR="00853C2F">
        <w:rPr>
          <w:i/>
          <w:iCs/>
          <w:color w:val="000000"/>
          <w:szCs w:val="24"/>
        </w:rPr>
        <w:t>5</w:t>
      </w:r>
      <w:r w:rsidR="00053D52" w:rsidRPr="00053D52">
        <w:rPr>
          <w:i/>
          <w:iCs/>
          <w:color w:val="000000"/>
          <w:szCs w:val="24"/>
        </w:rPr>
        <w:t>a</w:t>
      </w:r>
      <w:r w:rsidR="00053D52" w:rsidRPr="00053D52">
        <w:rPr>
          <w:color w:val="000000"/>
          <w:szCs w:val="24"/>
        </w:rPr>
        <w:t>) in accordance with Fe</w:t>
      </w:r>
      <w:r w:rsidR="00053D52" w:rsidRPr="00053D52">
        <w:rPr>
          <w:color w:val="000000"/>
          <w:szCs w:val="24"/>
          <w:vertAlign w:val="subscript"/>
        </w:rPr>
        <w:t>EF</w:t>
      </w:r>
      <w:r w:rsidR="00053D52" w:rsidRPr="00053D52">
        <w:rPr>
          <w:color w:val="000000"/>
          <w:szCs w:val="24"/>
        </w:rPr>
        <w:t xml:space="preserve"> estimated</w:t>
      </w:r>
      <w:r>
        <w:rPr>
          <w:color w:val="000000"/>
          <w:szCs w:val="24"/>
        </w:rPr>
        <w:t xml:space="preserve"> here</w:t>
      </w:r>
      <w:r w:rsidR="00053D52" w:rsidRPr="00053D52">
        <w:rPr>
          <w:color w:val="000000"/>
          <w:szCs w:val="24"/>
        </w:rPr>
        <w:t xml:space="preserve"> (</w:t>
      </w:r>
      <w:r w:rsidR="00053D52" w:rsidRPr="00053D52">
        <w:rPr>
          <w:i/>
          <w:iCs/>
          <w:color w:val="000000"/>
          <w:szCs w:val="24"/>
        </w:rPr>
        <w:t>Table 2</w:t>
      </w:r>
      <w:r w:rsidR="00053D52" w:rsidRPr="00053D52">
        <w:rPr>
          <w:color w:val="000000"/>
          <w:szCs w:val="24"/>
        </w:rPr>
        <w:t xml:space="preserve">). The Boström index variability over the year suggests an important role of subsurface dynamics in delivering lithogenic material at 200 m at station 12. Consistent with this distal </w:t>
      </w:r>
      <w:r>
        <w:rPr>
          <w:color w:val="000000"/>
          <w:szCs w:val="24"/>
        </w:rPr>
        <w:t>contribution</w:t>
      </w:r>
      <w:r w:rsidR="00053D52" w:rsidRPr="00053D52">
        <w:rPr>
          <w:color w:val="000000"/>
          <w:szCs w:val="24"/>
        </w:rPr>
        <w:t>, no Cu</w:t>
      </w:r>
      <w:r w:rsidR="00053D52" w:rsidRPr="00053D52">
        <w:rPr>
          <w:color w:val="000000"/>
          <w:szCs w:val="24"/>
          <w:vertAlign w:val="subscript"/>
        </w:rPr>
        <w:t>EF</w:t>
      </w:r>
      <w:r w:rsidR="00053D52" w:rsidRPr="00053D52">
        <w:rPr>
          <w:color w:val="000000"/>
          <w:szCs w:val="24"/>
        </w:rPr>
        <w:t xml:space="preserve"> and Ni</w:t>
      </w:r>
      <w:r w:rsidR="00053D52" w:rsidRPr="00053D52">
        <w:rPr>
          <w:color w:val="000000"/>
          <w:szCs w:val="24"/>
          <w:vertAlign w:val="subscript"/>
        </w:rPr>
        <w:t>EF</w:t>
      </w:r>
      <w:r w:rsidR="00053D52" w:rsidRPr="00053D52">
        <w:rPr>
          <w:color w:val="000000"/>
          <w:szCs w:val="24"/>
        </w:rPr>
        <w:t xml:space="preserve"> were detected at this trap. As at station 10, a small proportion of the Zn</w:t>
      </w:r>
      <w:r w:rsidR="00053D52" w:rsidRPr="00053D52">
        <w:rPr>
          <w:color w:val="000000"/>
          <w:szCs w:val="24"/>
          <w:vertAlign w:val="subscript"/>
        </w:rPr>
        <w:t>EF</w:t>
      </w:r>
      <w:r w:rsidR="00053D52" w:rsidRPr="00053D52">
        <w:rPr>
          <w:color w:val="000000"/>
          <w:szCs w:val="24"/>
        </w:rPr>
        <w:t xml:space="preserve"> can be partially attributed to organic matter </w:t>
      </w:r>
      <w:r>
        <w:rPr>
          <w:color w:val="000000"/>
          <w:szCs w:val="24"/>
        </w:rPr>
        <w:t xml:space="preserve">supplies </w:t>
      </w:r>
      <w:r w:rsidR="00053D52" w:rsidRPr="00053D52">
        <w:rPr>
          <w:color w:val="000000"/>
          <w:szCs w:val="24"/>
        </w:rPr>
        <w:t xml:space="preserve">(up to 2% biologically-derived Zn, depending on the collection period). At 1000 m, a lower index was measured (43 ± 6; </w:t>
      </w:r>
      <w:r w:rsidR="00053D52" w:rsidRPr="00053D52">
        <w:rPr>
          <w:i/>
          <w:iCs/>
          <w:color w:val="000000"/>
          <w:szCs w:val="24"/>
        </w:rPr>
        <w:t>Table 3</w:t>
      </w:r>
      <w:r w:rsidR="00053D52" w:rsidRPr="00053D52">
        <w:rPr>
          <w:color w:val="000000"/>
          <w:szCs w:val="24"/>
        </w:rPr>
        <w:t>) reflecting an influx of hydrothermal material, especially Fe (Fe</w:t>
      </w:r>
      <w:r w:rsidR="00053D52" w:rsidRPr="00053D52">
        <w:rPr>
          <w:color w:val="000000"/>
          <w:szCs w:val="24"/>
          <w:vertAlign w:val="subscript"/>
        </w:rPr>
        <w:t>EF</w:t>
      </w:r>
      <w:r w:rsidR="00053D52" w:rsidRPr="00053D52">
        <w:rPr>
          <w:color w:val="000000"/>
          <w:szCs w:val="24"/>
        </w:rPr>
        <w:t xml:space="preserve"> = 1.7</w:t>
      </w:r>
      <w:r>
        <w:rPr>
          <w:color w:val="000000"/>
          <w:szCs w:val="24"/>
        </w:rPr>
        <w:t xml:space="preserve">; </w:t>
      </w:r>
      <w:r w:rsidR="00053D52" w:rsidRPr="00053D52">
        <w:rPr>
          <w:i/>
          <w:iCs/>
          <w:color w:val="000000"/>
          <w:szCs w:val="24"/>
        </w:rPr>
        <w:t xml:space="preserve">Fig. </w:t>
      </w:r>
      <w:r w:rsidR="00853C2F">
        <w:rPr>
          <w:i/>
          <w:iCs/>
          <w:color w:val="000000"/>
          <w:szCs w:val="24"/>
        </w:rPr>
        <w:t>5</w:t>
      </w:r>
      <w:r w:rsidR="00053D52" w:rsidRPr="00053D52">
        <w:rPr>
          <w:i/>
          <w:iCs/>
          <w:color w:val="000000"/>
          <w:szCs w:val="24"/>
        </w:rPr>
        <w:t>b</w:t>
      </w:r>
      <w:r w:rsidR="00053D52" w:rsidRPr="00053D52">
        <w:rPr>
          <w:color w:val="000000"/>
          <w:szCs w:val="24"/>
        </w:rPr>
        <w:t>), from distal shallow or deep source(s) likely located along the Tonga Arc. However, the absence of Mn</w:t>
      </w:r>
      <w:r w:rsidR="00053D52" w:rsidRPr="00053D52">
        <w:rPr>
          <w:color w:val="000000"/>
          <w:szCs w:val="24"/>
          <w:vertAlign w:val="subscript"/>
        </w:rPr>
        <w:t xml:space="preserve">EF </w:t>
      </w:r>
      <w:r w:rsidR="00053D52" w:rsidRPr="00053D52">
        <w:rPr>
          <w:color w:val="000000"/>
          <w:szCs w:val="24"/>
        </w:rPr>
        <w:t xml:space="preserve">(= 0.6) can be explained through the presence of volcanic material originating from the erosion of </w:t>
      </w:r>
      <w:r w:rsidR="00A5530F">
        <w:rPr>
          <w:color w:val="000000"/>
          <w:szCs w:val="24"/>
        </w:rPr>
        <w:t xml:space="preserve">the </w:t>
      </w:r>
      <w:r w:rsidR="00053D52" w:rsidRPr="00053D52">
        <w:rPr>
          <w:color w:val="000000"/>
          <w:szCs w:val="24"/>
        </w:rPr>
        <w:t>New Late’iki island that brought Al</w:t>
      </w:r>
      <w:r w:rsidR="00A5530F">
        <w:rPr>
          <w:color w:val="000000"/>
          <w:szCs w:val="24"/>
        </w:rPr>
        <w:t>, LSi</w:t>
      </w:r>
      <w:r w:rsidR="00053D52" w:rsidRPr="00053D52">
        <w:rPr>
          <w:color w:val="000000"/>
          <w:szCs w:val="24"/>
        </w:rPr>
        <w:t xml:space="preserve"> and Fe-rich but Mn-poor volcanic particles to the trap, thus impacting the measured index</w:t>
      </w:r>
      <w:r w:rsidR="00A5530F">
        <w:rPr>
          <w:color w:val="000000"/>
          <w:szCs w:val="24"/>
        </w:rPr>
        <w:t xml:space="preserve"> </w:t>
      </w:r>
      <w:r w:rsidR="00A5530F">
        <w:rPr>
          <w:color w:val="000000"/>
        </w:rPr>
        <w:t>(i.e., by increasing it)</w:t>
      </w:r>
      <w:r w:rsidR="00053D52" w:rsidRPr="00053D52">
        <w:rPr>
          <w:color w:val="000000"/>
          <w:szCs w:val="24"/>
        </w:rPr>
        <w:t>. Indeed, a small LSi</w:t>
      </w:r>
      <w:r w:rsidR="00053D52" w:rsidRPr="00053D52">
        <w:rPr>
          <w:color w:val="000000"/>
          <w:szCs w:val="24"/>
          <w:vertAlign w:val="subscript"/>
        </w:rPr>
        <w:t>EF</w:t>
      </w:r>
      <w:r w:rsidR="00053D52" w:rsidRPr="00053D52">
        <w:rPr>
          <w:color w:val="000000"/>
          <w:szCs w:val="24"/>
        </w:rPr>
        <w:t xml:space="preserve"> was visible </w:t>
      </w:r>
      <w:r w:rsidR="00053D52" w:rsidRPr="00053D52">
        <w:rPr>
          <w:color w:val="000000"/>
          <w:szCs w:val="24"/>
        </w:rPr>
        <w:lastRenderedPageBreak/>
        <w:t>during the austral summer period (x3 ± 1 between December</w:t>
      </w:r>
      <w:r>
        <w:rPr>
          <w:color w:val="000000"/>
          <w:szCs w:val="24"/>
        </w:rPr>
        <w:t xml:space="preserve"> 2019</w:t>
      </w:r>
      <w:r w:rsidR="00053D52" w:rsidRPr="00053D52">
        <w:rPr>
          <w:color w:val="000000"/>
          <w:szCs w:val="24"/>
        </w:rPr>
        <w:t xml:space="preserve"> and March</w:t>
      </w:r>
      <w:r>
        <w:rPr>
          <w:color w:val="000000"/>
          <w:szCs w:val="24"/>
        </w:rPr>
        <w:t xml:space="preserve"> 2020</w:t>
      </w:r>
      <w:r w:rsidR="00053D52" w:rsidRPr="00053D52">
        <w:rPr>
          <w:color w:val="000000"/>
          <w:szCs w:val="24"/>
        </w:rPr>
        <w:t xml:space="preserve">), </w:t>
      </w:r>
      <w:r>
        <w:rPr>
          <w:color w:val="000000"/>
        </w:rPr>
        <w:t>reaching enrichment values up to 7 compared to reference pelagic clays during the period February 8-23, 2020</w:t>
      </w:r>
      <w:r w:rsidR="00053D52" w:rsidRPr="00053D52">
        <w:rPr>
          <w:color w:val="000000"/>
          <w:szCs w:val="24"/>
        </w:rPr>
        <w:t>. These LSi</w:t>
      </w:r>
      <w:r w:rsidR="00053D52" w:rsidRPr="00053D52">
        <w:rPr>
          <w:color w:val="000000"/>
          <w:szCs w:val="24"/>
          <w:vertAlign w:val="subscript"/>
        </w:rPr>
        <w:t>EF</w:t>
      </w:r>
      <w:r w:rsidR="00053D52" w:rsidRPr="00053D52">
        <w:rPr>
          <w:color w:val="000000"/>
          <w:szCs w:val="24"/>
        </w:rPr>
        <w:t xml:space="preserve"> likely originated from the Late’iki volcano (which erupted in mid-October 2019;</w:t>
      </w:r>
      <w:r w:rsidR="00F62F55">
        <w:rPr>
          <w:color w:val="000000"/>
          <w:szCs w:val="24"/>
        </w:rPr>
        <w:t xml:space="preserve"> </w:t>
      </w:r>
      <w:r w:rsidR="00F62F55">
        <w:rPr>
          <w:color w:val="000000"/>
          <w:szCs w:val="24"/>
        </w:rPr>
        <w:fldChar w:fldCharType="begin"/>
      </w:r>
      <w:r w:rsidR="00BF4A6D">
        <w:rPr>
          <w:color w:val="000000"/>
          <w:szCs w:val="24"/>
        </w:rPr>
        <w:instrText xml:space="preserve"> ADDIN ZOTERO_ITEM CSL_CITATION {"citationID":"zwwG5xnF","properties":{"formattedCitation":"(Plank et al., 2020)","plainCitation":"(Plank et al., 2020)","dontUpdate":true,"noteIndex":0},"citationItems":[{"id":276,"uris":["http://zotero.org/users/local/01lnVYoF/items/53CVV8G3"],"itemData":{"id":276,"type":"article-journal","abstract":"Abstract\n            Satellite-based Earth observation plays a key role for monitoring volcanoes, especially those which are located in remote areas and which very often are not observed by a terrestrial monitoring network. In our study we jointly analyzed data from thermal (Moderate Resolution Imaging Spectrometer MODIS and Visible Infrared Imaging Radiometer Suite VIIRS), optical (Operational Land Imager and Multispectral Instrument) and synthetic aperture radar (SAR) (Sentinel-1 and TerraSAR-X) satellite sensors to investigate the mid-October 2019 surtseyan eruption at Late’iki Volcano, located on the Tonga Volcanic Arc. During the eruption, the remains of an older volcanic island formed in 1995 collapsed and a new volcanic island, called New Late’iki was formed. After the 12 days long lasting eruption, we observed a rapid change of the island’s shape and size, and an erosion of this newly formed volcanic island, which was reclaimed by the ocean two months after the eruption ceased. This fast erosion of New Late’iki Island is in strong contrast to the over 25 years long survival of the volcanic island formed in 1995.","container-title":"Scientific Reports","DOI":"10.1038/s41598-020-79261-7","ISSN":"2045-2322","issue":"1","journalAbbreviation":"Sci Rep","language":"en","page":"22293","source":"DOI.org (Crossref)","title":"The short life of the volcanic island New Late’iki (Tonga) analyzed by multi-sensor remote sensing data","volume":"10","author":[{"family":"Plank","given":"Simon"},{"family":"Marchese","given":"Francesco"},{"family":"Genzano","given":"Nicola"},{"family":"Nolde","given":"Michael"},{"family":"Martinis","given":"Sandro"}],"issued":{"date-parts":[["2020",12]]}}}],"schema":"https://github.com/citation-style-language/schema/raw/master/csl-citation.json"} </w:instrText>
      </w:r>
      <w:r w:rsidR="00F62F55">
        <w:rPr>
          <w:color w:val="000000"/>
          <w:szCs w:val="24"/>
        </w:rPr>
        <w:fldChar w:fldCharType="separate"/>
      </w:r>
      <w:r w:rsidR="00F62F55" w:rsidRPr="00F62F55">
        <w:rPr>
          <w:rFonts w:cs="Times New Roman"/>
        </w:rPr>
        <w:t>Plank et al., 2020)</w:t>
      </w:r>
      <w:r w:rsidR="00F62F55">
        <w:rPr>
          <w:color w:val="000000"/>
          <w:szCs w:val="24"/>
        </w:rPr>
        <w:fldChar w:fldCharType="end"/>
      </w:r>
      <w:r w:rsidR="00053D52" w:rsidRPr="00053D52">
        <w:rPr>
          <w:color w:val="000000"/>
          <w:szCs w:val="24"/>
        </w:rPr>
        <w:t xml:space="preserve"> and the subsequent fast erosion of the newly created island (within two months post-eruption), consistent with the main western current potentially carrying basaltic glass to station 12 </w:t>
      </w:r>
      <w:r w:rsidR="00F62F55">
        <w:rPr>
          <w:color w:val="000000"/>
          <w:szCs w:val="24"/>
        </w:rPr>
        <w:fldChar w:fldCharType="begin"/>
      </w:r>
      <w:r w:rsidR="00F62F55">
        <w:rPr>
          <w:color w:val="000000"/>
          <w:szCs w:val="24"/>
        </w:rPr>
        <w:instrText xml:space="preserve"> ADDIN ZOTERO_ITEM CSL_CITATION {"citationID":"NA9KeI7i","properties":{"formattedCitation":"(Tilliette et al., 2022)","plainCitation":"(Tilliette et al., 2022)","noteIndex":0},"citationItems":[{"id":819,"uris":["http://zotero.org/users/local/01lnVYoF/items/YIPANZYN"],"itemData":{"id":819,"type":"article-journal","container-title":"Global Biogeochemical Cycles","DOI":"10.1029/2022GB007363","ISSN":"0886-6236, 1944-9224","journalAbbreviation":"Global Biogeochemical Cycles","language":"en","source":"DOI.org (Crossref)","title":"Dissolved iron patterns impacted by shallow hydrothermal sources along a transect through the Tonga‐Kermadec arc","URL":"https://onlinelibrary.wiley.com/doi/10.1029/2022GB007363","author":[{"family":"Tilliette","given":"Chloé"},{"family":"Taillandier","given":"Vincent"},{"family":"Bouruet‐Aubertot","given":"Pascale"},{"family":"Grima","given":"Nicolas"},{"family":"Maes","given":"Christophe"},{"family":"Montanes","given":"Maryline"},{"family":"Sarthou","given":"Géraldine"},{"family":"Vorrath","given":"Maria-Elena"},{"family":"Arnone","given":"Veronica"},{"family":"Bressac","given":"Matthieu"},{"family":"González‐Santana","given":"David"},{"family":"Gazeau","given":"Frédéric"},{"family":"Guieu","given":"Cécile"}],"accessed":{"date-parts":[["2022",7,4]]},"issued":{"date-parts":[["2022",7,4]]}}}],"schema":"https://github.com/citation-style-language/schema/raw/master/csl-citation.json"} </w:instrText>
      </w:r>
      <w:r w:rsidR="00F62F55">
        <w:rPr>
          <w:color w:val="000000"/>
          <w:szCs w:val="24"/>
        </w:rPr>
        <w:fldChar w:fldCharType="separate"/>
      </w:r>
      <w:r w:rsidR="00F62F55" w:rsidRPr="00F62F55">
        <w:rPr>
          <w:rFonts w:cs="Times New Roman"/>
        </w:rPr>
        <w:t>(Tilliette et al., 2022)</w:t>
      </w:r>
      <w:r w:rsidR="00F62F55">
        <w:rPr>
          <w:color w:val="000000"/>
          <w:szCs w:val="24"/>
        </w:rPr>
        <w:fldChar w:fldCharType="end"/>
      </w:r>
      <w:r w:rsidR="00053D52" w:rsidRPr="00053D52">
        <w:rPr>
          <w:color w:val="000000"/>
          <w:szCs w:val="24"/>
        </w:rPr>
        <w:t>. This hypothesis is supported by the travel time of particles from station 10 (about 15 km away from New Late’iki) to the fixed trap site at station 12 estimated to be about a hundred days at 1000 m by the Ariane Lagrangian dispersion tool (Grima, pers. comm., 2022; see Section 4.2). Indeed, no further LSi</w:t>
      </w:r>
      <w:r w:rsidR="00053D52" w:rsidRPr="00053D52">
        <w:rPr>
          <w:color w:val="000000"/>
          <w:szCs w:val="24"/>
          <w:vertAlign w:val="subscript"/>
        </w:rPr>
        <w:t xml:space="preserve">EF </w:t>
      </w:r>
      <w:r w:rsidR="00053D52" w:rsidRPr="00053D52">
        <w:rPr>
          <w:color w:val="000000"/>
          <w:szCs w:val="24"/>
        </w:rPr>
        <w:t xml:space="preserve">was detected at 1000 m at station 12 about 150 days after the submarine volcano eruption (x0.4 ± 0.3 between March and October 2020), and about 70 days </w:t>
      </w:r>
      <w:r>
        <w:rPr>
          <w:color w:val="000000"/>
        </w:rPr>
        <w:t>after the island disappearance due to erosion</w:t>
      </w:r>
      <w:r w:rsidR="00053D52" w:rsidRPr="00053D52">
        <w:rPr>
          <w:color w:val="000000"/>
          <w:szCs w:val="24"/>
        </w:rPr>
        <w:t>, in agreement with the estimated dispersal times at 1000 m.</w:t>
      </w:r>
      <w:r w:rsidR="00E55C8B" w:rsidRPr="00E55C8B">
        <w:rPr>
          <w:color w:val="000000"/>
        </w:rPr>
        <w:t xml:space="preserve"> </w:t>
      </w:r>
      <w:r w:rsidR="00E55C8B">
        <w:rPr>
          <w:color w:val="000000"/>
        </w:rPr>
        <w:t xml:space="preserve">As explained in section 4.3.4, a significant amount of organic material, likely due to fertilization of biological communities through shallow hydrothermal inputs, was collected in the traps deployed at all stations of the Lau Basin. In view of the large quantity of material ejected following the Late’iki eruption, it is interesting to consider possible co-fertilization by both hydrothermal and volcanic processes. However, such volcanic fertilization is unlikely since no volcanic signature was detected in the traps deployed at 200 m and recent studies in the region have demonstrated that volcanic material, particularly basaltic glass, is poorly bioavailable and did not generate a significant response from the biology </w:t>
      </w:r>
      <w:r w:rsidR="00E55C8B">
        <w:rPr>
          <w:color w:val="000000"/>
        </w:rPr>
        <w:fldChar w:fldCharType="begin"/>
      </w:r>
      <w:r w:rsidR="00E55C8B">
        <w:rPr>
          <w:color w:val="000000"/>
        </w:rPr>
        <w:instrText xml:space="preserve"> ADDIN ZOTERO_ITEM CSL_CITATION {"citationID":"U87tsoPY","properties":{"formattedCitation":"(Whiteside et al., 2023, 2021)","plainCitation":"(Whiteside et al., 2023, 2021)","noteIndex":0},"citationItems":[{"id":1771,"uris":["http://zotero.org/users/local/01lnVYoF/items/X8WZRKM6"],"itemData":{"id":1771,"type":"article-journal","abstract":"A powerful eruption within the Hunga Tonga-Hunga Ha’apai (HTHH) volcano (20.64°S, 175.19°W) in the Kingdom of Tonga, occurred on 15 January 2022. The volcanic blast was enormous, leading many scientists to investigate the full impact and magnitude of this event\n              via\n              satellite observations. In this study, we describe a new ocean color signature from a discolored water patch created by the HTHH eruption using NASA and CMEMS products of satellite-derived biological and optical properties. Elevated surface chlorophyll-a concentration (Chl-a) between 0.15 to 2.7 mg.m\n              -3\n              was not associated with phytoplankton growth, but to basalt-andesitic ash material expelled by the volcano and into the ocean, which resulted in erroneous Chl-a estimates. Distribution of the patch over time was aligned with CMEMS ocean currents for 19 days. The gradual decrease of light attenuation or diffuse attenuation coefficient for downward irradiance at 490 nm, K\n              \n                d\n              \n              (490), was interpreted as due to the sinking of ash particles with time. It is suggested that due to high porosity of 30-40%, a density close to that of seawater, ash particles stay suspended in the water column for more than 10 days with sustained high values of satellite-derived Chl-a, K\n              \n                d\n              \n              (490), and particulate backscattering coefficient at 443 nm. The high attenuation of light due to ash, reducing the penetration depth to less than 10 meters during the first period after the eruption may have had implications on ecological processes and biogeochemical cycles in Tongan waters.","container-title":"Frontiers in Marine Science","DOI":"10.3389/fmars.2022.1028022","ISSN":"2296-7745","journalAbbreviation":"Front. Mar. Sci.","page":"1028022","source":"DOI.org (Crossref)","title":"Impact of ashes from the 2022 Tonga volcanic eruption on satellite ocean color signatures","volume":"9","author":[{"family":"Whiteside","given":"Andra"},{"family":"Dupouy","given":"Cécile"},{"family":"Singh","given":"Awnesh"},{"family":"Bani","given":"Philipson"},{"family":"Tan","given":"Jing"},{"family":"Frouin","given":"Robert"}],"issued":{"date-parts":[["2023",1,4]]}}},{"id":1773,"uris":["http://zotero.org/users/local/01lnVYoF/items/GHCIXNMQ"],"itemData":{"id":1773,"type":"article-journal","abstract":"An underwater volcanic eruption off the Vava’u island group in Tonga on 7 August 2019 resulted in the creation of floating pumice on the ocean’s surface extending over an area of 150 km2. The pumice’s far-reaching effects from its origin in the Tonga region to Fiji and the methods of automatic detection using satellite imagery are described, making it possible to track the westward drift of the pumice raft over 43 days. Level 2 Moderate Resolution Imaging Spectroradiometer (MODIS), Visible Infrared Imaging Radiometer Suite (VIIRS), Sentinel-3 Ocean and Land Color Instrument (OLCI), and Sentinel-3 Sea and Land Surface Temperature Radiometer (SLSTR) imagery of sea surface temperature, chlorophyll-a concentration, quasi-surface (i.e., Rayleigh-corrected) reflectance, and remote sensing reflectance were used to distinguish consolidated and fragmented rafts as well as discolored and mesotrophic waters. The rafts were detected by a 1 to 3.5 °C enhancement in the MODIS-derived “sea surface temperature” due to the emissivity difference of the raft material. Large plumes of discolored waters, characterized by higher satellite reflectance/backscattering of particles in the blue than surrounding waters (and corresponding to either submersed pumice or associated white minerals), were associated with the rafts. The discolored waters had relatively lower chlorophyll-a concentration, but this was artificial, resulting from the higher blue/red reflectance ratio caused by the reflective pumice particles. Mesotrophic waters were scarce in the region of the pumice rafts, presumably due to the absence of phytoplanktonic response to a silicium-rich pumice environment in these tropical oligotrophic environments. As beach accumulations around Pacific islands surrounded by coral shoals are a recurrent phenomenon that finds its origin far east in the ocean along the Tongan trench, monitoring the events from space, as demonstrated for the 7 August 2019 eruption, might help mitigate their potential economic impacts.","container-title":"Remote Sensing","DOI":"10.3390/rs13030501","ISSN":"2072-4292","issue":"3","journalAbbreviation":"Remote Sensing","language":"en","page":"501","source":"DOI.org (Crossref)","title":"Automatic Detection of Optical Signatures within and around Floating Tonga-Fiji Pumice Rafts Using MODIS, VIIRS, and OLCI Satellite Sensors","volume":"13","author":[{"family":"Whiteside","given":"Andra"},{"family":"Dupouy","given":"Cécile"},{"family":"Singh","given":"Awnesh"},{"family":"Frouin","given":"Robert"},{"family":"Menkes","given":"Christophe"},{"family":"Lefèvre","given":"Jerome"}],"issued":{"date-parts":[["2021",1,31]]}}}],"schema":"https://github.com/citation-style-language/schema/raw/master/csl-citation.json"} </w:instrText>
      </w:r>
      <w:r w:rsidR="00E55C8B">
        <w:rPr>
          <w:color w:val="000000"/>
        </w:rPr>
        <w:fldChar w:fldCharType="separate"/>
      </w:r>
      <w:r w:rsidR="00E55C8B" w:rsidRPr="00E55C8B">
        <w:rPr>
          <w:rFonts w:cs="Times New Roman"/>
        </w:rPr>
        <w:t>(Whiteside et al., 2023, 2021)</w:t>
      </w:r>
      <w:r w:rsidR="00E55C8B">
        <w:rPr>
          <w:color w:val="000000"/>
        </w:rPr>
        <w:fldChar w:fldCharType="end"/>
      </w:r>
      <w:r w:rsidR="00E55C8B">
        <w:rPr>
          <w:color w:val="000000"/>
        </w:rPr>
        <w:t>.</w:t>
      </w:r>
    </w:p>
    <w:p w14:paraId="4A231843" w14:textId="591C5B75" w:rsidR="00DF6CF2" w:rsidRPr="0044515E" w:rsidRDefault="00AA5F87" w:rsidP="00DF6CF2">
      <w:pPr>
        <w:spacing w:line="480" w:lineRule="auto"/>
        <w:jc w:val="both"/>
      </w:pPr>
      <w:r>
        <w:rPr>
          <w:color w:val="000000"/>
        </w:rPr>
        <w:t xml:space="preserve">In seafloor sediments, a </w:t>
      </w:r>
      <w:r w:rsidR="000F21FD">
        <w:rPr>
          <w:color w:val="000000"/>
        </w:rPr>
        <w:t xml:space="preserve">mean </w:t>
      </w:r>
      <w:r>
        <w:rPr>
          <w:color w:val="000000"/>
        </w:rPr>
        <w:t>Boström index of 16 ± 1 reflect</w:t>
      </w:r>
      <w:r w:rsidR="000F21FD">
        <w:rPr>
          <w:color w:val="000000"/>
        </w:rPr>
        <w:t>s</w:t>
      </w:r>
      <w:r>
        <w:rPr>
          <w:color w:val="000000"/>
        </w:rPr>
        <w:t xml:space="preserve"> a strong hydrothermal signature of a likely near-vent field </w:t>
      </w:r>
      <w:r w:rsidR="00D00B8B">
        <w:rPr>
          <w:color w:val="000000"/>
        </w:rPr>
        <w:t>(</w:t>
      </w:r>
      <w:r w:rsidR="00D00B8B" w:rsidRPr="00D00B8B">
        <w:rPr>
          <w:i/>
          <w:iCs/>
          <w:color w:val="000000"/>
        </w:rPr>
        <w:t>Table 3</w:t>
      </w:r>
      <w:r w:rsidR="00D00B8B">
        <w:rPr>
          <w:color w:val="000000"/>
        </w:rPr>
        <w:t xml:space="preserve">) </w:t>
      </w:r>
      <w:r w:rsidR="00875C2D">
        <w:rPr>
          <w:color w:val="000000"/>
        </w:rPr>
        <w:t>with material exhibiting high</w:t>
      </w:r>
      <w:r>
        <w:rPr>
          <w:color w:val="000000"/>
        </w:rPr>
        <w:t xml:space="preserve"> Fe</w:t>
      </w:r>
      <w:r w:rsidR="005D1DA4">
        <w:rPr>
          <w:color w:val="000000"/>
          <w:vertAlign w:val="subscript"/>
        </w:rPr>
        <w:t>XS</w:t>
      </w:r>
      <w:r>
        <w:rPr>
          <w:color w:val="000000"/>
        </w:rPr>
        <w:t xml:space="preserve"> (up to 5 wt.%) and Mn</w:t>
      </w:r>
      <w:r w:rsidR="005D1DA4">
        <w:rPr>
          <w:color w:val="000000"/>
          <w:vertAlign w:val="subscript"/>
        </w:rPr>
        <w:t>XS</w:t>
      </w:r>
      <w:r>
        <w:rPr>
          <w:color w:val="000000"/>
        </w:rPr>
        <w:t xml:space="preserve"> (up to 20 wt.%; </w:t>
      </w:r>
      <w:r>
        <w:rPr>
          <w:i/>
          <w:iCs/>
          <w:color w:val="000000"/>
        </w:rPr>
        <w:t xml:space="preserve">Figs. 3, </w:t>
      </w:r>
      <w:r w:rsidR="00241C75">
        <w:rPr>
          <w:i/>
          <w:iCs/>
          <w:color w:val="000000"/>
        </w:rPr>
        <w:t>5</w:t>
      </w:r>
      <w:r w:rsidR="00D00B8B">
        <w:rPr>
          <w:i/>
          <w:iCs/>
          <w:color w:val="000000"/>
        </w:rPr>
        <w:t>c</w:t>
      </w:r>
      <w:r>
        <w:rPr>
          <w:color w:val="000000"/>
        </w:rPr>
        <w:t>)</w:t>
      </w:r>
      <w:r w:rsidR="00DF6CF2" w:rsidRPr="00FF6D1B">
        <w:rPr>
          <w:rFonts w:cs="Times New Roman"/>
        </w:rPr>
        <w:t xml:space="preserve">. Although this result was unexpected, </w:t>
      </w:r>
      <w:r w:rsidR="00DF6CF2">
        <w:rPr>
          <w:rFonts w:cs="Times New Roman"/>
        </w:rPr>
        <w:t>t</w:t>
      </w:r>
      <w:r w:rsidR="00DF6CF2" w:rsidRPr="00FF6D1B">
        <w:rPr>
          <w:rFonts w:cs="Times New Roman"/>
        </w:rPr>
        <w:t xml:space="preserve">he presence of a nearby source at </w:t>
      </w:r>
      <w:r w:rsidR="00DF6CF2">
        <w:rPr>
          <w:rFonts w:cs="Times New Roman"/>
        </w:rPr>
        <w:t xml:space="preserve">the seafloor of </w:t>
      </w:r>
      <w:r w:rsidR="00AB73BC">
        <w:rPr>
          <w:rFonts w:cs="Times New Roman"/>
        </w:rPr>
        <w:t>station 12</w:t>
      </w:r>
      <w:r w:rsidR="00DF6CF2" w:rsidRPr="00FF6D1B">
        <w:rPr>
          <w:rFonts w:cs="Times New Roman"/>
        </w:rPr>
        <w:t xml:space="preserve"> is</w:t>
      </w:r>
      <w:r w:rsidR="00861114">
        <w:rPr>
          <w:rFonts w:cs="Times New Roman"/>
        </w:rPr>
        <w:t xml:space="preserve"> </w:t>
      </w:r>
      <w:r w:rsidR="00DF6CF2" w:rsidRPr="00FF6D1B">
        <w:rPr>
          <w:rFonts w:cs="Times New Roman"/>
        </w:rPr>
        <w:t xml:space="preserve">supported by </w:t>
      </w:r>
      <w:r w:rsidR="00DF6CF2">
        <w:rPr>
          <w:rFonts w:cs="Times New Roman"/>
        </w:rPr>
        <w:t>the high accumulation rates (x</w:t>
      </w:r>
      <w:r w:rsidR="00241C75">
        <w:rPr>
          <w:rFonts w:cs="Times New Roman"/>
        </w:rPr>
        <w:t>122-</w:t>
      </w:r>
      <w:r w:rsidR="00DF6CF2">
        <w:rPr>
          <w:rFonts w:cs="Times New Roman"/>
        </w:rPr>
        <w:t xml:space="preserve">610 relative to pelagic clays; </w:t>
      </w:r>
      <w:r w:rsidR="00DF6CF2">
        <w:rPr>
          <w:rFonts w:cs="Times New Roman"/>
        </w:rPr>
        <w:fldChar w:fldCharType="begin"/>
      </w:r>
      <w:r w:rsidR="00DF6CF2">
        <w:rPr>
          <w:rFonts w:cs="Times New Roman"/>
        </w:rPr>
        <w:instrText xml:space="preserve"> ADDIN ZOTERO_ITEM CSL_CITATION {"citationID":"d04kY6wf","properties":{"formattedCitation":"(Li and Schoonmaker, 2003)","plainCitation":"(Li and Schoonmaker, 2003)","dontUpdate":true,"noteIndex":0},"citationItems":[{"id":838,"uris":["http://zotero.org/users/local/01lnVYoF/items/P87ZQSZA"],"itemData":{"id":838,"type":"chapter","container-title":"Treatise on Geochemistry","ISBN":"978-0-08-043751-4","language":"en","note":"DOI: 10.1016/B0-08-043751-6/07088-2","page":"1-35","publisher":"Elsevier","source":"DOI.org (Crossref)","title":"Chemical Composition and Mineralogy of Marine Sediments","URL":"https://linkinghub.elsevier.com/retrieve/pii/B0080437516070882","author":[{"family":"Li","given":"Y.-H."},{"family":"Schoonmaker","given":"J.E."}],"accessed":{"date-parts":[["2022",7,11]]},"issued":{"date-parts":[["2003"]]}}}],"schema":"https://github.com/citation-style-language/schema/raw/master/csl-citation.json"} </w:instrText>
      </w:r>
      <w:r w:rsidR="00DF6CF2">
        <w:rPr>
          <w:rFonts w:cs="Times New Roman"/>
        </w:rPr>
        <w:fldChar w:fldCharType="separate"/>
      </w:r>
      <w:r w:rsidR="00DF6CF2" w:rsidRPr="00C048D2">
        <w:rPr>
          <w:rFonts w:cs="Times New Roman"/>
        </w:rPr>
        <w:t>Li and Schoonmaker, 2003)</w:t>
      </w:r>
      <w:r w:rsidR="00DF6CF2">
        <w:rPr>
          <w:rFonts w:cs="Times New Roman"/>
        </w:rPr>
        <w:fldChar w:fldCharType="end"/>
      </w:r>
      <w:r w:rsidR="00861114">
        <w:rPr>
          <w:rFonts w:cs="Times New Roman"/>
        </w:rPr>
        <w:t xml:space="preserve">, </w:t>
      </w:r>
      <w:r>
        <w:rPr>
          <w:color w:val="000000"/>
        </w:rPr>
        <w:t>the particle size distribution, with grain up to 976 µm</w:t>
      </w:r>
      <w:r w:rsidR="00DF6CF2" w:rsidRPr="00FF6D1B">
        <w:rPr>
          <w:rFonts w:cs="Times New Roman"/>
        </w:rPr>
        <w:t xml:space="preserve">, typical of near-vent debris </w:t>
      </w:r>
      <w:r w:rsidR="00DF6CF2" w:rsidRPr="00FF6D1B">
        <w:rPr>
          <w:rFonts w:cs="Times New Roman"/>
        </w:rPr>
        <w:lastRenderedPageBreak/>
        <w:fldChar w:fldCharType="begin"/>
      </w:r>
      <w:r w:rsidR="00F70573">
        <w:rPr>
          <w:rFonts w:cs="Times New Roman"/>
        </w:rPr>
        <w:instrText xml:space="preserve"> ADDIN ZOTERO_ITEM CSL_CITATION {"citationID":"eHbKKSX6","properties":{"formattedCitation":"(Feely et al., 1990, 1987; Lou et al., 2020; Ng et al., 2019)","plainCitation":"(Feely et al., 1990, 1987; Lou et al., 2020; Ng et al., 2019)","noteIndex":0},"citationItems":[{"id":1023,"uris":["http://zotero.org/users/local/01lnVYoF/items/CP9CUK8X"],"itemData":{"id":1023,"type":"article-journal","container-title":"Journal of Geophysical Research","DOI":"10.1029/JB095iB08p12855","ISSN":"0148-0227","issue":"B8","journalAbbreviation":"J. Geophys. Res.","language":"en","page":"12855","source":"DOI.org (Crossref)","title":"Distribution and composition of hydrothermal plume particles from the ASHES Vent Field at Axial Volcano, Juan de Fuca Ridge","volume":"95","author":[{"family":"Feely","given":"R. A."},{"family":"Geiselman","given":"T. L."},{"family":"Baker","given":"E. T."},{"family":"Massoth","given":"G. J."},{"family":"Hammond","given":"S. R."}],"issued":{"date-parts":[["1990"]]}}},{"id":1769,"uris":["http://zotero.org/users/local/01lnVYoF/items/EVPQQPZE"],"itemData":{"id":1769,"type":"article-journal","container-title":"Journal of Geophysical Research: Solid Earth","DOI":"10.1029/JB092iB11p11347","ISSN":"01480227","issue":"B11","journalAbbreviation":"J. Geophys. Res.","language":"en","page":"11347-11363","source":"DOI.org (Crossref)","title":"Composition and dissolution of black smoker particulates from active vents on the Juan de Fuca Ridge","volume":"92","author":[{"family":"Feely","given":"Richard A."},{"family":"Lewison","given":"Maureen"},{"family":"Massoth","given":"Gary J."},{"family":"Robert-Baldo","given":"Gillian"},{"family":"Lavelle","given":"J. William"},{"family":"Byrne","given":"Robert H."},{"family":"Von Damm","given":"Karen L."},{"family":"Curl","given":"Herbert C."}],"issued":{"date-parts":[["1987",10,10]]}}},{"id":803,"uris":["http://zotero.org/users/local/01lnVYoF/items/HUHKYWF2"],"itemData":{"id":803,"type":"article-journal","container-title":"Geophysical Research Letters","DOI":"10.1029/2020GL089935","ISSN":"0094-8276, 1944-8007","issue":"20","journalAbbreviation":"Geophys. Res. Lett.","language":"en","source":"DOI.org (Crossref)","title":"Transport and Deposition Patterns of Particles Laden by Rising Submarine Hydrothermal Plumes","URL":"https://onlinelibrary.wiley.com/doi/10.1029/2020GL089935","volume":"47","author":[{"family":"Lou","given":"Yingzhong"},{"family":"He","given":"Zhiguo"},{"family":"Han","given":"Xiqiu"}],"accessed":{"date-parts":[["2022",6,29]]},"issued":{"date-parts":[["2020",10,28]]}}},{"id":1400,"uris":["http://zotero.org/users/local/01lnVYoF/items/V2RDL95Y"],"itemData":{"id":1400,"type":"article-journal","abstract":"Particle size analysis is able to reveal essential information about processes like production, transportation, sorting, and deposition of a study area. Pre-treatment of sediment by using hydrogen peroxide is recommended for more accuracy of particle size distribution as it removes organic matter which is adsorbed on the grain particle. A shallow water where hydrothermal vents site are located in Guishan Island is selected as the study site in this research. Sediment samples were collected at the depth of 3 â€“ 5 cm from the seabed surface by SCUBA diving. Particle size analysis was conducted by dry sieving before and after hydrogen peroxide treatment. Results showed significant differences in very coarse sand (p &amp;lt; 0.05) as it decreases significantly in weight after treatment (10.62% of change). The other particle size level of sediment increases slightly in weight and the changes ranged from 1.20% to 2.60%, showing no significant difference (500Î¼m=0.59; p value 250Î¼m=0.67; p value 125Î¼m=0.48; p value 63Î¼m=0.47; p value &amp;gt;63Î¼m=0.38). Therefore, in order to accurately determine the particle size distribution at hydrothermal vent site, pre-treatment using hydrogen peroxide is recommended to remove organic material because hydrothermal vent is proved to have high organic matter content.","container-title":"Borneo Journal of Marine Science and Aquaculture (BJoMSA)","DOI":"10.51200/bjomsa.v3i2.1995","ISSN":"2600-8637","issue":"2","language":"en","license":"Copyright (c) 2019 Borneo Journal of Marine Science and Aquaculture (BJoMSA)","note":"number: 2","page":"52-56","source":"jurcon.ums.edu.my","title":"Effects of hydrogen peroxide treatment on the particle size distribution of hydrothermal vent sediments: A case study in Guishan Island, Taiwan","title-short":"Effects of hydrogen peroxide treatment on the particle size distribution of hydrothermal vent sediments","volume":"3","author":[{"family":"Ng","given":"Wei-Ling"},{"family":"Chen","given":"Cheng-Ann"},{"family":"Kawi","given":"Stephenie Demie"},{"family":"Musta","given":"Baba"},{"family":"Chan","given":"Tin-Yam"}],"issued":{"date-parts":[["2019",12,10]]}}}],"schema":"https://github.com/citation-style-language/schema/raw/master/csl-citation.json"} </w:instrText>
      </w:r>
      <w:r w:rsidR="00DF6CF2" w:rsidRPr="00FF6D1B">
        <w:rPr>
          <w:rFonts w:cs="Times New Roman"/>
        </w:rPr>
        <w:fldChar w:fldCharType="separate"/>
      </w:r>
      <w:r w:rsidR="00F70573" w:rsidRPr="00F70573">
        <w:rPr>
          <w:rFonts w:cs="Times New Roman"/>
        </w:rPr>
        <w:t>(Feely et al., 1990, 1987; Lou et al., 2020; Ng et al., 2019)</w:t>
      </w:r>
      <w:r w:rsidR="00DF6CF2" w:rsidRPr="00FF6D1B">
        <w:rPr>
          <w:rFonts w:cs="Times New Roman"/>
        </w:rPr>
        <w:fldChar w:fldCharType="end"/>
      </w:r>
      <w:r w:rsidR="00861114">
        <w:rPr>
          <w:rFonts w:cs="Times New Roman"/>
        </w:rPr>
        <w:t xml:space="preserve"> as well as</w:t>
      </w:r>
      <w:r w:rsidR="00A5530F">
        <w:rPr>
          <w:rFonts w:cs="Times New Roman"/>
        </w:rPr>
        <w:t xml:space="preserve"> the</w:t>
      </w:r>
      <w:r w:rsidR="00861114">
        <w:rPr>
          <w:rFonts w:cs="Times New Roman"/>
        </w:rPr>
        <w:t xml:space="preserve"> high Zn</w:t>
      </w:r>
      <w:r w:rsidR="005D1DA4">
        <w:rPr>
          <w:rFonts w:cs="Times New Roman"/>
          <w:vertAlign w:val="subscript"/>
        </w:rPr>
        <w:t>XS</w:t>
      </w:r>
      <w:r w:rsidR="00861114">
        <w:rPr>
          <w:rFonts w:cs="Times New Roman"/>
        </w:rPr>
        <w:t>, Ni</w:t>
      </w:r>
      <w:r w:rsidR="005D1DA4">
        <w:rPr>
          <w:rFonts w:cs="Times New Roman"/>
          <w:vertAlign w:val="subscript"/>
        </w:rPr>
        <w:t>XS</w:t>
      </w:r>
      <w:r w:rsidR="00861114">
        <w:rPr>
          <w:rFonts w:cs="Times New Roman"/>
        </w:rPr>
        <w:t xml:space="preserve"> and Cu</w:t>
      </w:r>
      <w:r w:rsidR="005D1DA4">
        <w:rPr>
          <w:rFonts w:cs="Times New Roman"/>
          <w:vertAlign w:val="subscript"/>
        </w:rPr>
        <w:t>XS</w:t>
      </w:r>
      <w:r w:rsidR="00861114">
        <w:rPr>
          <w:rFonts w:cs="Times New Roman"/>
        </w:rPr>
        <w:t xml:space="preserve"> (up to 26, 113 and 259 </w:t>
      </w:r>
      <w:r w:rsidR="00990FEA">
        <w:rPr>
          <w:rFonts w:cs="Times New Roman"/>
        </w:rPr>
        <w:t>ppm,</w:t>
      </w:r>
      <w:r w:rsidR="00861114">
        <w:rPr>
          <w:szCs w:val="24"/>
        </w:rPr>
        <w:t xml:space="preserve"> respectively)</w:t>
      </w:r>
      <w:r w:rsidR="00DF6CF2" w:rsidRPr="00FF6D1B">
        <w:rPr>
          <w:rFonts w:cs="Times New Roman"/>
        </w:rPr>
        <w:t>.</w:t>
      </w:r>
      <w:r w:rsidR="00DF6CF2">
        <w:rPr>
          <w:rFonts w:cs="Times New Roman"/>
        </w:rPr>
        <w:t xml:space="preserve"> </w:t>
      </w:r>
      <w:r w:rsidR="00A22542">
        <w:rPr>
          <w:rFonts w:cs="Times New Roman"/>
        </w:rPr>
        <w:t xml:space="preserve">Additional arguments for the presence of </w:t>
      </w:r>
      <w:r>
        <w:rPr>
          <w:rFonts w:cs="Times New Roman"/>
        </w:rPr>
        <w:t xml:space="preserve">strong </w:t>
      </w:r>
      <w:r w:rsidR="00A22542">
        <w:rPr>
          <w:rFonts w:cs="Times New Roman"/>
        </w:rPr>
        <w:t>hydrothermal activity in the vicinity of this station would be</w:t>
      </w:r>
      <w:r w:rsidR="00DF6CF2" w:rsidRPr="00FF6D1B">
        <w:rPr>
          <w:rFonts w:cs="Times New Roman"/>
        </w:rPr>
        <w:t xml:space="preserve"> </w:t>
      </w:r>
      <w:r w:rsidR="00DF6CF2" w:rsidRPr="000F21FD">
        <w:rPr>
          <w:rFonts w:cs="Times New Roman"/>
          <w:b/>
          <w:bCs/>
        </w:rPr>
        <w:t>(1)</w:t>
      </w:r>
      <w:r w:rsidR="00A22542">
        <w:rPr>
          <w:rFonts w:cs="Times New Roman"/>
        </w:rPr>
        <w:t xml:space="preserve"> the</w:t>
      </w:r>
      <w:r w:rsidR="00DF6CF2" w:rsidRPr="00FF6D1B">
        <w:rPr>
          <w:rFonts w:cs="Times New Roman"/>
        </w:rPr>
        <w:t xml:space="preserve"> numerous reports of d</w:t>
      </w:r>
      <w:r w:rsidR="00DF6CF2">
        <w:rPr>
          <w:rFonts w:cs="Times New Roman"/>
        </w:rPr>
        <w:t>is</w:t>
      </w:r>
      <w:r w:rsidR="00DF6CF2" w:rsidRPr="00FF6D1B">
        <w:rPr>
          <w:rFonts w:cs="Times New Roman"/>
        </w:rPr>
        <w:t xml:space="preserve">colored waters and volcanic activity according to </w:t>
      </w:r>
      <w:r w:rsidR="00DF6CF2">
        <w:rPr>
          <w:rFonts w:cs="Times New Roman"/>
        </w:rPr>
        <w:t xml:space="preserve">nautical </w:t>
      </w:r>
      <w:r w:rsidR="00DF6CF2" w:rsidRPr="00FF6D1B">
        <w:rPr>
          <w:rFonts w:cs="Times New Roman"/>
        </w:rPr>
        <w:t xml:space="preserve">charts of this area (SHOM C, 6817, INT605), </w:t>
      </w:r>
      <w:r w:rsidR="00DF6CF2" w:rsidRPr="000F21FD">
        <w:rPr>
          <w:rFonts w:cs="Times New Roman"/>
          <w:b/>
          <w:bCs/>
        </w:rPr>
        <w:t>(2)</w:t>
      </w:r>
      <w:r w:rsidR="00DF6CF2" w:rsidRPr="00FF6D1B">
        <w:rPr>
          <w:rFonts w:cs="Times New Roman"/>
        </w:rPr>
        <w:t xml:space="preserve"> many p</w:t>
      </w:r>
      <w:r w:rsidR="000F21FD">
        <w:rPr>
          <w:rFonts w:cs="Times New Roman"/>
        </w:rPr>
        <w:t xml:space="preserve">otential </w:t>
      </w:r>
      <w:r w:rsidR="00DF6CF2" w:rsidRPr="00FF6D1B">
        <w:rPr>
          <w:rFonts w:cs="Times New Roman"/>
        </w:rPr>
        <w:t>active volcanic structures (</w:t>
      </w:r>
      <w:r w:rsidR="00DF6CF2">
        <w:rPr>
          <w:rFonts w:cs="Times New Roman"/>
        </w:rPr>
        <w:t>&gt;</w:t>
      </w:r>
      <w:r w:rsidR="00DF6CF2" w:rsidRPr="00FF6D1B">
        <w:rPr>
          <w:rFonts w:cs="Times New Roman"/>
        </w:rPr>
        <w:t xml:space="preserve"> 1000 m; </w:t>
      </w:r>
      <w:r w:rsidR="00DF6CF2" w:rsidRPr="00FF6D1B">
        <w:rPr>
          <w:rFonts w:cs="Times New Roman"/>
        </w:rPr>
        <w:fldChar w:fldCharType="begin"/>
      </w:r>
      <w:r w:rsidR="00DF6CF2" w:rsidRPr="00FF6D1B">
        <w:rPr>
          <w:rFonts w:cs="Times New Roman"/>
        </w:rPr>
        <w:instrText xml:space="preserve"> ADDIN ZOTERO_ITEM CSL_CITATION {"citationID":"jTYJmlI4","properties":{"formattedCitation":"(GEBCO Bathymetric Compilation Group 2022, 2022)","plainCitation":"(GEBCO Bathymetric Compilation Group 2022, 2022)","dontUpdate":true,"noteIndex":0},"citationItems":[{"id":1405,"uris":["http://zotero.org/users/local/01lnVYoF/items/X2DZJGQF"],"itemData":{"id":1405,"type":"document","abstract":"The GEBCO_2022 Grid is a global continuous terrain model for ocean and land with a spatial resolution of 15 arc seconds. In regions outside of the Arctic Ocean area, the grid uses as a base Version 2.4 of the SRTM15_plus data set (Tozer, B. et al, 2019). This data set is a fusion of land topography with measured and estimated seafloor topography. Included on top of this base grid are gridded bathymetric data sets developed by the four Regional Centers of The Nippon Foundation-GEBCO Seabed 2030 Project. The GEBCO_2022 Grid represents all data within the 2022 compilation. The compilation of the GEBCO_2022 Grid was carried out at the Seabed 2030 Global Center, hosted at the National Oceanography Centre, UK, with the aim of producing a seamless global terrain model. Outside of Polar regions, the Regional Centers provide their data sets as sparse grids i.e. only grid cells that contain data are populated. These data sets were included on to the base using a remove-restore blending procedure. This is a two-stage process of computing the difference between the new data and the base grid and then gridding the difference and adding the difference back to the existing base grid. The aim is to achieve a smooth transition between the new and base data sets with the minimum of perturbation of the existing base data set. The data sets supplied in the form of complete grids (primarily areas north of 60N and south of 50S) were included using feather blending techniques from GlobalMapper software. The GEBCO_2022 Grid has been developed through the Nippon Foundation-GEBCO Seabed 2030 Project. This is a collaborative project between the Nippon Foundation of Japan and the General Bathymetric Chart of the Oceans (GEBCO). It aims to bring together all available bathymetric data to produce the definitive map of the world ocean floor by 2030 and make it available to all. Funded by the Nippon Foundation, the four Seabed 2030 Regional Centers include the Southern Ocean - hosted at the Alfred Wegener Institute, Germany; South and West Pacific Ocean - hosted at the National Institute of Water and Atmospheric Research, New Zealand; Atlantic and Indian Oceans - hosted at the Lamont-Doherty Earth Observatory, Columbia University, USA; Arctic and North Pacific Oceans - hosted at Stockholm University, Sweden and the Center for Coastal and Ocean Mapping at the University of New Hampshire, USA.","language":"en","note":"medium: Documents,Network Common Data Form\nversion: 1\ntype: dataset\nDOI: 10.5285/E0F0BB80-AB44-2739-E053-6C86ABC0289C","publisher":"NERC EDS British Oceanographic Data Centre NOC","source":"DOI.org (Datacite)","title":"The GEBCO_2022 Grid - a continuous terrain model of the global oceans and land.","URL":"https://www.bodc.ac.uk/data/published_data_library/catalogue/10.5285/e0f0bb80-ab44-2739-e053-6c86abc0289c/","author":[{"family":"GEBCO Bathymetric Compilation Group 2022","given":""}],"accessed":{"date-parts":[["2022",10,26]]},"issued":{"date-parts":[["2022"]]}}}],"schema":"https://github.com/citation-style-language/schema/raw/master/csl-citation.json"} </w:instrText>
      </w:r>
      <w:r w:rsidR="00DF6CF2" w:rsidRPr="00FF6D1B">
        <w:rPr>
          <w:rFonts w:cs="Times New Roman"/>
        </w:rPr>
        <w:fldChar w:fldCharType="separate"/>
      </w:r>
      <w:r w:rsidR="00DF6CF2" w:rsidRPr="00FF6D1B">
        <w:rPr>
          <w:rFonts w:cs="Times New Roman"/>
        </w:rPr>
        <w:t>GEBCO Bathymetric Compilation Group, 2022)</w:t>
      </w:r>
      <w:r w:rsidR="00DF6CF2" w:rsidRPr="00FF6D1B">
        <w:rPr>
          <w:rFonts w:cs="Times New Roman"/>
        </w:rPr>
        <w:fldChar w:fldCharType="end"/>
      </w:r>
      <w:r w:rsidR="00DF6CF2" w:rsidRPr="00FF6D1B">
        <w:rPr>
          <w:rFonts w:cs="Times New Roman"/>
        </w:rPr>
        <w:t xml:space="preserve">, and </w:t>
      </w:r>
      <w:r w:rsidR="00DF6CF2" w:rsidRPr="000F21FD">
        <w:rPr>
          <w:rFonts w:cs="Times New Roman"/>
          <w:b/>
          <w:bCs/>
        </w:rPr>
        <w:t>(3)</w:t>
      </w:r>
      <w:r w:rsidR="00DF6CF2" w:rsidRPr="00FF6D1B">
        <w:rPr>
          <w:rFonts w:cs="Times New Roman"/>
        </w:rPr>
        <w:t xml:space="preserve"> a mega-plume </w:t>
      </w:r>
      <w:r w:rsidR="00DF6CF2">
        <w:rPr>
          <w:rFonts w:cs="Times New Roman"/>
        </w:rPr>
        <w:t>hypothesized</w:t>
      </w:r>
      <w:r w:rsidR="00DF6CF2" w:rsidRPr="00FF6D1B">
        <w:rPr>
          <w:rFonts w:cs="Times New Roman"/>
        </w:rPr>
        <w:t xml:space="preserve"> within few kilometers of the station (20°28’ S, 178°31’ W), near the Lau Ridge </w:t>
      </w:r>
      <w:r w:rsidR="00DF6CF2" w:rsidRPr="00FF6D1B">
        <w:rPr>
          <w:rFonts w:cs="Times New Roman"/>
        </w:rPr>
        <w:fldChar w:fldCharType="begin"/>
      </w:r>
      <w:r w:rsidR="00DF6CF2" w:rsidRPr="00FF6D1B">
        <w:rPr>
          <w:rFonts w:cs="Times New Roman"/>
        </w:rPr>
        <w:instrText xml:space="preserve"> ADDIN ZOTERO_ITEM CSL_CITATION {"citationID":"qA5uMp3X","properties":{"formattedCitation":"(Guieu et al., 2018)","plainCitation":"(Guieu et al., 2018)","noteIndex":0},"citationItems":[{"id":13,"uris":["http://zotero.org/users/local/01lnVYoF/items/KFZLG3U9"],"itemData":{"id":13,"type":"article-journal","abstract":"In the Western Tropical South Pacific, patches of high chlorophyll concentrations linked to the occurrence of N2-fixing organisms are found in the vicinity of volcanic islands. The survival of these organisms relies on a high bioavailable iron supply whose origin and fluxes remain unknown. Here, we measured high dissolved iron (DFe) concentrations (up to 66 nM) in the euphotic layer, extending zonally over 10 degrees longitude (174 E−175 W) at </w:instrText>
      </w:r>
      <w:r w:rsidR="00DF6CF2" w:rsidRPr="00FF6D1B">
        <w:rPr>
          <w:rFonts w:ascii="Cambria Math" w:hAnsi="Cambria Math" w:cs="Cambria Math"/>
        </w:rPr>
        <w:instrText>∼</w:instrText>
      </w:r>
      <w:r w:rsidR="00DF6CF2" w:rsidRPr="00FF6D1B">
        <w:rPr>
          <w:rFonts w:cs="Times New Roman"/>
        </w:rPr>
        <w:instrText xml:space="preserve">20°S latitude. DFe atmospheric fluxes were at the lower end of reported values of the remote ocean and could not explain the high DFe concentrations measured in the water column in the vicinity of Tonga. We argue that the high DFe concentrations may be sustained by a submarine source, also characterized by freshwater input and recorded as salinity anomalies by Argo float in situ measurements and atlas data. The observed negative salinity anomalies are reproduced by simulations from a general ocean circulation model. Submarine iron sources reaching the euphotic layer may impact nitrogen fixation across the whole region.","container-title":"Scientific Reports","DOI":"10.1038/s41598-018-27407-z","ISSN":"2045-2322","issue":"1","journalAbbreviation":"Sci Rep","language":"en","license":"2018 The Author(s)","page":"1-9","source":"www.nature.com","title":"Iron from a submarine source impacts the productive layer of the Western Tropical South Pacific (WTSP)","volume":"8","author":[{"family":"Guieu","given":"Cécile"},{"family":"Bonnet","given":"Sophie"},{"family":"Petrenko","given":"Anne"},{"family":"Menkes","given":"Christophe"},{"family":"Chavagnac","given":"Valérie"},{"family":"Desboeufs","given":"Karine"},{"family":"Maes","given":"Christophe"},{"family":"Moutin","given":"Thierry"}],"issued":{"date-parts":[["2018",6,13]]}}}],"schema":"https://github.com/citation-style-language/schema/raw/master/csl-citation.json"} </w:instrText>
      </w:r>
      <w:r w:rsidR="00DF6CF2" w:rsidRPr="00FF6D1B">
        <w:rPr>
          <w:rFonts w:cs="Times New Roman"/>
        </w:rPr>
        <w:fldChar w:fldCharType="separate"/>
      </w:r>
      <w:r w:rsidR="00DF6CF2" w:rsidRPr="00FF6D1B">
        <w:rPr>
          <w:rFonts w:cs="Times New Roman"/>
        </w:rPr>
        <w:t>(Guieu et al., 2018)</w:t>
      </w:r>
      <w:r w:rsidR="00DF6CF2" w:rsidRPr="00FF6D1B">
        <w:rPr>
          <w:rFonts w:cs="Times New Roman"/>
        </w:rPr>
        <w:fldChar w:fldCharType="end"/>
      </w:r>
      <w:r w:rsidR="00DF6CF2" w:rsidRPr="00FF6D1B">
        <w:rPr>
          <w:rFonts w:cs="Times New Roman"/>
        </w:rPr>
        <w:t xml:space="preserve">. </w:t>
      </w:r>
      <w:r w:rsidR="00A22542">
        <w:t xml:space="preserve">No </w:t>
      </w:r>
      <w:r w:rsidR="00A22542" w:rsidRPr="001014BD">
        <w:t>LSi</w:t>
      </w:r>
      <w:r w:rsidR="001014BD">
        <w:rPr>
          <w:vertAlign w:val="subscript"/>
        </w:rPr>
        <w:t xml:space="preserve">EF </w:t>
      </w:r>
      <w:r w:rsidR="00A22542" w:rsidRPr="001014BD">
        <w:t xml:space="preserve">was </w:t>
      </w:r>
      <w:r w:rsidR="00A22542">
        <w:t>estimated</w:t>
      </w:r>
      <w:r w:rsidR="0044515E">
        <w:t xml:space="preserve"> in these sediments</w:t>
      </w:r>
      <w:r w:rsidR="00A22542">
        <w:t>, revealing that the large particle sizes estimated</w:t>
      </w:r>
      <w:r w:rsidR="009476E4">
        <w:t xml:space="preserve"> in this study</w:t>
      </w:r>
      <w:r w:rsidR="00A22542">
        <w:t xml:space="preserve"> originate solely from hydrothermal processes, consistent with the high Mn and low Al content.</w:t>
      </w:r>
      <w:r w:rsidR="003D28AB">
        <w:t xml:space="preserve"> </w:t>
      </w:r>
    </w:p>
    <w:p w14:paraId="3354281A" w14:textId="149AFABD" w:rsidR="009D75B5" w:rsidRDefault="009D75B5" w:rsidP="009D75B5">
      <w:pPr>
        <w:pStyle w:val="Titre3"/>
        <w:rPr>
          <w:b w:val="0"/>
          <w:bCs/>
          <w:i/>
          <w:iCs/>
        </w:rPr>
      </w:pPr>
      <w:r>
        <w:rPr>
          <w:b w:val="0"/>
          <w:bCs/>
          <w:i/>
          <w:iCs/>
        </w:rPr>
        <w:t>In the South Pacific gyre</w:t>
      </w:r>
    </w:p>
    <w:p w14:paraId="246C0AE8" w14:textId="24B7ADFE" w:rsidR="009D75B5" w:rsidRDefault="009D75B5" w:rsidP="009D75B5">
      <w:pPr>
        <w:spacing w:line="480" w:lineRule="auto"/>
        <w:jc w:val="both"/>
      </w:pPr>
      <w:r w:rsidRPr="00FF6D1B">
        <w:rPr>
          <w:rFonts w:cs="Times New Roman"/>
        </w:rPr>
        <w:t xml:space="preserve">Station 8 is located east of the Tonga </w:t>
      </w:r>
      <w:r>
        <w:rPr>
          <w:rFonts w:cs="Times New Roman"/>
        </w:rPr>
        <w:t>A</w:t>
      </w:r>
      <w:r w:rsidRPr="00FF6D1B">
        <w:rPr>
          <w:rFonts w:cs="Times New Roman"/>
        </w:rPr>
        <w:t>rc and was initially cored as a deep-sea detrital reference</w:t>
      </w:r>
      <w:r w:rsidRPr="005E5750">
        <w:t xml:space="preserve">. However, its index reveals seafloor sediments </w:t>
      </w:r>
      <w:r w:rsidR="009476E4">
        <w:t>displaying</w:t>
      </w:r>
      <w:r w:rsidRPr="005E5750">
        <w:t xml:space="preserve"> a distal field signature</w:t>
      </w:r>
      <w:r>
        <w:t xml:space="preserve">, </w:t>
      </w:r>
      <w:r w:rsidR="009476E4">
        <w:t xml:space="preserve">as evidenced by high </w:t>
      </w:r>
      <w:r>
        <w:t>Fe</w:t>
      </w:r>
      <w:r w:rsidR="005D1DA4">
        <w:rPr>
          <w:vertAlign w:val="subscript"/>
        </w:rPr>
        <w:t>XS</w:t>
      </w:r>
      <w:r w:rsidR="005D1DA4">
        <w:t xml:space="preserve"> (up to 3 wt.%)</w:t>
      </w:r>
      <w:r>
        <w:t>, Mn</w:t>
      </w:r>
      <w:r w:rsidR="005D1DA4">
        <w:rPr>
          <w:vertAlign w:val="subscript"/>
        </w:rPr>
        <w:t>XS</w:t>
      </w:r>
      <w:r w:rsidR="005D1DA4">
        <w:t xml:space="preserve"> (up to 6 wt.%)</w:t>
      </w:r>
      <w:r>
        <w:t>, Cu</w:t>
      </w:r>
      <w:r w:rsidR="005D1DA4">
        <w:rPr>
          <w:vertAlign w:val="subscript"/>
        </w:rPr>
        <w:t>XS</w:t>
      </w:r>
      <w:r>
        <w:t xml:space="preserve"> </w:t>
      </w:r>
      <w:r w:rsidR="005D1DA4">
        <w:t xml:space="preserve">(up to 138 ppm) </w:t>
      </w:r>
      <w:r>
        <w:t>and</w:t>
      </w:r>
      <w:r w:rsidR="00875C2D">
        <w:t>, to a lesser extent,</w:t>
      </w:r>
      <w:r>
        <w:t xml:space="preserve"> P</w:t>
      </w:r>
      <w:r w:rsidR="000D39DC">
        <w:t>b</w:t>
      </w:r>
      <w:r w:rsidR="005D1DA4">
        <w:rPr>
          <w:vertAlign w:val="subscript"/>
        </w:rPr>
        <w:t>XS</w:t>
      </w:r>
      <w:r w:rsidR="003C217E">
        <w:t xml:space="preserve"> (</w:t>
      </w:r>
      <w:r w:rsidR="005D1DA4">
        <w:t xml:space="preserve">up to 10 ppm; </w:t>
      </w:r>
      <w:r w:rsidR="003C217E" w:rsidRPr="00322BFC">
        <w:rPr>
          <w:i/>
          <w:iCs/>
        </w:rPr>
        <w:t xml:space="preserve">Figs 3, </w:t>
      </w:r>
      <w:r w:rsidR="007B0E5A">
        <w:rPr>
          <w:i/>
          <w:iCs/>
        </w:rPr>
        <w:t>5</w:t>
      </w:r>
      <w:r w:rsidR="003C217E">
        <w:t>)</w:t>
      </w:r>
      <w:r w:rsidR="00B75941">
        <w:t xml:space="preserve"> although the estimated</w:t>
      </w:r>
      <w:r w:rsidR="009476E4">
        <w:t xml:space="preserve"> elemental</w:t>
      </w:r>
      <w:r w:rsidR="00B75941">
        <w:t xml:space="preserve"> </w:t>
      </w:r>
      <w:r w:rsidR="00A5530F">
        <w:t>excess</w:t>
      </w:r>
      <w:r w:rsidR="00B75941">
        <w:t xml:space="preserve"> </w:t>
      </w:r>
      <w:proofErr w:type="gramStart"/>
      <w:r w:rsidR="00B75941">
        <w:t>were</w:t>
      </w:r>
      <w:proofErr w:type="gramEnd"/>
      <w:r w:rsidR="00B75941">
        <w:t xml:space="preserve"> lower than in the Lau Basin (up to 5 wt.%, 20 wt.%, 258 ppm and 23 ppm, respectively)</w:t>
      </w:r>
      <w:r>
        <w:t>.</w:t>
      </w:r>
      <w:r w:rsidR="00BF4A6D">
        <w:t xml:space="preserve"> </w:t>
      </w:r>
      <w:r w:rsidR="00BF4A6D">
        <w:rPr>
          <w:color w:val="000000"/>
        </w:rPr>
        <w:t xml:space="preserve">Consistent with these observations, the estimated sedimentation rates were </w:t>
      </w:r>
      <w:r w:rsidR="00FF5755">
        <w:rPr>
          <w:color w:val="000000"/>
        </w:rPr>
        <w:t>116-</w:t>
      </w:r>
      <w:r w:rsidR="00BF4A6D">
        <w:rPr>
          <w:color w:val="000000"/>
        </w:rPr>
        <w:t xml:space="preserve">580 times higher than those of pelagic sediments </w:t>
      </w:r>
      <w:r w:rsidR="00BF4A6D">
        <w:rPr>
          <w:color w:val="000000"/>
        </w:rPr>
        <w:fldChar w:fldCharType="begin"/>
      </w:r>
      <w:r w:rsidR="00BF4A6D">
        <w:rPr>
          <w:color w:val="000000"/>
        </w:rPr>
        <w:instrText xml:space="preserve"> ADDIN ZOTERO_ITEM CSL_CITATION {"citationID":"eETSQUNg","properties":{"formattedCitation":"(Li and Schoonmaker, 2003; Piper, 2005)","plainCitation":"(Li and Schoonmaker, 2003; Piper, 2005)","noteIndex":0},"citationItems":[{"id":838,"uris":["http://zotero.org/users/local/01lnVYoF/items/P87ZQSZA"],"itemData":{"id":838,"type":"chapter","container-title":"Treatise on Geochemistry","ISBN":"978-0-08-043751-4","language":"en","note":"DOI: 10.1016/B0-08-043751-6/07088-2","page":"1-35","publisher":"Elsevier","source":"DOI.org (Crossref)","title":"Chemical Composition and Mineralogy of Marine Sediments","URL":"https://linkinghub.elsevier.com/retrieve/pii/B0080437516070882","author":[{"family":"Li","given":"Y.-H."},{"family":"Schoonmaker","given":"J.E."}],"accessed":{"date-parts":[["2022",7,11]]},"issued":{"date-parts":[["2003"]]}}},{"id":1038,"uris":["http://zotero.org/users/local/01lnVYoF/items/BRYDZ45S"],"itemData":{"id":1038,"type":"chapter","container-title":"Encyclopedia of Geology","ISBN":"978-0-12-369396-9","language":"en","note":"DOI: 10.1016/B0-12-369396-9/00496-2","page":"641-649","publisher":"Elsevier","source":"DOI.org (Crossref)","title":"SEDIMENTARY PROCESSES | Deep Water Processes and Deposits","URL":"https://linkinghub.elsevier.com/retrieve/pii/B0123693969004962","author":[{"family":"Piper","given":"D.J.W."}],"accessed":{"date-parts":[["2022",8,23]]},"issued":{"date-parts":[["2005"]]}}}],"schema":"https://github.com/citation-style-language/schema/raw/master/csl-citation.json"} </w:instrText>
      </w:r>
      <w:r w:rsidR="00BF4A6D">
        <w:rPr>
          <w:color w:val="000000"/>
        </w:rPr>
        <w:fldChar w:fldCharType="separate"/>
      </w:r>
      <w:r w:rsidR="00BF4A6D" w:rsidRPr="00BF4A6D">
        <w:rPr>
          <w:rFonts w:cs="Times New Roman"/>
        </w:rPr>
        <w:t>(Li and Schoonmaker, 2003; Piper, 2005)</w:t>
      </w:r>
      <w:r w:rsidR="00BF4A6D">
        <w:rPr>
          <w:color w:val="000000"/>
        </w:rPr>
        <w:fldChar w:fldCharType="end"/>
      </w:r>
      <w:r w:rsidR="00BF4A6D">
        <w:rPr>
          <w:color w:val="000000"/>
        </w:rPr>
        <w:t>, indicating a great material flux.</w:t>
      </w:r>
      <w:r>
        <w:t xml:space="preserve"> It is possible that this material </w:t>
      </w:r>
      <w:r w:rsidR="000D39DC">
        <w:t>originated from</w:t>
      </w:r>
      <w:r w:rsidR="00E105A2">
        <w:t xml:space="preserve"> </w:t>
      </w:r>
      <w:r w:rsidR="000B3DBC">
        <w:t>the east</w:t>
      </w:r>
      <w:r w:rsidRPr="005E5750">
        <w:t xml:space="preserve">, </w:t>
      </w:r>
      <w:r w:rsidR="000D39DC">
        <w:t xml:space="preserve">for example </w:t>
      </w:r>
      <w:r w:rsidRPr="005E5750">
        <w:t>from the East Pacific Rise</w:t>
      </w:r>
      <w:r w:rsidR="00512E61">
        <w:t xml:space="preserve"> </w:t>
      </w:r>
      <w:r w:rsidR="00512E61" w:rsidRPr="005E5750">
        <w:t xml:space="preserve">and/or other </w:t>
      </w:r>
      <w:r w:rsidR="000D39DC">
        <w:t xml:space="preserve">nearby </w:t>
      </w:r>
      <w:r w:rsidR="00512E61" w:rsidRPr="005E5750">
        <w:t>deep hydrothermal source</w:t>
      </w:r>
      <w:r w:rsidR="000D39DC">
        <w:t>(</w:t>
      </w:r>
      <w:r w:rsidR="00512E61" w:rsidRPr="005E5750">
        <w:t>s</w:t>
      </w:r>
      <w:r w:rsidR="000D39DC">
        <w:t>)</w:t>
      </w:r>
      <w:r w:rsidR="000B3DBC">
        <w:t>, although no DFe anomalies were detected in the deep waters</w:t>
      </w:r>
      <w:r w:rsidR="00512E61">
        <w:t xml:space="preserve"> at this station</w:t>
      </w:r>
      <w:r w:rsidR="00C00486">
        <w:t xml:space="preserve"> relative to DFe concentrations in water masses feeding the gyre region</w:t>
      </w:r>
      <w:r w:rsidR="000B3DBC">
        <w:t xml:space="preserve">, </w:t>
      </w:r>
      <w:r w:rsidR="00322BFC">
        <w:t xml:space="preserve">albeit </w:t>
      </w:r>
      <w:r w:rsidR="00C00486">
        <w:t>p</w:t>
      </w:r>
      <w:r w:rsidR="00230761">
        <w:t>ossibly</w:t>
      </w:r>
      <w:r w:rsidR="000B3DBC">
        <w:t xml:space="preserve"> due to the high threshold</w:t>
      </w:r>
      <w:r w:rsidR="00657192">
        <w:t xml:space="preserve"> defined in that study</w:t>
      </w:r>
      <w:r w:rsidR="000B3DBC">
        <w:t xml:space="preserve"> (= 0.2</w:t>
      </w:r>
      <w:r w:rsidR="000D39DC">
        <w:t xml:space="preserve"> nmol L</w:t>
      </w:r>
      <w:r w:rsidR="000D39DC" w:rsidRPr="000D39DC">
        <w:rPr>
          <w:vertAlign w:val="superscript"/>
        </w:rPr>
        <w:t>-1</w:t>
      </w:r>
      <w:r w:rsidR="000B3DBC">
        <w:t xml:space="preserve">; </w:t>
      </w:r>
      <w:r w:rsidR="000B3DBC">
        <w:fldChar w:fldCharType="begin"/>
      </w:r>
      <w:r w:rsidR="009A0C77">
        <w:instrText xml:space="preserve"> ADDIN ZOTERO_ITEM CSL_CITATION {"citationID":"MphG2kHz","properties":{"formattedCitation":"(Tilliette et al., 2022)","plainCitation":"(Tilliette et al., 2022)","dontUpdate":true,"noteIndex":0},"citationItems":[{"id":819,"uris":["http://zotero.org/users/local/01lnVYoF/items/YIPANZYN"],"itemData":{"id":819,"type":"article-journal","container-title":"Global Biogeochemical Cycles","DOI":"10.1029/2022GB007363","ISSN":"0886-6236, 1944-9224","journalAbbreviation":"Global Biogeochemical Cycles","language":"en","source":"DOI.org (Crossref)","title":"Dissolved iron patterns impacted by shallow hydrothermal sources along a transect through the Tonga‐Kermadec arc","URL":"https://onlinelibrary.wiley.com/doi/10.1029/2022GB007363","author":[{"family":"Tilliette","given":"Chloé"},{"family":"Taillandier","given":"Vincent"},{"family":"Bouruet‐Aubertot","given":"Pascale"},{"family":"Grima","given":"Nicolas"},{"family":"Maes","given":"Christophe"},{"family":"Montanes","given":"Maryline"},{"family":"Sarthou","given":"Géraldine"},{"family":"Vorrath","given":"Maria-Elena"},{"family":"Arnone","given":"Veronica"},{"family":"Bressac","given":"Matthieu"},{"family":"González‐Santana","given":"David"},{"family":"Gazeau","given":"Frédéric"},{"family":"Guieu","given":"Cécile"}],"accessed":{"date-parts":[["2022",7,4]]},"issued":{"date-parts":[["2022",7,4]]}}}],"schema":"https://github.com/citation-style-language/schema/raw/master/csl-citation.json"} </w:instrText>
      </w:r>
      <w:r w:rsidR="000B3DBC">
        <w:fldChar w:fldCharType="separate"/>
      </w:r>
      <w:r w:rsidR="000B3DBC" w:rsidRPr="000B3DBC">
        <w:rPr>
          <w:rFonts w:cs="Times New Roman"/>
        </w:rPr>
        <w:t>Tilliette et al., 2022)</w:t>
      </w:r>
      <w:r w:rsidR="000B3DBC">
        <w:fldChar w:fldCharType="end"/>
      </w:r>
      <w:r w:rsidRPr="005E5750">
        <w:t xml:space="preserve">. </w:t>
      </w:r>
      <w:r w:rsidR="00DA0984">
        <w:rPr>
          <w:color w:val="000000"/>
        </w:rPr>
        <w:t xml:space="preserve">This hypothesis is supported by the particle size, which averaged 8 µm, falling within the range of hydrothermal particles involved in long-distance transport </w:t>
      </w:r>
      <w:r w:rsidR="00512E61">
        <w:t xml:space="preserve">(1-50 µm; </w:t>
      </w:r>
      <w:r w:rsidR="00512E61">
        <w:fldChar w:fldCharType="begin"/>
      </w:r>
      <w:r w:rsidR="00E34A06">
        <w:instrText xml:space="preserve"> ADDIN ZOTERO_ITEM CSL_CITATION {"citationID":"ZOcTB7Di","properties":{"formattedCitation":"(Feely et al., 1990, 1987; Lou et al., 2020)","plainCitation":"(Feely et al., 1990, 1987; Lou et al., 2020)","dontUpdate":true,"noteIndex":0},"citationItems":[{"id":1023,"uris":["http://zotero.org/users/local/01lnVYoF/items/CP9CUK8X"],"itemData":{"id":1023,"type":"article-journal","container-title":"Journal of Geophysical Research","DOI":"10.1029/JB095iB08p12855","ISSN":"0148-0227","issue":"B8","journalAbbreviation":"J. Geophys. Res.","language":"en","page":"12855","source":"DOI.org (Crossref)","title":"Distribution and composition of hydrothermal plume particles from the ASHES Vent Field at Axial Volcano, Juan de Fuca Ridge","volume":"95","author":[{"family":"Feely","given":"R. A."},{"family":"Geiselman","given":"T. L."},{"family":"Baker","given":"E. T."},{"family":"Massoth","given":"G. J."},{"family":"Hammond","given":"S. R."}],"issued":{"date-parts":[["1990"]]}}},{"id":1769,"uris":["http://zotero.org/users/local/01lnVYoF/items/EVPQQPZE"],"itemData":{"id":1769,"type":"article-journal","container-title":"Journal of Geophysical Research: Solid Earth","DOI":"10.1029/JB092iB11p11347","ISSN":"01480227","issue":"B11","journalAbbreviation":"J. Geophys. Res.","language":"en","page":"11347-11363","source":"DOI.org (Crossref)","title":"Composition and dissolution of black smoker particulates from active vents on the Juan de Fuca Ridge","volume":"92","author":[{"family":"Feely","given":"Richard A."},{"family":"Lewison","given":"Maureen"},{"family":"Massoth","given":"Gary J."},{"family":"Robert-Baldo","given":"Gillian"},{"family":"Lavelle","given":"J. William"},{"family":"Byrne","given":"Robert H."},{"family":"Von Damm","given":"Karen L."},{"family":"Curl","given":"Herbert C."}],"issued":{"date-parts":[["1987",10,10]]}}},{"id":803,"uris":["http://zotero.org/users/local/01lnVYoF/items/HUHKYWF2"],"itemData":{"id":803,"type":"article-journal","container-title":"Geophysical Research Letters","DOI":"10.1029/2020GL089935","ISSN":"0094-8276, 1944-8007","issue":"20","journalAbbreviation":"Geophys. Res. Lett.","language":"en","source":"DOI.org (Crossref)","title":"Transport and Deposition Patterns of Particles Laden by Rising Submarine Hydrothermal Plumes","URL":"https://onlinelibrary.wiley.com/doi/10.1029/2020GL089935","volume":"47","author":[{"family":"Lou","given":"Yingzhong"},{"family":"He","given":"Zhiguo"},{"family":"Han","given":"Xiqiu"}],"accessed":{"date-parts":[["2022",6,29]]},"issued":{"date-parts":[["2020",10,28]]}}}],"schema":"https://github.com/citation-style-language/schema/raw/master/csl-citation.json"} </w:instrText>
      </w:r>
      <w:r w:rsidR="00512E61">
        <w:fldChar w:fldCharType="separate"/>
      </w:r>
      <w:r w:rsidR="00F70573" w:rsidRPr="00F70573">
        <w:rPr>
          <w:rFonts w:cs="Times New Roman"/>
        </w:rPr>
        <w:t>Feely et al., 1990, 1987; Lou et al., 2020)</w:t>
      </w:r>
      <w:r w:rsidR="00512E61">
        <w:fldChar w:fldCharType="end"/>
      </w:r>
      <w:r w:rsidR="00DA0984">
        <w:t>.</w:t>
      </w:r>
      <w:r w:rsidR="00C00486">
        <w:t xml:space="preserve"> </w:t>
      </w:r>
      <w:r w:rsidR="00DA0984">
        <w:rPr>
          <w:color w:val="000000"/>
        </w:rPr>
        <w:t xml:space="preserve">In addition, </w:t>
      </w:r>
      <w:r w:rsidR="009476E4">
        <w:rPr>
          <w:color w:val="000000"/>
        </w:rPr>
        <w:t>hydrothermal plumes have been reported to be transported thousands of kilometers away from their source at the ridge axis</w:t>
      </w:r>
      <w:r w:rsidRPr="005E5750">
        <w:t xml:space="preserve"> </w:t>
      </w:r>
      <w:r w:rsidRPr="005E5750">
        <w:fldChar w:fldCharType="begin"/>
      </w:r>
      <w:r>
        <w:instrText xml:space="preserve"> ADDIN ZOTERO_ITEM CSL_CITATION {"citationID":"AvwjRqA0","properties":{"formattedCitation":"(Lupton et al., 2004; Resing et al., 2015)","plainCitation":"(Lupton et al., 2004; Resing et al., 2015)","dontUpdate":true,"noteIndex":0},"citationItems":[{"id":400,"uris":["http://zotero.org/users/local/01lnVYoF/items/6G9TAFE7"],"itemData":{"id":400,"type":"article-journal","container-title":"Geochemistry, Geophysics, Geosystems","DOI":"10.1029/2003GC000607","ISSN":"15252027","issue":"1","journalAbbreviation":"Geochem. Geophys. Geosyst.","language":"en","source":"DOI.org (Crossref)","title":"Evidence for an extensive hydrothermal plume in the Tonga-Fiji region of the South Pacific","title-short":"Evidence for an extensive hydrothermal plume in the Tonga-Fiji region of the South Pacific","URL":"http://doi.wiley.com/10.1029/2003GC000607","volume":"5","author":[{"family":"Lupton","given":"John E."},{"family":"Pyle","given":"Douglas G."},{"family":"Jenkins","given":"William J."},{"family":"Greene","given":"Ronald"},{"family":"Evans","given":"Leigh"}],"accessed":{"date-parts":[["2021",11,29]]},"issued":{"date-parts":[["2004",1]]}}},{"id":73,"uris":["http://zotero.org/users/local/01lnVYoF/items/SLW5JASD"],"itemData":{"id":73,"type":"article-journal","container-title":"Nature","DOI":"10.1038/nature14577","ISSN":"0028-0836, 1476-4687","issue":"7559","journalAbbreviation":"Nature","language":"en","page":"200-203","source":"DOI.org (Crossref)","title":"Basin-scale transport of hydrothermal dissolved metals across the South Pacific Ocean","volume":"523","author":[{"family":"Resing","given":"Joseph A."},{"family":"Sedwick","given":"Peter N."},{"family":"German","given":"Christopher R."},{"family":"Jenkins","given":"William J."},{"family":"Moffett","given":"James W."},{"family":"Sohst","given":"Bettina M."},{"family":"Tagliabue","given":"Alessandro"}],"issued":{"date-parts":[["2015",7]]}}}],"schema":"https://github.com/citation-style-language/schema/raw/master/csl-citation.json"} </w:instrText>
      </w:r>
      <w:r w:rsidRPr="005E5750">
        <w:fldChar w:fldCharType="separate"/>
      </w:r>
      <w:r w:rsidRPr="005E5750">
        <w:rPr>
          <w:rFonts w:cs="Times New Roman"/>
        </w:rPr>
        <w:t>(Resing et al., 2015)</w:t>
      </w:r>
      <w:r w:rsidRPr="005E5750">
        <w:fldChar w:fldCharType="end"/>
      </w:r>
      <w:r w:rsidRPr="005E5750">
        <w:t xml:space="preserve"> </w:t>
      </w:r>
      <w:r w:rsidR="00DA0984">
        <w:rPr>
          <w:color w:val="000000"/>
        </w:rPr>
        <w:t xml:space="preserve">and </w:t>
      </w:r>
      <w:r w:rsidR="00DA0984">
        <w:rPr>
          <w:color w:val="000000"/>
        </w:rPr>
        <w:lastRenderedPageBreak/>
        <w:t xml:space="preserve">results in continuous fallout of metals over large distances </w:t>
      </w:r>
      <w:r w:rsidRPr="005E5750">
        <w:fldChar w:fldCharType="begin"/>
      </w:r>
      <w:r w:rsidRPr="005E5750">
        <w:instrText xml:space="preserve"> ADDIN ZOTERO_ITEM CSL_CITATION {"citationID":"jPcg15zC","properties":{"formattedCitation":"(Lilley et al., 2013)","plainCitation":"(Lilley et al., 2013)","noteIndex":0},"citationItems":[{"id":4,"uris":["http://zotero.org/users/local/01lnVYoF/items/5H3DCMH4"],"itemData":{"id":4,"type":"chapter","abstract":"This chapter contains sections titled: Dissolved Constituents Utilized as Tracers Elemental Chemistry of Hydrothermal Particles Bacterial Activity within Plumes Organic Carbon Production within Plumes Zookanicton Activity Associated with Plumes Rlijnietracers of Vent F1eld Variability","container-title":"Seafloor Hydrothermal Systems: Physical, Chemical, Biological, and Geological Interactions","ISBN":"978-1-118-66399-8","language":"en","license":"Copyright 1995 by the American Geophysical Union.","note":"DOI: 10.1029/GM091p0369","page":"369-391","publisher":"American Geophysical Union (AGU)","source":"Wiley Online Library","title":"Chemical and Biochemical Transformations in Hydrothermal Plumes","URL":"https://agupubs.onlinelibrary.wiley.com/doi/abs/10.1029/GM091p0369","author":[{"family":"Lilley","given":"Marvin D."},{"family":"Feely","given":"Richard A."},{"family":"Trefry","given":"John H."}],"accessed":{"date-parts":[["2019",10,7]]},"issued":{"date-parts":[["2013"]]}}}],"schema":"https://github.com/citation-style-language/schema/raw/master/csl-citation.json"} </w:instrText>
      </w:r>
      <w:r w:rsidRPr="005E5750">
        <w:fldChar w:fldCharType="separate"/>
      </w:r>
      <w:r w:rsidRPr="005E5750">
        <w:rPr>
          <w:rFonts w:cs="Times New Roman"/>
        </w:rPr>
        <w:t>(Lilley et al., 2013)</w:t>
      </w:r>
      <w:r w:rsidRPr="005E5750">
        <w:fldChar w:fldCharType="end"/>
      </w:r>
      <w:r w:rsidR="00DA0984">
        <w:t xml:space="preserve">, </w:t>
      </w:r>
      <w:r w:rsidR="00DA0984">
        <w:rPr>
          <w:color w:val="000000"/>
        </w:rPr>
        <w:t>possibly up to station 8.</w:t>
      </w:r>
      <w:r w:rsidRPr="005E5750">
        <w:t xml:space="preserve"> </w:t>
      </w:r>
      <w:r w:rsidR="00DA0984">
        <w:fldChar w:fldCharType="begin"/>
      </w:r>
      <w:r w:rsidR="0025594D">
        <w:instrText xml:space="preserve"> ADDIN ZOTERO_ITEM CSL_CITATION {"citationID":"ePyrI7zf","properties":{"formattedCitation":"(Bostr\\uc0\\u246{}m et al., 1969)","plainCitation":"(Boström et al., 1969)","dontUpdate":true,"noteIndex":0},"citationItems":[{"id":856,"uris":["http://zotero.org/users/local/01lnVYoF/items/LP5TRWWG"],"itemData":{"id":856,"type":"article-journal","container-title":"Journal of Geophysical Research","DOI":"10.1029/JB074i012p03261","ISSN":"01480227","issue":"12","journalAbbreviation":"J. Geophys. Res.","language":"en","page":"3261-3270","source":"DOI.org (Crossref)","title":"Aluminum-poor ferromanganoan sediments on active oceanic ridges","volume":"74","author":[{"family":"Boström","given":"Kurt"},{"family":"Peterson","given":"M. N. A."},{"family":"Joensuu","given":"Oiva"},{"family":"Fisher","given":"David E."}],"issued":{"date-parts":[["1969",6,15]]}}}],"schema":"https://github.com/citation-style-language/schema/raw/master/csl-citation.json"} </w:instrText>
      </w:r>
      <w:r w:rsidR="00DA0984">
        <w:fldChar w:fldCharType="separate"/>
      </w:r>
      <w:r w:rsidR="00DA0984" w:rsidRPr="00DA0984">
        <w:rPr>
          <w:rFonts w:cs="Times New Roman"/>
          <w:szCs w:val="24"/>
        </w:rPr>
        <w:t xml:space="preserve">Boström et al. </w:t>
      </w:r>
      <w:r w:rsidR="00DA0984">
        <w:rPr>
          <w:rFonts w:cs="Times New Roman"/>
          <w:szCs w:val="24"/>
        </w:rPr>
        <w:t>(</w:t>
      </w:r>
      <w:r w:rsidR="00DA0984" w:rsidRPr="00DA0984">
        <w:rPr>
          <w:rFonts w:cs="Times New Roman"/>
          <w:szCs w:val="24"/>
        </w:rPr>
        <w:t>1969)</w:t>
      </w:r>
      <w:r w:rsidR="00DA0984">
        <w:fldChar w:fldCharType="end"/>
      </w:r>
      <w:r w:rsidR="00DA0984">
        <w:t xml:space="preserve"> </w:t>
      </w:r>
      <w:r w:rsidR="00DA0984">
        <w:rPr>
          <w:color w:val="000000"/>
        </w:rPr>
        <w:t xml:space="preserve">also demonstrated the presence of </w:t>
      </w:r>
      <w:r w:rsidR="00875C2D">
        <w:rPr>
          <w:color w:val="000000"/>
        </w:rPr>
        <w:t>sediments influenced by distal hydrothermalism near this site.</w:t>
      </w:r>
    </w:p>
    <w:p w14:paraId="58363B32" w14:textId="1D244021" w:rsidR="002D5B69" w:rsidRDefault="002D5B69" w:rsidP="002D5B69">
      <w:pPr>
        <w:pStyle w:val="Titre3"/>
        <w:rPr>
          <w:b w:val="0"/>
          <w:bCs/>
          <w:i/>
          <w:iCs/>
        </w:rPr>
      </w:pPr>
      <w:r>
        <w:rPr>
          <w:b w:val="0"/>
          <w:bCs/>
          <w:i/>
          <w:iCs/>
        </w:rPr>
        <w:t xml:space="preserve">Detrital </w:t>
      </w:r>
      <w:r w:rsidR="007B0E5A">
        <w:rPr>
          <w:b w:val="0"/>
          <w:bCs/>
          <w:i/>
          <w:iCs/>
        </w:rPr>
        <w:t>component</w:t>
      </w:r>
    </w:p>
    <w:p w14:paraId="31EF25C3" w14:textId="5A285C4E" w:rsidR="002D5B69" w:rsidRPr="000025F4" w:rsidRDefault="00AA4E6D" w:rsidP="009D75B5">
      <w:pPr>
        <w:spacing w:line="480" w:lineRule="auto"/>
        <w:jc w:val="both"/>
      </w:pPr>
      <w:r>
        <w:rPr>
          <w:color w:val="000000"/>
        </w:rPr>
        <w:t xml:space="preserve">As described in section 4.4.1, microscopic inspection of particles collected at selected sediment traps, whether at 200 m or 1000 m, reveals the occurrence of a huge abundance of basaltic glass as evidenced by the sharp angle of large size particles. </w:t>
      </w:r>
      <w:r>
        <w:rPr>
          <w:color w:val="000000"/>
        </w:rPr>
        <w:fldChar w:fldCharType="begin"/>
      </w:r>
      <w:r w:rsidR="00F118F7">
        <w:rPr>
          <w:color w:val="000000"/>
        </w:rPr>
        <w:instrText xml:space="preserve"> ADDIN ZOTERO_ITEM CSL_CITATION {"citationID":"WeXiZFMY","properties":{"formattedCitation":"(Escrig et al., 2012)","plainCitation":"(Escrig et al., 2012)","dontUpdate":true,"noteIndex":0},"citationItems":[{"id":1806,"uris":["http://zotero.org/users/local/01lnVYoF/items/Y9AYWB76"],"itemData":{"id":1806,"type":"article-journal","container-title":"Geochemistry, Geophysics, Geosystems","DOI":"10.1029/2012GC004130","ISSN":"15252027","issue":"10","journalAbbreviation":"Geochem. Geophys. Geosyst.","language":"en","page":"n/a-n/a","source":"DOI.org (Crossref)","title":"Characterizing the effect of mantle source, subduction input and melting in the Fonualei Spreading Center, Lau Basin: Constraints on the origin of the boninitic signature of the back-arc lavas: GEOCHEMICAL VARIATION ALONG THE FSC","title-short":"Characterizing the effect of mantle source, subduction input and melting in the Fonualei Spreading Center, Lau Basin","volume":"13","author":[{"family":"Escrig","given":"S."},{"family":"Bézos","given":"A."},{"family":"Langmuir","given":"C. H."},{"family":"Michael","given":"P. J."},{"family":"Arculus","given":"R."}],"issued":{"date-parts":[["2012",10]]}}}],"schema":"https://github.com/citation-style-language/schema/raw/master/csl-citation.json"} </w:instrText>
      </w:r>
      <w:r>
        <w:rPr>
          <w:color w:val="000000"/>
        </w:rPr>
        <w:fldChar w:fldCharType="separate"/>
      </w:r>
      <w:r w:rsidRPr="00AA4E6D">
        <w:rPr>
          <w:rFonts w:cs="Times New Roman"/>
        </w:rPr>
        <w:t xml:space="preserve">Escrig et al. </w:t>
      </w:r>
      <w:r>
        <w:rPr>
          <w:rFonts w:cs="Times New Roman"/>
        </w:rPr>
        <w:t>(</w:t>
      </w:r>
      <w:r w:rsidRPr="00AA4E6D">
        <w:rPr>
          <w:rFonts w:cs="Times New Roman"/>
        </w:rPr>
        <w:t>2012)</w:t>
      </w:r>
      <w:r>
        <w:rPr>
          <w:color w:val="000000"/>
        </w:rPr>
        <w:fldChar w:fldCharType="end"/>
      </w:r>
      <w:r>
        <w:rPr>
          <w:color w:val="000000"/>
        </w:rPr>
        <w:t xml:space="preserve"> collected fresh volcanic glass along the latitudinal location of the Fonualei Spreading Center (between -18° and -16°S) corresponding to an end-member of global back-arc lavas in the Lau Basin. These volcanic glasses exhibit average (Fe/Mn) ratio and Si content of 54 ± 5 and 25 ± 1 wt.%, respectively. Here, we were able to determine the geochemical composition of the detrital material based on geochemical features measured in the seafloor sediments. Following the calculations presented in section 3.2, the average detrital fraction is characterized by (Fe/</w:t>
      </w:r>
      <w:proofErr w:type="gramStart"/>
      <w:r>
        <w:rPr>
          <w:color w:val="000000"/>
        </w:rPr>
        <w:t>Mn)</w:t>
      </w:r>
      <w:r w:rsidRPr="00AA4E6D">
        <w:rPr>
          <w:color w:val="000000"/>
          <w:szCs w:val="24"/>
          <w:vertAlign w:val="subscript"/>
        </w:rPr>
        <w:t>det</w:t>
      </w:r>
      <w:proofErr w:type="gramEnd"/>
      <w:r w:rsidRPr="00AA4E6D">
        <w:rPr>
          <w:color w:val="000000"/>
          <w:szCs w:val="24"/>
        </w:rPr>
        <w:t xml:space="preserve"> and </w:t>
      </w:r>
      <w:proofErr w:type="spellStart"/>
      <w:r w:rsidRPr="00AA4E6D">
        <w:rPr>
          <w:color w:val="000000"/>
          <w:szCs w:val="24"/>
        </w:rPr>
        <w:t>Si</w:t>
      </w:r>
      <w:r w:rsidRPr="00AA4E6D">
        <w:rPr>
          <w:color w:val="000000"/>
          <w:szCs w:val="24"/>
          <w:vertAlign w:val="subscript"/>
        </w:rPr>
        <w:t>det</w:t>
      </w:r>
      <w:proofErr w:type="spellEnd"/>
      <w:r>
        <w:rPr>
          <w:color w:val="000000"/>
        </w:rPr>
        <w:t xml:space="preserve"> at 54 ± 3 and 22 ± 5 wt.%, respectively. These chemical signatures are extremely similar to those of volcanic glasses analyzed by </w:t>
      </w:r>
      <w:r>
        <w:rPr>
          <w:color w:val="000000"/>
        </w:rPr>
        <w:fldChar w:fldCharType="begin"/>
      </w:r>
      <w:r w:rsidR="00F118F7">
        <w:rPr>
          <w:color w:val="000000"/>
        </w:rPr>
        <w:instrText xml:space="preserve"> ADDIN ZOTERO_ITEM CSL_CITATION {"citationID":"ggsdzoaf","properties":{"formattedCitation":"(Escrig et al., 2012)","plainCitation":"(Escrig et al., 2012)","dontUpdate":true,"noteIndex":0},"citationItems":[{"id":1806,"uris":["http://zotero.org/users/local/01lnVYoF/items/Y9AYWB76"],"itemData":{"id":1806,"type":"article-journal","container-title":"Geochemistry, Geophysics, Geosystems","DOI":"10.1029/2012GC004130","ISSN":"15252027","issue":"10","journalAbbreviation":"Geochem. Geophys. Geosyst.","language":"en","page":"n/a-n/a","source":"DOI.org (Crossref)","title":"Characterizing the effect of mantle source, subduction input and melting in the Fonualei Spreading Center, Lau Basin: Constraints on the origin of the boninitic signature of the back-arc lavas: GEOCHEMICAL VARIATION ALONG THE FSC","title-short":"Characterizing the effect of mantle source, subduction input and melting in the Fonualei Spreading Center, Lau Basin","volume":"13","author":[{"family":"Escrig","given":"S."},{"family":"Bézos","given":"A."},{"family":"Langmuir","given":"C. H."},{"family":"Michael","given":"P. J."},{"family":"Arculus","given":"R."}],"issued":{"date-parts":[["2012",10]]}}}],"schema":"https://github.com/citation-style-language/schema/raw/master/csl-citation.json"} </w:instrText>
      </w:r>
      <w:r>
        <w:rPr>
          <w:color w:val="000000"/>
        </w:rPr>
        <w:fldChar w:fldCharType="separate"/>
      </w:r>
      <w:r w:rsidRPr="00AA4E6D">
        <w:rPr>
          <w:rFonts w:cs="Times New Roman"/>
        </w:rPr>
        <w:t xml:space="preserve">Escrig et al. </w:t>
      </w:r>
      <w:r>
        <w:rPr>
          <w:rFonts w:cs="Times New Roman"/>
        </w:rPr>
        <w:t>(</w:t>
      </w:r>
      <w:r w:rsidRPr="00AA4E6D">
        <w:rPr>
          <w:rFonts w:cs="Times New Roman"/>
        </w:rPr>
        <w:t>2012)</w:t>
      </w:r>
      <w:r>
        <w:rPr>
          <w:color w:val="000000"/>
        </w:rPr>
        <w:fldChar w:fldCharType="end"/>
      </w:r>
      <w:r>
        <w:rPr>
          <w:color w:val="000000"/>
        </w:rPr>
        <w:t xml:space="preserve"> as well as for trace metal such as Ni. Nevertheless, the detrital fraction is 10 and 2 times more enriched in Pb and Zn, respectively, which may suggest that the hydrothermal contribution has been underestimated, as mentioned above. Overall, the detrital fraction identified, observed and analyzed here exhibits morphology and geochemical features that are consistent with a nearby volcanic origin solely.</w:t>
      </w:r>
    </w:p>
    <w:p w14:paraId="4D7649F0" w14:textId="64E46A08" w:rsidR="00CB43D5" w:rsidRDefault="00C41206" w:rsidP="007558CC">
      <w:pPr>
        <w:pStyle w:val="Titre1"/>
      </w:pPr>
      <w:r>
        <w:t>Conclusion</w:t>
      </w:r>
    </w:p>
    <w:p w14:paraId="0EDE1220" w14:textId="7367947C" w:rsidR="00D66923" w:rsidRDefault="00D66923" w:rsidP="00D23535">
      <w:pPr>
        <w:spacing w:line="480" w:lineRule="auto"/>
        <w:jc w:val="both"/>
      </w:pPr>
      <w:bookmarkStart w:id="32" w:name="_Hlk125564672"/>
      <w:r>
        <w:t>In this study, deployment of sediment traps and coring of seafloor sediments allowed the identification and characterization of bio</w:t>
      </w:r>
      <w:r w:rsidR="00445586">
        <w:t>genic</w:t>
      </w:r>
      <w:r>
        <w:t xml:space="preserve"> and hydrothermally-derived particles along the Tonga Arc o</w:t>
      </w:r>
      <w:r w:rsidR="00094475">
        <w:t xml:space="preserve">ver </w:t>
      </w:r>
      <w:r>
        <w:t xml:space="preserve">large </w:t>
      </w:r>
      <w:proofErr w:type="spellStart"/>
      <w:r>
        <w:t>spatio-temporal</w:t>
      </w:r>
      <w:proofErr w:type="spellEnd"/>
      <w:r>
        <w:t xml:space="preserve"> scales, from the Lau Ridge to the western </w:t>
      </w:r>
      <w:r w:rsidR="00094475">
        <w:t>border</w:t>
      </w:r>
      <w:r>
        <w:t xml:space="preserve"> of the South Pacific gyre (along </w:t>
      </w:r>
      <w:r w:rsidR="00DA0984">
        <w:t>~</w:t>
      </w:r>
      <w:r>
        <w:t xml:space="preserve">20 °S; </w:t>
      </w:r>
      <w:r w:rsidRPr="00D66923">
        <w:rPr>
          <w:i/>
          <w:iCs/>
        </w:rPr>
        <w:t xml:space="preserve">Fig. </w:t>
      </w:r>
      <w:r w:rsidR="00DB5817">
        <w:rPr>
          <w:i/>
          <w:iCs/>
        </w:rPr>
        <w:t>7</w:t>
      </w:r>
      <w:r>
        <w:t>). Consistent with the high biological producti</w:t>
      </w:r>
      <w:r w:rsidR="002B7C36">
        <w:t>vity</w:t>
      </w:r>
      <w:r>
        <w:t xml:space="preserve"> previously reported in the Lau Basin, large quantities of </w:t>
      </w:r>
      <w:r w:rsidR="002B7C36">
        <w:t>biogenic</w:t>
      </w:r>
      <w:r>
        <w:t xml:space="preserve"> material (organic matter, opal and </w:t>
      </w:r>
      <w:r w:rsidR="00445586">
        <w:t>calcium carbonate</w:t>
      </w:r>
      <w:r>
        <w:t xml:space="preserve">) were collected </w:t>
      </w:r>
      <w:r w:rsidR="00445586">
        <w:t xml:space="preserve">at 200 and </w:t>
      </w:r>
      <w:r w:rsidR="00445586">
        <w:lastRenderedPageBreak/>
        <w:t>1000 m</w:t>
      </w:r>
      <w:r>
        <w:t>. These particles were intimately related to the influx of lithogenic material</w:t>
      </w:r>
      <w:r w:rsidR="003869CB">
        <w:t xml:space="preserve"> from the Tonga </w:t>
      </w:r>
      <w:r w:rsidR="00094475">
        <w:t>A</w:t>
      </w:r>
      <w:r w:rsidR="003869CB">
        <w:t xml:space="preserve">rc, whose hydrothermal origin could be resolved </w:t>
      </w:r>
      <w:r w:rsidR="00DA0984">
        <w:t>t</w:t>
      </w:r>
      <w:r w:rsidR="00DA0984">
        <w:rPr>
          <w:color w:val="000000"/>
        </w:rPr>
        <w:t xml:space="preserve">hrough numerous geochemical tracers (Al, Ca, Cu, Fe, Mn, Ni, </w:t>
      </w:r>
      <w:r w:rsidR="00875C2D">
        <w:rPr>
          <w:color w:val="000000"/>
        </w:rPr>
        <w:t xml:space="preserve">Pb, </w:t>
      </w:r>
      <w:r w:rsidR="00DA0984">
        <w:rPr>
          <w:color w:val="000000"/>
        </w:rPr>
        <w:t>Si, Zn)</w:t>
      </w:r>
      <w:r w:rsidR="003869CB">
        <w:t xml:space="preserve">. Such a result suggests that </w:t>
      </w:r>
      <w:r w:rsidR="00445586">
        <w:t>surface</w:t>
      </w:r>
      <w:r w:rsidR="003869CB">
        <w:t xml:space="preserve"> production </w:t>
      </w:r>
      <w:r w:rsidR="00094475">
        <w:t>is tightly</w:t>
      </w:r>
      <w:r w:rsidR="003869CB">
        <w:t xml:space="preserve"> linked to hydrothermal supply within the </w:t>
      </w:r>
      <w:r w:rsidR="00094475">
        <w:t>Lau Basin photic layer</w:t>
      </w:r>
      <w:r w:rsidR="003869CB">
        <w:t>. Seafloor sediments from all stations also exhibited a metal-rich hydrothermal signature (Fe</w:t>
      </w:r>
      <w:r w:rsidR="00094475">
        <w:t xml:space="preserve">, </w:t>
      </w:r>
      <w:r w:rsidR="003869CB">
        <w:t>Mn</w:t>
      </w:r>
      <w:r w:rsidR="00E5575B">
        <w:t>-</w:t>
      </w:r>
      <w:r w:rsidR="003869CB">
        <w:t>rich, Al-depleted), supported by their high accumulation rates as well as the coarse and heterogeneous size of the sedimented particles, typical of hydrothermal oxide and/or sulfide debris. Thus, the sinking and sedimented particles were primarily from shallow to deep hydrothermal sources identified along the Tonga Arc.</w:t>
      </w:r>
      <w:r w:rsidR="00E105A2">
        <w:t xml:space="preserve"> </w:t>
      </w:r>
      <w:r w:rsidR="00E105A2">
        <w:rPr>
          <w:color w:val="000000"/>
        </w:rPr>
        <w:t>This set of evidence supports a major influence of hydrothermal sources and refutes the island effect often considered in this region.</w:t>
      </w:r>
    </w:p>
    <w:p w14:paraId="3622E9A9" w14:textId="088AF557" w:rsidR="004632D0" w:rsidRDefault="000054E2" w:rsidP="004632D0">
      <w:pPr>
        <w:spacing w:line="480" w:lineRule="auto"/>
        <w:jc w:val="both"/>
        <w:rPr>
          <w:color w:val="000000"/>
        </w:rPr>
      </w:pPr>
      <w:bookmarkStart w:id="33" w:name="_Hlk125564685"/>
      <w:bookmarkEnd w:id="32"/>
      <w:r>
        <w:rPr>
          <w:color w:val="000000"/>
        </w:rPr>
        <w:t>Shallow and/or deep hydrothermal sources</w:t>
      </w:r>
      <w:r>
        <w:t xml:space="preserve"> </w:t>
      </w:r>
      <w:r w:rsidR="003869CB">
        <w:t xml:space="preserve">impacted the </w:t>
      </w:r>
      <w:r w:rsidR="00445586">
        <w:t xml:space="preserve">composition of </w:t>
      </w:r>
      <w:r w:rsidR="003869CB">
        <w:t xml:space="preserve">sinking and sedimented particles </w:t>
      </w:r>
      <w:r w:rsidR="00BA6246">
        <w:t>at</w:t>
      </w:r>
      <w:r w:rsidR="003869CB">
        <w:t xml:space="preserve"> all stations sampled in the Lau Basin. The effect of the sources on the particle signature depended on their distance from the sampled site. </w:t>
      </w:r>
      <w:r>
        <w:rPr>
          <w:color w:val="000000"/>
        </w:rPr>
        <w:t xml:space="preserve">The signature of hydrothermal material was pronounced in the sediment traps deployed at stations 5 and 10 (~15 km from the arc and identified shallow sources). </w:t>
      </w:r>
      <w:r w:rsidR="00A5530F">
        <w:rPr>
          <w:color w:val="000000"/>
        </w:rPr>
        <w:t>It</w:t>
      </w:r>
      <w:r w:rsidR="004632D0">
        <w:rPr>
          <w:color w:val="000000"/>
        </w:rPr>
        <w:t xml:space="preserve"> was also revealed but to a lesser extent at station 12, located near the Lau Ridge (~200 km from the arc), and was primarily reflected through Fe enrichments in the water column both at the surface (200 m) and at depth (1000 m). At all stations, besides the impact of hydrothermalism, a volcanic signature (Fe, LSi, Al-rich, Mn-depleted) was identified in the particles collected in the deepest sediment trap. This abundant volcanic material probably originated from the recent eruption of the Late’iki submarine volcano and the subsequent fast erosion of the newly created island, as confirmed through the observation of basaltic glass in the 1000 m-trap at station 10. Surprisingly, the seafloor at station 12 reflects a deep hydrothermal activity, as evidenced by the typical signature of sulfide debris found near hydrothermal vents and the large and heterogeneous particle size. At the South Pacific gyre deep-sea reference site, the Al-Fe-Mn tracing in the seafloor sediments detected the distal impact of a deep hydrothermal source, likely present along the East Pacific Rise.</w:t>
      </w:r>
    </w:p>
    <w:bookmarkEnd w:id="33"/>
    <w:p w14:paraId="7BE6D119" w14:textId="19C5CA97" w:rsidR="00A25E66" w:rsidRDefault="00BA4A82" w:rsidP="004632D0">
      <w:pPr>
        <w:spacing w:line="480" w:lineRule="auto"/>
        <w:jc w:val="both"/>
      </w:pPr>
      <w:r>
        <w:rPr>
          <w:b/>
          <w:bCs/>
          <w:i/>
          <w:iCs/>
          <w:noProof/>
          <w:sz w:val="21"/>
          <w:szCs w:val="20"/>
        </w:rPr>
        <w:lastRenderedPageBreak/>
        <w:drawing>
          <wp:inline distT="0" distB="0" distL="0" distR="0" wp14:anchorId="53F9CADC" wp14:editId="2CD4E033">
            <wp:extent cx="6208395" cy="3727450"/>
            <wp:effectExtent l="0" t="0" r="1905" b="635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08395" cy="3727450"/>
                    </a:xfrm>
                    <a:prstGeom prst="rect">
                      <a:avLst/>
                    </a:prstGeom>
                  </pic:spPr>
                </pic:pic>
              </a:graphicData>
            </a:graphic>
          </wp:inline>
        </w:drawing>
      </w:r>
      <w:r w:rsidR="00A25E66" w:rsidRPr="00B833A0">
        <w:rPr>
          <w:b/>
          <w:bCs/>
          <w:i/>
          <w:iCs/>
          <w:sz w:val="21"/>
          <w:szCs w:val="20"/>
        </w:rPr>
        <w:t xml:space="preserve">Figure </w:t>
      </w:r>
      <w:r w:rsidR="00445586">
        <w:rPr>
          <w:b/>
          <w:bCs/>
          <w:i/>
          <w:iCs/>
          <w:sz w:val="21"/>
          <w:szCs w:val="20"/>
        </w:rPr>
        <w:t>7</w:t>
      </w:r>
      <w:bookmarkStart w:id="34" w:name="_Hlk125564732"/>
      <w:r w:rsidR="00A25E66">
        <w:rPr>
          <w:b/>
          <w:bCs/>
          <w:i/>
          <w:iCs/>
          <w:sz w:val="21"/>
          <w:szCs w:val="20"/>
        </w:rPr>
        <w:t xml:space="preserve">. </w:t>
      </w:r>
      <w:r w:rsidR="00A25E66">
        <w:rPr>
          <w:sz w:val="21"/>
          <w:szCs w:val="20"/>
        </w:rPr>
        <w:t xml:space="preserve">Summary diagram of the main results of the present study. These include </w:t>
      </w:r>
      <w:r w:rsidR="00A25E66" w:rsidRPr="00D6470A">
        <w:rPr>
          <w:b/>
          <w:bCs/>
          <w:sz w:val="21"/>
          <w:szCs w:val="20"/>
        </w:rPr>
        <w:t>(1)</w:t>
      </w:r>
      <w:r w:rsidR="00A25E66">
        <w:rPr>
          <w:sz w:val="21"/>
          <w:szCs w:val="20"/>
        </w:rPr>
        <w:t xml:space="preserve"> the non-vertical sinking of particles as well as the greater contribution of </w:t>
      </w:r>
      <w:r w:rsidR="006959A8">
        <w:rPr>
          <w:sz w:val="21"/>
          <w:szCs w:val="20"/>
        </w:rPr>
        <w:t>material</w:t>
      </w:r>
      <w:r w:rsidR="00A25E66">
        <w:rPr>
          <w:sz w:val="21"/>
          <w:szCs w:val="20"/>
        </w:rPr>
        <w:t xml:space="preserve"> to deep traps due to</w:t>
      </w:r>
      <w:r w:rsidR="006959A8">
        <w:rPr>
          <w:sz w:val="21"/>
          <w:szCs w:val="20"/>
        </w:rPr>
        <w:t xml:space="preserve"> the</w:t>
      </w:r>
      <w:r w:rsidR="00A25E66">
        <w:rPr>
          <w:sz w:val="21"/>
          <w:szCs w:val="20"/>
        </w:rPr>
        <w:t xml:space="preserve"> longer integration times at depth (specified on the right side of the diagram); </w:t>
      </w:r>
      <w:r w:rsidR="00A25E66" w:rsidRPr="00D6470A">
        <w:rPr>
          <w:b/>
          <w:bCs/>
          <w:sz w:val="21"/>
          <w:szCs w:val="20"/>
        </w:rPr>
        <w:t>(2)</w:t>
      </w:r>
      <w:r w:rsidR="00A25E66">
        <w:rPr>
          <w:sz w:val="21"/>
          <w:szCs w:val="20"/>
        </w:rPr>
        <w:t xml:space="preserve"> the impact of</w:t>
      </w:r>
      <w:r w:rsidR="006959A8">
        <w:rPr>
          <w:sz w:val="21"/>
          <w:szCs w:val="20"/>
        </w:rPr>
        <w:t xml:space="preserve"> shallow</w:t>
      </w:r>
      <w:r w:rsidR="00A25E66">
        <w:rPr>
          <w:sz w:val="21"/>
          <w:szCs w:val="20"/>
        </w:rPr>
        <w:t xml:space="preserve"> hydrothermal plumes on all sediment traps in the Lau Basin; </w:t>
      </w:r>
      <w:r w:rsidR="00A25E66" w:rsidRPr="00E361B2">
        <w:rPr>
          <w:b/>
          <w:bCs/>
          <w:sz w:val="21"/>
          <w:szCs w:val="20"/>
        </w:rPr>
        <w:t>(3)</w:t>
      </w:r>
      <w:r w:rsidR="00A25E66">
        <w:rPr>
          <w:sz w:val="21"/>
          <w:szCs w:val="20"/>
        </w:rPr>
        <w:t xml:space="preserve"> the impact of </w:t>
      </w:r>
      <w:r w:rsidR="00BC699F">
        <w:rPr>
          <w:sz w:val="21"/>
          <w:szCs w:val="20"/>
        </w:rPr>
        <w:t>volcanic material</w:t>
      </w:r>
      <w:r w:rsidR="00A25E66">
        <w:rPr>
          <w:sz w:val="21"/>
          <w:szCs w:val="20"/>
        </w:rPr>
        <w:t xml:space="preserve"> from </w:t>
      </w:r>
      <w:r w:rsidR="004632D0">
        <w:rPr>
          <w:sz w:val="21"/>
          <w:szCs w:val="20"/>
        </w:rPr>
        <w:t xml:space="preserve">the </w:t>
      </w:r>
      <w:r w:rsidR="00A25E66">
        <w:rPr>
          <w:sz w:val="21"/>
          <w:szCs w:val="20"/>
        </w:rPr>
        <w:t xml:space="preserve">Late’iki volcano </w:t>
      </w:r>
      <w:r>
        <w:rPr>
          <w:sz w:val="21"/>
          <w:szCs w:val="20"/>
        </w:rPr>
        <w:t xml:space="preserve">eruption </w:t>
      </w:r>
      <w:r w:rsidR="00A25E66">
        <w:rPr>
          <w:sz w:val="21"/>
          <w:szCs w:val="20"/>
        </w:rPr>
        <w:t xml:space="preserve">on the deep traps deployed at stations </w:t>
      </w:r>
      <w:r w:rsidR="00D678A0">
        <w:rPr>
          <w:sz w:val="21"/>
          <w:szCs w:val="20"/>
        </w:rPr>
        <w:t xml:space="preserve">5, </w:t>
      </w:r>
      <w:r w:rsidR="00A25E66">
        <w:rPr>
          <w:sz w:val="21"/>
          <w:szCs w:val="20"/>
        </w:rPr>
        <w:t xml:space="preserve">10 and 12; </w:t>
      </w:r>
      <w:r w:rsidR="00A25E66" w:rsidRPr="00E361B2">
        <w:rPr>
          <w:b/>
          <w:bCs/>
          <w:sz w:val="21"/>
          <w:szCs w:val="20"/>
        </w:rPr>
        <w:t>(4)</w:t>
      </w:r>
      <w:r w:rsidR="00A25E66">
        <w:rPr>
          <w:sz w:val="21"/>
          <w:szCs w:val="20"/>
        </w:rPr>
        <w:t xml:space="preserve"> the impact of shallow and deep hydrothermalism, along with submarine volcanism, on seafloor sediments; </w:t>
      </w:r>
      <w:r w:rsidR="00A25E66" w:rsidRPr="00E361B2">
        <w:rPr>
          <w:b/>
          <w:bCs/>
          <w:sz w:val="21"/>
          <w:szCs w:val="20"/>
        </w:rPr>
        <w:t>(5)</w:t>
      </w:r>
      <w:r w:rsidR="00A25E66">
        <w:rPr>
          <w:sz w:val="21"/>
          <w:szCs w:val="20"/>
        </w:rPr>
        <w:t xml:space="preserve"> the impact of a distal hydrothermal source on the sediments at the deep-sea reference site; and </w:t>
      </w:r>
      <w:r w:rsidR="00A25E66" w:rsidRPr="00E361B2">
        <w:rPr>
          <w:b/>
          <w:bCs/>
          <w:sz w:val="21"/>
          <w:szCs w:val="20"/>
        </w:rPr>
        <w:t>(6)</w:t>
      </w:r>
      <w:r w:rsidR="00A25E66">
        <w:rPr>
          <w:sz w:val="21"/>
          <w:szCs w:val="20"/>
        </w:rPr>
        <w:t xml:space="preserve"> the impact of the potential</w:t>
      </w:r>
      <w:r w:rsidR="00D678A0">
        <w:rPr>
          <w:sz w:val="21"/>
          <w:szCs w:val="20"/>
        </w:rPr>
        <w:t xml:space="preserve"> deep</w:t>
      </w:r>
      <w:r w:rsidR="00A25E66">
        <w:rPr>
          <w:sz w:val="21"/>
          <w:szCs w:val="20"/>
        </w:rPr>
        <w:t xml:space="preserve"> hydrothermal source deduced near </w:t>
      </w:r>
      <w:r w:rsidR="005418DE">
        <w:rPr>
          <w:sz w:val="21"/>
          <w:szCs w:val="20"/>
        </w:rPr>
        <w:t>s</w:t>
      </w:r>
      <w:r w:rsidR="00A25E66">
        <w:rPr>
          <w:sz w:val="21"/>
          <w:szCs w:val="20"/>
        </w:rPr>
        <w:t xml:space="preserve">tation 12. Note that no sample could be collected from the 200 m-trap deployed at </w:t>
      </w:r>
      <w:r w:rsidR="005418DE">
        <w:rPr>
          <w:sz w:val="21"/>
          <w:szCs w:val="20"/>
        </w:rPr>
        <w:t>s</w:t>
      </w:r>
      <w:r w:rsidR="00A25E66">
        <w:rPr>
          <w:sz w:val="21"/>
          <w:szCs w:val="20"/>
        </w:rPr>
        <w:t xml:space="preserve">tation 5 </w:t>
      </w:r>
      <w:r w:rsidR="0016306C">
        <w:rPr>
          <w:sz w:val="21"/>
          <w:szCs w:val="20"/>
        </w:rPr>
        <w:t xml:space="preserve">(shaded) </w:t>
      </w:r>
      <w:r w:rsidR="00A25E66">
        <w:rPr>
          <w:sz w:val="21"/>
          <w:szCs w:val="20"/>
        </w:rPr>
        <w:t>due to a PPS-5 malfunction. The days shown on the 200 and 1000 m lines indicate the travel time of particles from the Tonga Arc to the fixed trap site at these depths.</w:t>
      </w:r>
    </w:p>
    <w:p w14:paraId="62F69FBD" w14:textId="7783A3A1" w:rsidR="00E5575B" w:rsidRDefault="00E5575B" w:rsidP="00D23535">
      <w:pPr>
        <w:spacing w:line="480" w:lineRule="auto"/>
        <w:jc w:val="both"/>
      </w:pPr>
      <w:bookmarkStart w:id="35" w:name="_Hlk125564810"/>
      <w:bookmarkEnd w:id="34"/>
      <w:r>
        <w:t xml:space="preserve">All these data lead to the conclusion that a myriad of shallow and deep hydrothermal sources, located along the Tonga Arc, fertilize the entire Lau Basin with numerous elements, including Fe, triggering significant POC production. </w:t>
      </w:r>
      <w:r w:rsidR="00F6170F">
        <w:t>These hydrothermal sources, along with submarine volcanism, have a significant impact on the biogeochemistry of the Lau Basin, at very large spatial (from the Tonga Arc to the Lau Ridge) and temporal</w:t>
      </w:r>
      <w:r w:rsidR="009724C7">
        <w:t xml:space="preserve"> </w:t>
      </w:r>
      <w:r w:rsidR="000054E2">
        <w:t>(from seasonal</w:t>
      </w:r>
      <w:r w:rsidR="00F6170F">
        <w:t xml:space="preserve"> to </w:t>
      </w:r>
      <w:r w:rsidR="00BC699F">
        <w:t>centennial</w:t>
      </w:r>
      <w:r w:rsidR="00F6170F">
        <w:t xml:space="preserve"> time scales in seafloor sediments)</w:t>
      </w:r>
      <w:r w:rsidR="009724C7">
        <w:t xml:space="preserve"> scales</w:t>
      </w:r>
      <w:r w:rsidR="00F6170F">
        <w:t>.</w:t>
      </w:r>
      <w:r>
        <w:t xml:space="preserve"> </w:t>
      </w:r>
      <w:r w:rsidR="00F6170F">
        <w:lastRenderedPageBreak/>
        <w:t xml:space="preserve">This study also illustrates the importance of employing </w:t>
      </w:r>
      <w:r w:rsidR="009724C7">
        <w:t>considerable care</w:t>
      </w:r>
      <w:r w:rsidR="00F6170F">
        <w:t xml:space="preserve"> in interpreting sediment trap data, as these are </w:t>
      </w:r>
      <w:r w:rsidR="009724C7">
        <w:t>certainly</w:t>
      </w:r>
      <w:r w:rsidR="00F6170F">
        <w:t xml:space="preserve"> influenced by physical dynamics, thus greatly affecting the vertical sinking of collected particles.</w:t>
      </w:r>
    </w:p>
    <w:p w14:paraId="4D34BA93" w14:textId="35B33EC8" w:rsidR="00F6170F" w:rsidRDefault="00544701" w:rsidP="00D23535">
      <w:pPr>
        <w:spacing w:line="480" w:lineRule="auto"/>
        <w:jc w:val="both"/>
      </w:pPr>
      <w:r>
        <w:t xml:space="preserve">Future research is needed to probe the seafloor near </w:t>
      </w:r>
      <w:r w:rsidR="005418DE">
        <w:t>s</w:t>
      </w:r>
      <w:r>
        <w:t>tation 12 for acoustic and chemical anomalies to identify the hydrothermal source(s) responsible for the presence of large</w:t>
      </w:r>
      <w:r w:rsidR="0016306C">
        <w:t>,</w:t>
      </w:r>
      <w:r>
        <w:t xml:space="preserve"> metal-rich sedimented particles. </w:t>
      </w:r>
      <w:r w:rsidR="002B5F71">
        <w:t>Finally, m</w:t>
      </w:r>
      <w:r w:rsidR="00BA4A82">
        <w:t>olecular</w:t>
      </w:r>
      <w:r>
        <w:t xml:space="preserve"> analyses could be interesting to characterize the different bacteria and/or archaea present in the water-sediment interface and to draw conclusions on the low CaCO</w:t>
      </w:r>
      <w:r w:rsidRPr="00544701">
        <w:rPr>
          <w:vertAlign w:val="subscript"/>
        </w:rPr>
        <w:t>3</w:t>
      </w:r>
      <w:r>
        <w:t xml:space="preserve"> preservation observed </w:t>
      </w:r>
      <w:r w:rsidR="009724C7">
        <w:t xml:space="preserve">in </w:t>
      </w:r>
      <w:r>
        <w:t xml:space="preserve">the seafloor sediments along the Tonga Arc. </w:t>
      </w:r>
    </w:p>
    <w:bookmarkEnd w:id="35"/>
    <w:p w14:paraId="42844723" w14:textId="2F1AFA9F" w:rsidR="00051076" w:rsidRDefault="00051076" w:rsidP="007558CC">
      <w:pPr>
        <w:pStyle w:val="Titre1"/>
      </w:pPr>
      <w:r>
        <w:t>Declaration of Competing Interest</w:t>
      </w:r>
    </w:p>
    <w:p w14:paraId="390D7F14" w14:textId="45C3B7E4" w:rsidR="00051076" w:rsidRPr="00051076" w:rsidRDefault="00051076" w:rsidP="00D23535">
      <w:pPr>
        <w:spacing w:line="480" w:lineRule="auto"/>
        <w:jc w:val="both"/>
      </w:pPr>
      <w:r w:rsidRPr="00051076">
        <w:t>The authors declare that they have no known competing financial interests or personal relationships that could have appeared to influence the work reported in this paper.</w:t>
      </w:r>
    </w:p>
    <w:p w14:paraId="4A9A2086" w14:textId="275E5DA1" w:rsidR="00C711BE" w:rsidRPr="00A77EEB" w:rsidRDefault="00913CA9" w:rsidP="007558CC">
      <w:pPr>
        <w:pStyle w:val="Titre1"/>
      </w:pPr>
      <w:r>
        <w:t>Acknowledgments</w:t>
      </w:r>
    </w:p>
    <w:p w14:paraId="57F5D7D1" w14:textId="0967FFA0" w:rsidR="00CB43D5" w:rsidRPr="00913CA9" w:rsidRDefault="00913CA9" w:rsidP="00D23535">
      <w:pPr>
        <w:spacing w:line="480" w:lineRule="auto"/>
        <w:jc w:val="both"/>
        <w:rPr>
          <w:rFonts w:eastAsia="Times New Roman" w:cs="Times New Roman"/>
          <w:iCs/>
          <w:szCs w:val="24"/>
          <w:lang w:eastAsia="en-GB"/>
        </w:rPr>
      </w:pPr>
      <w:r w:rsidRPr="00913CA9">
        <w:rPr>
          <w:rFonts w:eastAsia="Times New Roman" w:cs="Times New Roman"/>
          <w:iCs/>
          <w:szCs w:val="24"/>
          <w:lang w:eastAsia="en-GB"/>
        </w:rPr>
        <w:t xml:space="preserve">This work was </w:t>
      </w:r>
      <w:r w:rsidR="0097603C">
        <w:rPr>
          <w:rFonts w:eastAsia="Times New Roman" w:cs="Times New Roman"/>
          <w:iCs/>
          <w:szCs w:val="24"/>
          <w:lang w:eastAsia="en-GB"/>
        </w:rPr>
        <w:t>carried out</w:t>
      </w:r>
      <w:r w:rsidRPr="00913CA9">
        <w:rPr>
          <w:rFonts w:eastAsia="Times New Roman" w:cs="Times New Roman"/>
          <w:iCs/>
          <w:szCs w:val="24"/>
          <w:lang w:eastAsia="en-GB"/>
        </w:rPr>
        <w:t xml:space="preserve"> in the framework of the TONGA project (TONGA cruise GEOTRACES GPpr14, November 2019, https://doi.org/10.17600/18000884) managed by the LOV (CG) and the MIO. The project was funded by the TGIR </w:t>
      </w:r>
      <w:proofErr w:type="spellStart"/>
      <w:r w:rsidRPr="00913CA9">
        <w:rPr>
          <w:rFonts w:eastAsia="Times New Roman" w:cs="Times New Roman"/>
          <w:iCs/>
          <w:szCs w:val="24"/>
          <w:lang w:eastAsia="en-GB"/>
        </w:rPr>
        <w:t>Flotte</w:t>
      </w:r>
      <w:proofErr w:type="spellEnd"/>
      <w:r w:rsidRPr="00913CA9">
        <w:rPr>
          <w:rFonts w:eastAsia="Times New Roman" w:cs="Times New Roman"/>
          <w:iCs/>
          <w:szCs w:val="24"/>
          <w:lang w:eastAsia="en-GB"/>
        </w:rPr>
        <w:t xml:space="preserve"> </w:t>
      </w:r>
      <w:proofErr w:type="spellStart"/>
      <w:r w:rsidRPr="00913CA9">
        <w:rPr>
          <w:rFonts w:eastAsia="Times New Roman" w:cs="Times New Roman"/>
          <w:iCs/>
          <w:szCs w:val="24"/>
          <w:lang w:eastAsia="en-GB"/>
        </w:rPr>
        <w:t>Océanographique</w:t>
      </w:r>
      <w:proofErr w:type="spellEnd"/>
      <w:r w:rsidRPr="00913CA9">
        <w:rPr>
          <w:rFonts w:eastAsia="Times New Roman" w:cs="Times New Roman"/>
          <w:iCs/>
          <w:szCs w:val="24"/>
          <w:lang w:eastAsia="en-GB"/>
        </w:rPr>
        <w:t xml:space="preserve"> </w:t>
      </w:r>
      <w:proofErr w:type="spellStart"/>
      <w:r w:rsidRPr="00913CA9">
        <w:rPr>
          <w:rFonts w:eastAsia="Times New Roman" w:cs="Times New Roman"/>
          <w:iCs/>
          <w:szCs w:val="24"/>
          <w:lang w:eastAsia="en-GB"/>
        </w:rPr>
        <w:t>Française</w:t>
      </w:r>
      <w:proofErr w:type="spellEnd"/>
      <w:r w:rsidRPr="00913CA9">
        <w:rPr>
          <w:rFonts w:eastAsia="Times New Roman" w:cs="Times New Roman"/>
          <w:iCs/>
          <w:szCs w:val="24"/>
          <w:lang w:eastAsia="en-GB"/>
        </w:rPr>
        <w:t>, the A-</w:t>
      </w:r>
      <w:proofErr w:type="spellStart"/>
      <w:r w:rsidRPr="00913CA9">
        <w:rPr>
          <w:rFonts w:eastAsia="Times New Roman" w:cs="Times New Roman"/>
          <w:iCs/>
          <w:szCs w:val="24"/>
          <w:lang w:eastAsia="en-GB"/>
        </w:rPr>
        <w:t>MIDeX</w:t>
      </w:r>
      <w:proofErr w:type="spellEnd"/>
      <w:r w:rsidRPr="00913CA9">
        <w:rPr>
          <w:rFonts w:eastAsia="Times New Roman" w:cs="Times New Roman"/>
          <w:iCs/>
          <w:szCs w:val="24"/>
          <w:lang w:eastAsia="en-GB"/>
        </w:rPr>
        <w:t xml:space="preserve"> of Aix</w:t>
      </w:r>
      <w:r>
        <w:rPr>
          <w:rFonts w:eastAsia="Times New Roman" w:cs="Times New Roman"/>
          <w:iCs/>
          <w:szCs w:val="24"/>
          <w:lang w:eastAsia="en-GB"/>
        </w:rPr>
        <w:t>-</w:t>
      </w:r>
      <w:r w:rsidRPr="00913CA9">
        <w:rPr>
          <w:rFonts w:eastAsia="Times New Roman" w:cs="Times New Roman"/>
          <w:iCs/>
          <w:szCs w:val="24"/>
          <w:lang w:eastAsia="en-GB"/>
        </w:rPr>
        <w:t xml:space="preserve">Marseille University, the LEFE-CYBER and GMMC program and the </w:t>
      </w:r>
      <w:proofErr w:type="spellStart"/>
      <w:r w:rsidRPr="00913CA9">
        <w:rPr>
          <w:rFonts w:eastAsia="Times New Roman" w:cs="Times New Roman"/>
          <w:iCs/>
          <w:szCs w:val="24"/>
          <w:lang w:eastAsia="en-GB"/>
        </w:rPr>
        <w:t>Agence</w:t>
      </w:r>
      <w:proofErr w:type="spellEnd"/>
      <w:r w:rsidRPr="00913CA9">
        <w:rPr>
          <w:rFonts w:eastAsia="Times New Roman" w:cs="Times New Roman"/>
          <w:iCs/>
          <w:szCs w:val="24"/>
          <w:lang w:eastAsia="en-GB"/>
        </w:rPr>
        <w:t xml:space="preserve"> </w:t>
      </w:r>
      <w:proofErr w:type="spellStart"/>
      <w:r w:rsidRPr="00913CA9">
        <w:rPr>
          <w:rFonts w:eastAsia="Times New Roman" w:cs="Times New Roman"/>
          <w:iCs/>
          <w:szCs w:val="24"/>
          <w:lang w:eastAsia="en-GB"/>
        </w:rPr>
        <w:t>Nationale</w:t>
      </w:r>
      <w:proofErr w:type="spellEnd"/>
      <w:r w:rsidRPr="00913CA9">
        <w:rPr>
          <w:rFonts w:eastAsia="Times New Roman" w:cs="Times New Roman"/>
          <w:iCs/>
          <w:szCs w:val="24"/>
          <w:lang w:eastAsia="en-GB"/>
        </w:rPr>
        <w:t xml:space="preserve"> de Recherche (ANR-18-CE01-0016).</w:t>
      </w:r>
      <w:r>
        <w:rPr>
          <w:rFonts w:eastAsia="Times New Roman" w:cs="Times New Roman"/>
          <w:iCs/>
          <w:szCs w:val="24"/>
          <w:lang w:eastAsia="en-GB"/>
        </w:rPr>
        <w:t xml:space="preserve"> We warmly thank all the scientists, the captain and the crew of the R/V L’Atalante for their cooperative work at sea. </w:t>
      </w:r>
      <w:r w:rsidR="00F72D6B">
        <w:rPr>
          <w:rFonts w:eastAsia="Times New Roman" w:cs="Times New Roman"/>
          <w:iCs/>
          <w:szCs w:val="24"/>
          <w:lang w:eastAsia="en-GB"/>
        </w:rPr>
        <w:t>We</w:t>
      </w:r>
      <w:r w:rsidR="00F72D6B" w:rsidRPr="00F72D6B">
        <w:rPr>
          <w:rFonts w:eastAsia="Times New Roman" w:cs="Times New Roman"/>
          <w:iCs/>
          <w:szCs w:val="24"/>
          <w:lang w:eastAsia="en-GB"/>
        </w:rPr>
        <w:t xml:space="preserve"> thank </w:t>
      </w:r>
      <w:proofErr w:type="spellStart"/>
      <w:r w:rsidR="00F72D6B">
        <w:rPr>
          <w:rFonts w:eastAsia="Times New Roman" w:cs="Times New Roman"/>
          <w:iCs/>
          <w:szCs w:val="24"/>
          <w:lang w:eastAsia="en-GB"/>
        </w:rPr>
        <w:t>F</w:t>
      </w:r>
      <w:r w:rsidR="00F72D6B" w:rsidRPr="00F72D6B">
        <w:rPr>
          <w:rFonts w:eastAsia="Times New Roman" w:cs="Times New Roman"/>
          <w:iCs/>
          <w:szCs w:val="24"/>
          <w:lang w:eastAsia="en-GB"/>
        </w:rPr>
        <w:t>austine</w:t>
      </w:r>
      <w:proofErr w:type="spellEnd"/>
      <w:r w:rsidR="00F72D6B" w:rsidRPr="00F72D6B">
        <w:rPr>
          <w:rFonts w:eastAsia="Times New Roman" w:cs="Times New Roman"/>
          <w:iCs/>
          <w:szCs w:val="24"/>
          <w:lang w:eastAsia="en-GB"/>
        </w:rPr>
        <w:t xml:space="preserve"> </w:t>
      </w:r>
      <w:proofErr w:type="spellStart"/>
      <w:r w:rsidR="00F72D6B">
        <w:rPr>
          <w:rFonts w:eastAsia="Times New Roman" w:cs="Times New Roman"/>
          <w:iCs/>
          <w:szCs w:val="24"/>
          <w:lang w:eastAsia="en-GB"/>
        </w:rPr>
        <w:t>F</w:t>
      </w:r>
      <w:r w:rsidR="00F72D6B" w:rsidRPr="00F72D6B">
        <w:rPr>
          <w:rFonts w:eastAsia="Times New Roman" w:cs="Times New Roman"/>
          <w:iCs/>
          <w:szCs w:val="24"/>
          <w:lang w:eastAsia="en-GB"/>
        </w:rPr>
        <w:t>auche</w:t>
      </w:r>
      <w:proofErr w:type="spellEnd"/>
      <w:r w:rsidR="00F72D6B" w:rsidRPr="00F72D6B">
        <w:rPr>
          <w:rFonts w:eastAsia="Times New Roman" w:cs="Times New Roman"/>
          <w:iCs/>
          <w:szCs w:val="24"/>
          <w:lang w:eastAsia="en-GB"/>
        </w:rPr>
        <w:t xml:space="preserve"> for her help in the analysis of trap and core samples</w:t>
      </w:r>
      <w:r w:rsidR="00F72D6B">
        <w:rPr>
          <w:rFonts w:eastAsia="Times New Roman" w:cs="Times New Roman"/>
          <w:iCs/>
          <w:szCs w:val="24"/>
          <w:lang w:eastAsia="en-GB"/>
        </w:rPr>
        <w:t xml:space="preserve">. </w:t>
      </w:r>
      <w:r>
        <w:rPr>
          <w:rFonts w:eastAsia="Times New Roman" w:cs="Times New Roman"/>
          <w:iCs/>
          <w:szCs w:val="24"/>
          <w:lang w:eastAsia="en-GB"/>
        </w:rPr>
        <w:t>We thank Céline Dimier and the SAPIGH platform for the pigment analyzes</w:t>
      </w:r>
      <w:r w:rsidR="002B64BB">
        <w:rPr>
          <w:rFonts w:eastAsia="Times New Roman" w:cs="Times New Roman"/>
          <w:iCs/>
          <w:szCs w:val="24"/>
          <w:lang w:eastAsia="en-GB"/>
        </w:rPr>
        <w:t xml:space="preserve"> </w:t>
      </w:r>
      <w:r w:rsidR="002B64BB">
        <w:rPr>
          <w:color w:val="000000"/>
        </w:rPr>
        <w:t>as well as the SNAPO-</w:t>
      </w:r>
      <w:r w:rsidR="002B64BB" w:rsidRPr="002B64BB">
        <w:rPr>
          <w:color w:val="000000"/>
          <w:szCs w:val="24"/>
        </w:rPr>
        <w:t>CO</w:t>
      </w:r>
      <w:r w:rsidR="002B64BB" w:rsidRPr="002B64BB">
        <w:rPr>
          <w:color w:val="000000"/>
          <w:szCs w:val="24"/>
          <w:vertAlign w:val="subscript"/>
        </w:rPr>
        <w:t>2</w:t>
      </w:r>
      <w:r w:rsidR="002B64BB">
        <w:rPr>
          <w:color w:val="000000"/>
        </w:rPr>
        <w:t xml:space="preserve"> platform for carbonate chemistry analyzes</w:t>
      </w:r>
      <w:r>
        <w:rPr>
          <w:rFonts w:eastAsia="Times New Roman" w:cs="Times New Roman"/>
          <w:iCs/>
          <w:szCs w:val="24"/>
          <w:lang w:eastAsia="en-GB"/>
        </w:rPr>
        <w:t xml:space="preserve">. </w:t>
      </w:r>
      <w:r w:rsidR="00051076" w:rsidRPr="00051076">
        <w:rPr>
          <w:rFonts w:eastAsia="Times New Roman" w:cs="Times New Roman"/>
          <w:iCs/>
          <w:szCs w:val="24"/>
          <w:lang w:eastAsia="en-GB"/>
        </w:rPr>
        <w:t xml:space="preserve">We thank Christophe Maes and Nicolas Grima for </w:t>
      </w:r>
      <w:r w:rsidR="0097603C">
        <w:rPr>
          <w:rFonts w:eastAsia="Times New Roman" w:cs="Times New Roman"/>
          <w:iCs/>
          <w:szCs w:val="24"/>
          <w:lang w:eastAsia="en-GB"/>
        </w:rPr>
        <w:t>their help in positioning</w:t>
      </w:r>
      <w:r w:rsidR="00051076" w:rsidRPr="00051076">
        <w:rPr>
          <w:rFonts w:eastAsia="Times New Roman" w:cs="Times New Roman"/>
          <w:iCs/>
          <w:szCs w:val="24"/>
          <w:lang w:eastAsia="en-GB"/>
        </w:rPr>
        <w:t xml:space="preserve"> the fixed mooring line</w:t>
      </w:r>
      <w:r w:rsidR="00505C6B">
        <w:rPr>
          <w:rFonts w:eastAsia="Times New Roman" w:cs="Times New Roman"/>
          <w:iCs/>
          <w:szCs w:val="24"/>
          <w:lang w:eastAsia="en-GB"/>
        </w:rPr>
        <w:t xml:space="preserve"> and for the Lagrangian analyses</w:t>
      </w:r>
      <w:r w:rsidR="00051076">
        <w:rPr>
          <w:rFonts w:eastAsia="Times New Roman" w:cs="Times New Roman"/>
          <w:iCs/>
          <w:szCs w:val="24"/>
          <w:lang w:eastAsia="en-GB"/>
        </w:rPr>
        <w:t>.</w:t>
      </w:r>
    </w:p>
    <w:p w14:paraId="0D6553A8" w14:textId="2866D8C5" w:rsidR="00045678" w:rsidRPr="00826087" w:rsidRDefault="00913CA9" w:rsidP="007558CC">
      <w:pPr>
        <w:pStyle w:val="Titre1"/>
      </w:pPr>
      <w:r>
        <w:t>Supplementary Material</w:t>
      </w:r>
    </w:p>
    <w:p w14:paraId="034708A3" w14:textId="24D582AA" w:rsidR="00045678" w:rsidRPr="00045678" w:rsidRDefault="000002C4" w:rsidP="00D23535">
      <w:pPr>
        <w:spacing w:line="480" w:lineRule="auto"/>
      </w:pPr>
      <w:r w:rsidRPr="000002C4">
        <w:t>Supplementary material to this article</w:t>
      </w:r>
      <w:r w:rsidR="0097603C">
        <w:t xml:space="preserve"> </w:t>
      </w:r>
      <w:r w:rsidR="00164CBE">
        <w:t>is</w:t>
      </w:r>
      <w:r w:rsidR="0097603C">
        <w:t xml:space="preserve"> the following</w:t>
      </w:r>
      <w:r w:rsidRPr="000002C4">
        <w:t>:</w:t>
      </w:r>
      <w:r>
        <w:t xml:space="preserve"> Supplementary information 1</w:t>
      </w:r>
      <w:r w:rsidR="00CA0A6B">
        <w:t xml:space="preserve"> (PDF file)</w:t>
      </w:r>
    </w:p>
    <w:p w14:paraId="5E0CBB2F" w14:textId="030711C6" w:rsidR="006B2D5B" w:rsidRPr="00376CC5" w:rsidRDefault="00CA0A6B" w:rsidP="007558CC">
      <w:pPr>
        <w:pStyle w:val="Titre1"/>
      </w:pPr>
      <w:r>
        <w:lastRenderedPageBreak/>
        <w:t>Data availability</w:t>
      </w:r>
    </w:p>
    <w:p w14:paraId="4CC1A793" w14:textId="286230D9" w:rsidR="00CA0A6B" w:rsidRPr="00973918" w:rsidRDefault="00CA0A6B" w:rsidP="00D23535">
      <w:pPr>
        <w:spacing w:line="480" w:lineRule="auto"/>
        <w:jc w:val="both"/>
        <w:rPr>
          <w:caps/>
          <w:szCs w:val="24"/>
        </w:rPr>
      </w:pPr>
      <w:r w:rsidRPr="00CA0A6B">
        <w:rPr>
          <w:szCs w:val="24"/>
        </w:rPr>
        <w:t xml:space="preserve">All </w:t>
      </w:r>
      <w:bookmarkStart w:id="36" w:name="_Hlk118290752"/>
      <w:r w:rsidRPr="00CA0A6B">
        <w:rPr>
          <w:szCs w:val="24"/>
        </w:rPr>
        <w:t xml:space="preserve">the data used in this study will be accessible as soon as they are published </w:t>
      </w:r>
      <w:bookmarkEnd w:id="36"/>
      <w:r w:rsidRPr="00CA0A6B">
        <w:rPr>
          <w:szCs w:val="24"/>
        </w:rPr>
        <w:t>on the SEANOE database (</w:t>
      </w:r>
      <w:hyperlink r:id="rId21" w:history="1">
        <w:r w:rsidRPr="009B0B5D">
          <w:rPr>
            <w:rStyle w:val="Lienhypertexte"/>
            <w:szCs w:val="24"/>
          </w:rPr>
          <w:t>https://www.seanoe.org/data/00770/88169/</w:t>
        </w:r>
      </w:hyperlink>
      <w:r w:rsidRPr="00CA0A6B">
        <w:rPr>
          <w:szCs w:val="24"/>
        </w:rPr>
        <w:t>)</w:t>
      </w:r>
      <w:r>
        <w:rPr>
          <w:szCs w:val="24"/>
        </w:rPr>
        <w:t xml:space="preserve"> and on the LEFE-CYBER database (</w:t>
      </w:r>
      <w:hyperlink r:id="rId22" w:history="1">
        <w:r w:rsidRPr="009B0B5D">
          <w:rPr>
            <w:rStyle w:val="Lienhypertexte"/>
            <w:szCs w:val="24"/>
          </w:rPr>
          <w:t>http://www.obs-vlfr.fr/proof/php/TONGA/tonga.php</w:t>
        </w:r>
      </w:hyperlink>
      <w:r>
        <w:rPr>
          <w:szCs w:val="24"/>
        </w:rPr>
        <w:t xml:space="preserve">). </w:t>
      </w:r>
    </w:p>
    <w:p w14:paraId="16B9633E" w14:textId="2F838628" w:rsidR="00CA0A6B" w:rsidRPr="00376CC5" w:rsidRDefault="00CA0A6B" w:rsidP="00D23535">
      <w:pPr>
        <w:pStyle w:val="Titre1"/>
        <w:spacing w:line="480" w:lineRule="auto"/>
      </w:pPr>
      <w:r>
        <w:t>References</w:t>
      </w:r>
    </w:p>
    <w:p w14:paraId="72D81B30" w14:textId="77777777" w:rsidR="004429A8" w:rsidRDefault="00DD4FE7" w:rsidP="004429A8">
      <w:pPr>
        <w:pStyle w:val="Bibliographie"/>
        <w:jc w:val="both"/>
      </w:pPr>
      <w:r w:rsidRPr="00C41237">
        <w:rPr>
          <w:sz w:val="18"/>
          <w:szCs w:val="18"/>
        </w:rPr>
        <w:fldChar w:fldCharType="begin"/>
      </w:r>
      <w:r w:rsidR="004429A8">
        <w:rPr>
          <w:sz w:val="18"/>
          <w:szCs w:val="18"/>
        </w:rPr>
        <w:instrText xml:space="preserve"> ADDIN ZOTERO_BIBL {"uncited":[],"omitted":[],"custom":[]} CSL_BIBLIOGRAPHY </w:instrText>
      </w:r>
      <w:r w:rsidRPr="00C41237">
        <w:rPr>
          <w:sz w:val="18"/>
          <w:szCs w:val="18"/>
        </w:rPr>
        <w:fldChar w:fldCharType="separate"/>
      </w:r>
      <w:r w:rsidR="004429A8">
        <w:t>Almirón, J., Vargas, M., Tupayachy-Quispe, D., Duquesne, S., Roudet, F., Silva-Vela, A., 2021. Influence of the Process of Synthesis of Zeolites from Volcanic Ash in Its Synergistic Action as a Flame-Retardant for Polypropylene Composites. Buildings 12, 24. https://doi.org/10.3390/buildings12010024</w:t>
      </w:r>
    </w:p>
    <w:p w14:paraId="679804E9" w14:textId="77777777" w:rsidR="004429A8" w:rsidRDefault="004429A8" w:rsidP="004429A8">
      <w:pPr>
        <w:pStyle w:val="Bibliographie"/>
        <w:jc w:val="both"/>
      </w:pPr>
      <w:r>
        <w:t>Anderson, M.O., Norris-Julseth, C., Rubin, K.H., Haase, K., Hannington, M.D., Baxter, A.T., Stewart, M.S., 2021. Geologic and Structural Evolution of the NE Lau Basin, Tonga: Morphotectonic Analysis and Classification of Structures Using Shallow Seismicity. Front. Earth Sci. 9, 665185. https://doi.org/10.3389/feart.2021.665185</w:t>
      </w:r>
    </w:p>
    <w:p w14:paraId="4E013DE1" w14:textId="77777777" w:rsidR="004429A8" w:rsidRDefault="004429A8" w:rsidP="004429A8">
      <w:pPr>
        <w:pStyle w:val="Bibliographie"/>
        <w:jc w:val="both"/>
      </w:pPr>
      <w:r>
        <w:t>Bailey, D.K., 1993. Carbonate magmas. JGS 150, 637–651. https://doi.org/10.1144/gsjgs.150.4.0637</w:t>
      </w:r>
    </w:p>
    <w:p w14:paraId="20AFB569" w14:textId="77777777" w:rsidR="004429A8" w:rsidRDefault="004429A8" w:rsidP="004429A8">
      <w:pPr>
        <w:pStyle w:val="Bibliographie"/>
        <w:jc w:val="both"/>
      </w:pPr>
      <w:r>
        <w:t>Baker, C.A., Estapa, M.L., Iversen, M., Lampitt, R., Buesseler, K., 2020. Are all sediment traps created equal? An intercomparison study of carbon export methodologies at the PAP-SO site. Progress in Oceanography 184, 102317. https://doi.org/10.1016/j.pocean.2020.102317</w:t>
      </w:r>
    </w:p>
    <w:p w14:paraId="0FCF3A5D" w14:textId="77777777" w:rsidR="004429A8" w:rsidRDefault="004429A8" w:rsidP="004429A8">
      <w:pPr>
        <w:pStyle w:val="Bibliographie"/>
        <w:jc w:val="both"/>
      </w:pPr>
      <w:r>
        <w:t>Baker, E.T., Walker, S.L., Massoth, G.J., Resing, J.A., 2019. The NE Lau Basin: Widespread and Abundant Hydrothermal Venting in the Back-Arc Region Behind a Superfast Subduction Zone. Front. Mar. Sci. 6, 382. https://doi.org/10.3389/fmars.2019.00382</w:t>
      </w:r>
    </w:p>
    <w:p w14:paraId="1BFEC4A0" w14:textId="77777777" w:rsidR="004429A8" w:rsidRDefault="004429A8" w:rsidP="004429A8">
      <w:pPr>
        <w:pStyle w:val="Bibliographie"/>
        <w:jc w:val="both"/>
      </w:pPr>
      <w:r>
        <w:t>Barrett, T.J., Jarvis, I., Hannington, M.D., Thirlwall, M.F., 2021. Chemical characteristics of modern deep-sea metalliferous sediments in closed versus open basins, with emphasis on rare-earth elements and Nd isotopes. Earth-Science Reviews 222, 103801. https://doi.org/10.1016/j.earscirev.2021.103801</w:t>
      </w:r>
    </w:p>
    <w:p w14:paraId="17C9E281" w14:textId="77777777" w:rsidR="004429A8" w:rsidRDefault="004429A8" w:rsidP="004429A8">
      <w:pPr>
        <w:pStyle w:val="Bibliographie"/>
        <w:jc w:val="both"/>
      </w:pPr>
      <w:r>
        <w:t>Beaulieu, S.E., Szafrański, K.M., 2020. InterRidge Global Database of Active Submarine Hydrothermal Vent Fields Version 3.4. https://doi.org/10.1594/PANGAEA.917894</w:t>
      </w:r>
    </w:p>
    <w:p w14:paraId="37032111" w14:textId="77777777" w:rsidR="004429A8" w:rsidRPr="004429A8" w:rsidRDefault="004429A8" w:rsidP="004429A8">
      <w:pPr>
        <w:pStyle w:val="Bibliographie"/>
        <w:jc w:val="both"/>
        <w:rPr>
          <w:lang w:val="de-LI"/>
        </w:rPr>
      </w:pPr>
      <w:r>
        <w:t xml:space="preserve">Berger, W.H., Smetacek, V., Wefer, G., 1989. Ocean productivity and paleoproductivity - an overview, in: Productivity of the Oceans Present and Past. </w:t>
      </w:r>
      <w:r w:rsidRPr="004429A8">
        <w:rPr>
          <w:lang w:val="de-LI"/>
        </w:rPr>
        <w:t>Wiley, Berlin, pp. 1–34.</w:t>
      </w:r>
    </w:p>
    <w:p w14:paraId="0E18577B" w14:textId="77777777" w:rsidR="004429A8" w:rsidRDefault="004429A8" w:rsidP="004429A8">
      <w:pPr>
        <w:pStyle w:val="Bibliographie"/>
        <w:jc w:val="both"/>
      </w:pPr>
      <w:r w:rsidRPr="004429A8">
        <w:rPr>
          <w:lang w:val="de-LI"/>
        </w:rPr>
        <w:t xml:space="preserve">Bodungen, B.V., Wunsch, M., Fürderer, H., 2013. </w:t>
      </w:r>
      <w:r>
        <w:t>Sampling and Analysis of Suspended and Sinking Particles in the Northern North Atlantic, in: Hurd, D.C., Spencer, D.W. (Eds.), Geophysical Monograph Series. American Geophysical Union, Washington, D. C., pp. 47–56. https://doi.org/10.1029/GM063p0047</w:t>
      </w:r>
    </w:p>
    <w:p w14:paraId="56E0B60A" w14:textId="77777777" w:rsidR="004429A8" w:rsidRPr="004429A8" w:rsidRDefault="004429A8" w:rsidP="004429A8">
      <w:pPr>
        <w:pStyle w:val="Bibliographie"/>
        <w:jc w:val="both"/>
        <w:rPr>
          <w:lang w:val="de-LI"/>
        </w:rPr>
      </w:pPr>
      <w:r w:rsidRPr="004429A8">
        <w:rPr>
          <w:lang w:val="fr-FR"/>
        </w:rPr>
        <w:t xml:space="preserve">Bonnet, S., Caffin, M., Berthelot, H., Moutin, T., 2017. </w:t>
      </w:r>
      <w:r>
        <w:t xml:space="preserve">Hot spot of N </w:t>
      </w:r>
      <w:r>
        <w:rPr>
          <w:vertAlign w:val="subscript"/>
        </w:rPr>
        <w:t>2</w:t>
      </w:r>
      <w:r>
        <w:t xml:space="preserve"> fixation in the western tropical South Pacific pleads for a spatial decoupling between N </w:t>
      </w:r>
      <w:r>
        <w:rPr>
          <w:vertAlign w:val="subscript"/>
        </w:rPr>
        <w:t>2</w:t>
      </w:r>
      <w:r>
        <w:t xml:space="preserve"> fixation and denitrification. </w:t>
      </w:r>
      <w:r w:rsidRPr="004429A8">
        <w:rPr>
          <w:lang w:val="de-LI"/>
        </w:rPr>
        <w:t>Proc Natl Acad Sci USA 114, E2800–E2801. https://doi.org/10.1073/pnas.1619514114</w:t>
      </w:r>
    </w:p>
    <w:p w14:paraId="05B48BDB" w14:textId="77777777" w:rsidR="004429A8" w:rsidRDefault="004429A8" w:rsidP="004429A8">
      <w:pPr>
        <w:pStyle w:val="Bibliographie"/>
        <w:jc w:val="both"/>
      </w:pPr>
      <w:r w:rsidRPr="004429A8">
        <w:rPr>
          <w:lang w:val="de-LI"/>
        </w:rPr>
        <w:t xml:space="preserve">Bonnet, S., Guieu, C., Taillandier, V., Boulart, C., Bouruet-Aubertot, P., Gazeau, F., Bressac, M., Knapp, A.N., Cuypers, Y., González-Santana, D., Forrer, H.J., Grisoni, J.-M., Grosso, O., Habasque, J., Jardin-Camps, M., Leblond, N., Le Moigne, F., Lebourges-Dhaussy, A., Lory, </w:t>
      </w:r>
      <w:r w:rsidRPr="004429A8">
        <w:rPr>
          <w:lang w:val="de-LI"/>
        </w:rPr>
        <w:lastRenderedPageBreak/>
        <w:t xml:space="preserve">C., Nunige, S., Pulido-Villena, E., Rizzo, A.L., Sarthou, G., Tilliette, C., in rev. </w:t>
      </w:r>
      <w:r>
        <w:t>Natural iron fertilization by shallow hydrothermal sources fuels diazotroph blooms in the Ocean. Science.</w:t>
      </w:r>
    </w:p>
    <w:p w14:paraId="7A660B73" w14:textId="77777777" w:rsidR="004429A8" w:rsidRDefault="004429A8" w:rsidP="004429A8">
      <w:pPr>
        <w:pStyle w:val="Bibliographie"/>
        <w:jc w:val="both"/>
      </w:pPr>
      <w:r>
        <w:t>Boström, K., Peterson, M.N.A., 1969. The origin of aluminum-poor ferromanganoan sediments in areas of high heat flow on the East Pacific Rise. Marine Geology 7, 427–447. https://doi.org/10.1016/0025-3227(69)90016-4</w:t>
      </w:r>
    </w:p>
    <w:p w14:paraId="37D23224" w14:textId="77777777" w:rsidR="004429A8" w:rsidRDefault="004429A8" w:rsidP="004429A8">
      <w:pPr>
        <w:pStyle w:val="Bibliographie"/>
        <w:jc w:val="both"/>
      </w:pPr>
      <w:r>
        <w:t>Boström, K., Peterson, M.N.A., Joensuu, O., Fisher, D.E., 1969. Aluminum-poor ferromanganoan sediments on active oceanic ridges. J. Geophys. Res. 74, 3261–3270. https://doi.org/10.1029/JB074i012p03261</w:t>
      </w:r>
    </w:p>
    <w:p w14:paraId="15DA5032" w14:textId="77777777" w:rsidR="004429A8" w:rsidRDefault="004429A8" w:rsidP="004429A8">
      <w:pPr>
        <w:pStyle w:val="Bibliographie"/>
        <w:jc w:val="both"/>
      </w:pPr>
      <w:r>
        <w:t>Boyd, P.W., Trull, T.W., 2007. Understanding the export of biogenic particles in oceanic waters: Is there consensus? Progress in Oceanography 72, 276–312. https://doi.org/10.1016/j.pocean.2006.10.007</w:t>
      </w:r>
    </w:p>
    <w:p w14:paraId="73433BB8" w14:textId="77777777" w:rsidR="004429A8" w:rsidRDefault="004429A8" w:rsidP="004429A8">
      <w:pPr>
        <w:pStyle w:val="Bibliographie"/>
        <w:jc w:val="both"/>
      </w:pPr>
      <w:r>
        <w:t>Brzezinski, M.A., Nelson, D.M., 1995. The annual silica cycle in the Sargasso Sea near Bermuda. Deep Sea Research Part I: Oceanographic Research Papers 42, 1215–1237. https://doi.org/10.1016/0967-0637(95)93592-3</w:t>
      </w:r>
    </w:p>
    <w:p w14:paraId="7556EC77" w14:textId="77777777" w:rsidR="004429A8" w:rsidRDefault="004429A8" w:rsidP="004429A8">
      <w:pPr>
        <w:pStyle w:val="Bibliographie"/>
        <w:jc w:val="both"/>
      </w:pPr>
      <w:r>
        <w:t>Buesseler, K.O., Antia, A.N., Chen, M., Fowler, S.W., Gardner, W.D., Gustafsson, O., Harada, K., Michaels, A.F., Rutgers van der Loeff, M., Sarin, M., Steinberg, D.K., Trull, T., 2007. An assessment of the use of sediment traps for estimating upper ocean particle fluxes. j mar res 65, 345–416. https://doi.org/10.1357/002224007781567621</w:t>
      </w:r>
    </w:p>
    <w:p w14:paraId="22BA7D5B" w14:textId="77777777" w:rsidR="004429A8" w:rsidRDefault="004429A8" w:rsidP="004429A8">
      <w:pPr>
        <w:pStyle w:val="Bibliographie"/>
        <w:jc w:val="both"/>
      </w:pPr>
      <w:r>
        <w:t>Butman, C.A., 1986. Sediment trap biases in turbulent flows: Results from a laboratory flume study. Journal of Marine Research 44, 645–693. https://doi.org/10.1357/002224086788403051</w:t>
      </w:r>
    </w:p>
    <w:p w14:paraId="6767C3BA" w14:textId="77777777" w:rsidR="004429A8" w:rsidRDefault="004429A8" w:rsidP="004429A8">
      <w:pPr>
        <w:pStyle w:val="Bibliographie"/>
        <w:jc w:val="both"/>
      </w:pPr>
      <w:r>
        <w:t>Carpenter, E.J., Capone, D.G., 1992. Nitrogen Fixation in Trichodesmium Blooms, in: Carpenter, E. J., Capone, D. G., Rueter, J.G. (Eds.), Marine Pelagic Cyanobacteria: Trichodesmium and Other Diazotrophs, NATO ASI Series. Springer Netherlands, Dordrecht, pp. 211–217. https://doi.org/10.1007/978-94-015-7977-3_13</w:t>
      </w:r>
    </w:p>
    <w:p w14:paraId="12CCB534" w14:textId="77777777" w:rsidR="004429A8" w:rsidRDefault="004429A8" w:rsidP="004429A8">
      <w:pPr>
        <w:pStyle w:val="Bibliographie"/>
        <w:jc w:val="both"/>
      </w:pPr>
      <w:r>
        <w:t>Cave, R., 2002. A Geochemical Study of Hydrothermal Signals in Marine Sediments: The Rainbow Hydro thermal Area, 36 degrees on the Mid-Atlantic Ridge (PhD Thesis). University of Southampton.</w:t>
      </w:r>
    </w:p>
    <w:p w14:paraId="52503E51" w14:textId="77777777" w:rsidR="004429A8" w:rsidRDefault="004429A8" w:rsidP="004429A8">
      <w:pPr>
        <w:pStyle w:val="Bibliographie"/>
        <w:jc w:val="both"/>
      </w:pPr>
      <w:r>
        <w:t>Cave, R.R., German, C.R., Thomson, J., Nesbitt, R.W., 2002. Fluxes to sediments underlying the Rainbow hydrothermal plume at 36°14′N on the Mid-Atlantic Ridge. Geochimica et Cosmochimica Acta 66, 1905–1923. https://doi.org/10.1016/S0016-7037(02)00823-2</w:t>
      </w:r>
    </w:p>
    <w:p w14:paraId="6B738CA1" w14:textId="77777777" w:rsidR="004429A8" w:rsidRDefault="004429A8" w:rsidP="004429A8">
      <w:pPr>
        <w:pStyle w:val="Bibliographie"/>
        <w:jc w:val="both"/>
      </w:pPr>
      <w:r>
        <w:t>Chavagnac, V., German, C.R., Milton, J.A., Palmer, M.R., 2005. Sources of REE in sediment cores from the Rainbow vent site (36°14′N, MAR). Chemical Geology 216, 329–352. https://doi.org/10.1016/j.chemgeo.2004.11.015</w:t>
      </w:r>
    </w:p>
    <w:p w14:paraId="4AE6E935" w14:textId="77777777" w:rsidR="004429A8" w:rsidRDefault="004429A8" w:rsidP="004429A8">
      <w:pPr>
        <w:pStyle w:val="Bibliographie"/>
        <w:jc w:val="both"/>
      </w:pPr>
      <w:r>
        <w:t>Chavagnac, V., German, C.R., Taylor, R.N., 2008. Global environmental effects of large volcanic eruptions on ocean chemistry: Evidence from “hydrothermal” sediments (ODP Leg 185, Site 1149B). J. Geophys. Res. 113, B06201. https://doi.org/10.1029/2007JB005333</w:t>
      </w:r>
    </w:p>
    <w:p w14:paraId="178D85AD" w14:textId="77777777" w:rsidR="004429A8" w:rsidRDefault="004429A8" w:rsidP="004429A8">
      <w:pPr>
        <w:pStyle w:val="Bibliographie"/>
        <w:jc w:val="both"/>
      </w:pPr>
      <w:r>
        <w:t>Cronan, D.S., 1972. The Mid-Atlantic Ridge near 45 °N, XVII: Al, As, Hg, and Mn in Ferruginous Sediments from the Median Valley. Can. J. Earth Sci. 9, 319–323. https://doi.org/10.1139/e72-025</w:t>
      </w:r>
    </w:p>
    <w:p w14:paraId="2B4DF525" w14:textId="77777777" w:rsidR="004429A8" w:rsidRDefault="004429A8" w:rsidP="004429A8">
      <w:pPr>
        <w:pStyle w:val="Bibliographie"/>
        <w:jc w:val="both"/>
      </w:pPr>
      <w:r>
        <w:t>Deuser, W.G., 1987. Seasonal variations in isotopic composition and deep-water fluxes of the tests of perennially abundant planktonic foraminifera of the Sargasso Sea; results from sediment-trap collections and their paleoceanographic significance. The Journal of Foraminiferal Research 17, 14–27. https://doi.org/10.2113/gsjfr.17.1.14</w:t>
      </w:r>
    </w:p>
    <w:p w14:paraId="68C2683A" w14:textId="77777777" w:rsidR="004429A8" w:rsidRDefault="004429A8" w:rsidP="004429A8">
      <w:pPr>
        <w:pStyle w:val="Bibliographie"/>
        <w:jc w:val="both"/>
      </w:pPr>
      <w:r>
        <w:lastRenderedPageBreak/>
        <w:t>Deuser, W.G., Ross, E.H., 1980. Seasonal change in the flux of organic carbon to the deep Sargasso Sea. Nature 283, 364–365. https://doi.org/10.1038/283364a0</w:t>
      </w:r>
    </w:p>
    <w:p w14:paraId="05256678" w14:textId="77777777" w:rsidR="004429A8" w:rsidRPr="004429A8" w:rsidRDefault="004429A8" w:rsidP="004429A8">
      <w:pPr>
        <w:pStyle w:val="Bibliographie"/>
        <w:jc w:val="both"/>
        <w:rPr>
          <w:lang w:val="de-LI"/>
        </w:rPr>
      </w:pPr>
      <w:r>
        <w:t xml:space="preserve">Dick, G.J., Anantharaman, K., Baker, B.J., Li, M., Reed, D.C., Sheik, C.S., 2013. The microbiology of deep-sea hydrothermal vent plumes: ecological and biogeographic linkages to seafloor and water column habitats. </w:t>
      </w:r>
      <w:r w:rsidRPr="004429A8">
        <w:rPr>
          <w:lang w:val="de-LI"/>
        </w:rPr>
        <w:t>Front. Microbiol. 4. https://doi.org/10.3389/fmicb.2013.00124</w:t>
      </w:r>
    </w:p>
    <w:p w14:paraId="06D8C491" w14:textId="77777777" w:rsidR="004429A8" w:rsidRDefault="004429A8" w:rsidP="004429A8">
      <w:pPr>
        <w:pStyle w:val="Bibliographie"/>
        <w:jc w:val="both"/>
      </w:pPr>
      <w:r w:rsidRPr="004429A8">
        <w:rPr>
          <w:lang w:val="de-LI"/>
        </w:rPr>
        <w:t xml:space="preserve">Ducklow, H., Steinberg, D., Buesseler, K., 2001. </w:t>
      </w:r>
      <w:r>
        <w:t>Upper Ocean Carbon Export and the Biological Pump. oceanog 14, 50–58. https://doi.org/10.5670/oceanog.2001.06</w:t>
      </w:r>
    </w:p>
    <w:p w14:paraId="44F9A047" w14:textId="77777777" w:rsidR="004429A8" w:rsidRDefault="004429A8" w:rsidP="004429A8">
      <w:pPr>
        <w:pStyle w:val="Bibliographie"/>
        <w:jc w:val="both"/>
      </w:pPr>
      <w:r>
        <w:t>Dutkiewicz, A., Müller, R.D., Hogg, A.McC., Spence, P., 2016. Vigorous deep-sea currents cause global anomaly in sediment accumulation in the Southern Ocean. Geology 44, 663–666. https://doi.org/10.1130/G38143.1</w:t>
      </w:r>
    </w:p>
    <w:p w14:paraId="3786A713" w14:textId="77777777" w:rsidR="004429A8" w:rsidRDefault="004429A8" w:rsidP="004429A8">
      <w:pPr>
        <w:pStyle w:val="Bibliographie"/>
        <w:jc w:val="both"/>
      </w:pPr>
      <w:r>
        <w:t>Dymond, J., 1981. Geochemistry of Nazca plate surface sediments: An evaluation of hydrothermal, biogenic, detrital, and hydrogenous sources, in: Geological Society of America Memoirs. Geological Society of America, pp. 133–174. https://doi.org/10.1130/MEM154-p133</w:t>
      </w:r>
    </w:p>
    <w:p w14:paraId="43C4513A" w14:textId="77777777" w:rsidR="004429A8" w:rsidRDefault="004429A8" w:rsidP="004429A8">
      <w:pPr>
        <w:pStyle w:val="Bibliographie"/>
        <w:jc w:val="both"/>
      </w:pPr>
      <w:r>
        <w:t>Edmonds, H.N., German, C.R., 2004. Particle geochemistry in the Rainbow hydrothermal plume, Mid-Atlantic Ridge. Geochimica et Cosmochimica Acta 68, 759–772. https://doi.org/10.1016/S0016-7037(03)00498-8</w:t>
      </w:r>
    </w:p>
    <w:p w14:paraId="5D6D094B" w14:textId="77777777" w:rsidR="004429A8" w:rsidRDefault="004429A8" w:rsidP="004429A8">
      <w:pPr>
        <w:pStyle w:val="Bibliographie"/>
        <w:jc w:val="both"/>
      </w:pPr>
      <w:r>
        <w:t>Emerson, S., Hedges, J.I., 1988. Processes controlling the organic carbon content of open ocean sediments. Paleoceanography 3, 621–634. https://doi.org/10.1029/PA003i005p00621</w:t>
      </w:r>
    </w:p>
    <w:p w14:paraId="3B0A5950" w14:textId="77777777" w:rsidR="004429A8" w:rsidRDefault="004429A8" w:rsidP="004429A8">
      <w:pPr>
        <w:pStyle w:val="Bibliographie"/>
        <w:jc w:val="both"/>
      </w:pPr>
      <w:r>
        <w:t>Escrig, S., Bézos, A., Langmuir, C.H., Michael, P.J., Arculus, R., 2012. Characterizing the effect of mantle source, subduction input and melting in the Fonualei Spreading Center, Lau Basin: Constraints on the origin of the boninitic signature of the back-arc lavas: GEOCHEMICAL VARIATION ALONG THE FSC. Geochem. Geophys. Geosyst. 13, n/a-n/a. https://doi.org/10.1029/2012GC004130</w:t>
      </w:r>
    </w:p>
    <w:p w14:paraId="17112E74" w14:textId="77777777" w:rsidR="004429A8" w:rsidRDefault="004429A8" w:rsidP="004429A8">
      <w:pPr>
        <w:pStyle w:val="Bibliographie"/>
        <w:jc w:val="both"/>
      </w:pPr>
      <w:r>
        <w:t>Ewart, A., Brothers, R.N., Mateen, A., 1977. An outline of the geology and geochemistry, and the possible petrogenetic evolution of the volcanic rocks of the Tonga-Kermadec-New Zealand island arc. Journal of Volcanology and Geothermal Research 2, 205–250. https://doi.org/10.1016/0377-0273(77)90001-4</w:t>
      </w:r>
    </w:p>
    <w:p w14:paraId="092FCA32" w14:textId="77777777" w:rsidR="004429A8" w:rsidRDefault="004429A8" w:rsidP="004429A8">
      <w:pPr>
        <w:pStyle w:val="Bibliographie"/>
        <w:jc w:val="both"/>
      </w:pPr>
      <w:r>
        <w:t>Feely, R.A., Geiselman, T.L., Baker, E.T., Massoth, G.J., Hammond, S.R., 1990. Distribution and composition of hydrothermal plume particles from the ASHES Vent Field at Axial Volcano, Juan de Fuca Ridge. J. Geophys. Res. 95, 12855. https://doi.org/10.1029/JB095iB08p12855</w:t>
      </w:r>
    </w:p>
    <w:p w14:paraId="096CA088" w14:textId="77777777" w:rsidR="004429A8" w:rsidRDefault="004429A8" w:rsidP="004429A8">
      <w:pPr>
        <w:pStyle w:val="Bibliographie"/>
        <w:jc w:val="both"/>
      </w:pPr>
      <w:r>
        <w:t>Feely, R.A., Lewison, M., Massoth, G.J., Robert-Baldo, G., Lavelle, J.W., Byrne, R.H., Von Damm, K.L., Curl, H.C., 1987. Composition and dissolution of black smoker particulates from active vents on the Juan de Fuca Ridge. J. Geophys. Res. 92, 11347–11363. https://doi.org/10.1029/JB092iB11p11347</w:t>
      </w:r>
    </w:p>
    <w:p w14:paraId="27573602" w14:textId="77777777" w:rsidR="004429A8" w:rsidRDefault="004429A8" w:rsidP="004429A8">
      <w:pPr>
        <w:pStyle w:val="Bibliographie"/>
        <w:jc w:val="both"/>
      </w:pPr>
      <w:r>
        <w:t>Fiantis, D., Nelson, M., Shamshuddin, J., Goh, T.B., Van Ranst, E., 2010. Determination of the geochemical weathering indices and trace elements content of new volcanic ash deposits from Mt. Talang (West Sumatra) Indonesia. Eurasian Soil Sc. 43, 1477–1485. https://doi.org/10.1134/S1064229310130077</w:t>
      </w:r>
    </w:p>
    <w:p w14:paraId="57BFB1D5" w14:textId="77777777" w:rsidR="004429A8" w:rsidRDefault="004429A8" w:rsidP="004429A8">
      <w:pPr>
        <w:pStyle w:val="Bibliographie"/>
        <w:jc w:val="both"/>
      </w:pPr>
      <w:r>
        <w:t>Gardner, W., 1980. Field calibration of sediment traps. Journal of Marine Research 30, 311–323.</w:t>
      </w:r>
    </w:p>
    <w:p w14:paraId="701620AD" w14:textId="77777777" w:rsidR="004429A8" w:rsidRDefault="004429A8" w:rsidP="004429A8">
      <w:pPr>
        <w:pStyle w:val="Bibliographie"/>
        <w:jc w:val="both"/>
      </w:pPr>
      <w:r>
        <w:t>GEBCO Bathymetric Compilation Group 2022, 2022. The GEBCO_2022 Grid - a continuous terrain model of the global oceans and land. https://doi.org/10.5285/E0F0BB80-AB44-2739-E053-6C86ABC0289C</w:t>
      </w:r>
    </w:p>
    <w:p w14:paraId="1BF0870F" w14:textId="77777777" w:rsidR="004429A8" w:rsidRPr="004429A8" w:rsidRDefault="004429A8" w:rsidP="004429A8">
      <w:pPr>
        <w:pStyle w:val="Bibliographie"/>
        <w:jc w:val="both"/>
        <w:rPr>
          <w:lang w:val="fr-FR"/>
        </w:rPr>
      </w:pPr>
      <w:r>
        <w:lastRenderedPageBreak/>
        <w:t xml:space="preserve">German, C.R., Bourlés, D.L., Brown, E.T., Hergt, J., Colley, S., Higgs, N.C., Ludford, E.M., Nelsen, T.A., Feely, R.A., Raisbeck, G., Yiou, F., 1997. Hydrothermal scavenging on the Juan de Fuca Ridge: 23OThxs, 10Be, and REEs in ridge-flank sediments. </w:t>
      </w:r>
      <w:r w:rsidRPr="004429A8">
        <w:rPr>
          <w:lang w:val="fr-FR"/>
        </w:rPr>
        <w:t>Geochimica et Cosmochimica Acta 61, 4067–4078. https://doi.org/10.1016/S0016-7037(97)00230-5</w:t>
      </w:r>
    </w:p>
    <w:p w14:paraId="757A07D0" w14:textId="77777777" w:rsidR="004429A8" w:rsidRDefault="004429A8" w:rsidP="004429A8">
      <w:pPr>
        <w:pStyle w:val="Bibliographie"/>
        <w:jc w:val="both"/>
      </w:pPr>
      <w:r w:rsidRPr="004429A8">
        <w:rPr>
          <w:lang w:val="fr-FR"/>
        </w:rPr>
        <w:t xml:space="preserve">Gersonde, R., Crosta, X., Abelmann, A., Armand, L., 2005. </w:t>
      </w:r>
      <w:r>
        <w:t>Sea-surface temperature and sea ice distribution of the Southern Ocean at the EPILOG Last Glacial Maximum—a circum-Antarctic view based on siliceous microfossil records. Quaternary Science Reviews 24, 869–896. https://doi.org/10.1016/j.quascirev.2004.07.015</w:t>
      </w:r>
    </w:p>
    <w:p w14:paraId="658AADB2" w14:textId="77777777" w:rsidR="004429A8" w:rsidRPr="004429A8" w:rsidRDefault="004429A8" w:rsidP="004429A8">
      <w:pPr>
        <w:pStyle w:val="Bibliographie"/>
        <w:jc w:val="both"/>
        <w:rPr>
          <w:lang w:val="fr-FR"/>
        </w:rPr>
      </w:pPr>
      <w:r>
        <w:t xml:space="preserve">González-Vega, A., Fraile-Nuez, E., Santana-Casiano, J.M., González-Dávila, M., Escánez-Pérez, J., Gómez-Ballesteros, M., Tello, O., Arrieta, J.M., 2020. Significant Release of Dissolved Inorganic Nutrients From the Shallow Submarine Volcano Tagoro (Canary Islands) Based on Seven-Year Monitoring. </w:t>
      </w:r>
      <w:r w:rsidRPr="004429A8">
        <w:rPr>
          <w:lang w:val="fr-FR"/>
        </w:rPr>
        <w:t>Front. Mar. Sci. 6, 829. https://doi.org/10.3389/fmars.2019.00829</w:t>
      </w:r>
    </w:p>
    <w:p w14:paraId="14367EAD" w14:textId="77777777" w:rsidR="004429A8" w:rsidRPr="004429A8" w:rsidRDefault="004429A8" w:rsidP="004429A8">
      <w:pPr>
        <w:pStyle w:val="Bibliographie"/>
        <w:jc w:val="both"/>
        <w:rPr>
          <w:lang w:val="fr-FR"/>
        </w:rPr>
      </w:pPr>
      <w:r w:rsidRPr="004429A8">
        <w:rPr>
          <w:lang w:val="fr-FR"/>
        </w:rPr>
        <w:t>Guieu, C., Bonnet, S., 2019. TONGA cruise 2019, L’Atalante R/V. https://doi.org/10.17600/18000884</w:t>
      </w:r>
    </w:p>
    <w:p w14:paraId="09A673BD" w14:textId="77777777" w:rsidR="004429A8" w:rsidRDefault="004429A8" w:rsidP="004429A8">
      <w:pPr>
        <w:pStyle w:val="Bibliographie"/>
        <w:jc w:val="both"/>
      </w:pPr>
      <w:r w:rsidRPr="004429A8">
        <w:rPr>
          <w:lang w:val="fr-FR"/>
        </w:rPr>
        <w:t xml:space="preserve">Guieu, C., Bonnet, S., Petrenko, A., Menkes, C., Chavagnac, V., Desboeufs, K., Maes, C., Moutin, T., 2018. </w:t>
      </w:r>
      <w:r>
        <w:t>Iron from a submarine source impacts the productive layer of the Western Tropical South Pacific (WTSP). Sci Rep 8, 1–9. https://doi.org/10.1038/s41598-018-27407-z</w:t>
      </w:r>
    </w:p>
    <w:p w14:paraId="51B2D8AD" w14:textId="77777777" w:rsidR="004429A8" w:rsidRDefault="004429A8" w:rsidP="004429A8">
      <w:pPr>
        <w:pStyle w:val="Bibliographie"/>
        <w:jc w:val="both"/>
      </w:pPr>
      <w:r>
        <w:t>Hargrave, B.T., Burns, N.M., 1979. Assessment of sediment trap collection efficiency. Limnol. Oceanogr. 24, 1124–1136. https://doi.org/10.4319/lo.1979.24.6.1124</w:t>
      </w:r>
    </w:p>
    <w:p w14:paraId="552F3578" w14:textId="77777777" w:rsidR="004429A8" w:rsidRDefault="004429A8" w:rsidP="004429A8">
      <w:pPr>
        <w:pStyle w:val="Bibliographie"/>
        <w:jc w:val="both"/>
      </w:pPr>
      <w:r>
        <w:t>Ho, T.-Y., Quigg, A., Finkel, Z.V., Milligan, A.J., Wyman, K., Falkowski, P.G., Morel, F.M.M., 2003. The Elemental Composition of Some Marine Phytoplankton. Journal of Phycology 39, 1145–1159. https://doi.org/10.1111/j.0022-3646.2003.03-090.x</w:t>
      </w:r>
    </w:p>
    <w:p w14:paraId="0F232785" w14:textId="77777777" w:rsidR="004429A8" w:rsidRDefault="004429A8" w:rsidP="004429A8">
      <w:pPr>
        <w:pStyle w:val="Bibliographie"/>
        <w:jc w:val="both"/>
      </w:pPr>
      <w:r>
        <w:t>Honjo, S., Spencer, D.W., Gardner, W.D., 1992. A sediment trap intercomparison experiment in the Panama Basin, 1979. Deep Sea Research Part A. Oceanographic Research Papers 39, 333–358. https://doi.org/10.1016/0198-0149(92)90112-7</w:t>
      </w:r>
    </w:p>
    <w:p w14:paraId="52AFD482" w14:textId="77777777" w:rsidR="004429A8" w:rsidRDefault="004429A8" w:rsidP="004429A8">
      <w:pPr>
        <w:pStyle w:val="Bibliographie"/>
        <w:jc w:val="both"/>
      </w:pPr>
      <w:r w:rsidRPr="004429A8">
        <w:rPr>
          <w:lang w:val="de-LI"/>
        </w:rPr>
        <w:t xml:space="preserve">Horn, D.R., Horn, B.M., Delach, M.N., 1970. </w:t>
      </w:r>
      <w:r>
        <w:t>Sedimentary Provinces of the North Pacific, in: Geological Society of America Memoirs. Geological Society of America, pp. 1–22. https://doi.org/10.1130/MEM126-p1</w:t>
      </w:r>
    </w:p>
    <w:p w14:paraId="3E786C19" w14:textId="77777777" w:rsidR="004429A8" w:rsidRDefault="004429A8" w:rsidP="004429A8">
      <w:pPr>
        <w:pStyle w:val="Bibliographie"/>
        <w:jc w:val="both"/>
      </w:pPr>
      <w:r>
        <w:t>Humphris, S.E., Herzig, P.M., Miller, D.J., Alt, J.C., Becker, K., Brown, D., Brügmann, G., Chiba, H., Fouquet, Y., Gemmell, J.B., Guerin, G., Hannington, M.D., Holm, N.G., Honnorez, J.J., Iturrino, G.J., Knott, R., Ludwig, R., Nakamura, K., Petersen, S., Reysenbach, A.-L., Rona, P.A., Smith, S., Sturz, A.A., Tivey, M.K., Zhao, X., 1995. The internal structure of an active sea-floor massive sulphide deposit. Nature 377, 713–716. https://doi.org/10.1038/377713a0</w:t>
      </w:r>
    </w:p>
    <w:p w14:paraId="2CD7D200" w14:textId="77777777" w:rsidR="004429A8" w:rsidRDefault="004429A8" w:rsidP="004429A8">
      <w:pPr>
        <w:pStyle w:val="Bibliographie"/>
        <w:jc w:val="both"/>
      </w:pPr>
      <w:r>
        <w:t>Hüneke, H., Henrich, R., 2011. Pelagic Sedimentation in Modern and Ancient Oceans, in: Developments in Sedimentology. Elsevier, pp. 215–351. https://doi.org/10.1016/B978-0-444-53000-4.00004-4</w:t>
      </w:r>
    </w:p>
    <w:p w14:paraId="6EA01873" w14:textId="77777777" w:rsidR="004429A8" w:rsidRDefault="004429A8" w:rsidP="004429A8">
      <w:pPr>
        <w:pStyle w:val="Bibliographie"/>
        <w:jc w:val="both"/>
      </w:pPr>
      <w:r>
        <w:t>Hurd, D.C., 1972. Factors affecting solution rate of biogenic opal in seawater. Earth and Planetary Science Letters 15, 411–417. https://doi.org/10.1016/0012-821X(72)90040-4</w:t>
      </w:r>
    </w:p>
    <w:p w14:paraId="0ED6D470" w14:textId="77777777" w:rsidR="004429A8" w:rsidRDefault="004429A8" w:rsidP="004429A8">
      <w:pPr>
        <w:pStyle w:val="Bibliographie"/>
        <w:jc w:val="both"/>
      </w:pPr>
      <w:r>
        <w:t>Imai, N., Terashima, S., Itoh, S., Ando, A., 1995. 1994 Compilation of analytical data for minor and trace elements in seventeen GSJ geochemical reference samples, “igneous rock series.” Geostandards and Geoanalytical Research 19, 135–213. https://doi.org/10.1111/j.1751-908X.1995.tb00158.x</w:t>
      </w:r>
    </w:p>
    <w:p w14:paraId="62A08C73" w14:textId="77777777" w:rsidR="004429A8" w:rsidRDefault="004429A8" w:rsidP="004429A8">
      <w:pPr>
        <w:pStyle w:val="Bibliographie"/>
        <w:jc w:val="both"/>
      </w:pPr>
      <w:r>
        <w:t>Karl, D.M., 1995. The microbiology of deep-sea hydrothermal vents, CRC-Press. ed.</w:t>
      </w:r>
    </w:p>
    <w:p w14:paraId="443907B8" w14:textId="77777777" w:rsidR="004429A8" w:rsidRDefault="004429A8" w:rsidP="004429A8">
      <w:pPr>
        <w:pStyle w:val="Bibliographie"/>
        <w:jc w:val="both"/>
      </w:pPr>
      <w:r w:rsidRPr="004429A8">
        <w:rPr>
          <w:lang w:val="de-LI"/>
        </w:rPr>
        <w:lastRenderedPageBreak/>
        <w:t xml:space="preserve">Klaas, C., Archer, D.E., 2002. </w:t>
      </w:r>
      <w:r>
        <w:t>Association of sinking organic matter with various types of mineral ballast in the deep sea: Implications for the rain ratio. Global Biogeochem. Cycles 16, 63-1-63–14. https://doi.org/10.1029/2001GB001765</w:t>
      </w:r>
    </w:p>
    <w:p w14:paraId="5AEA05EB" w14:textId="77777777" w:rsidR="004429A8" w:rsidRDefault="004429A8" w:rsidP="004429A8">
      <w:pPr>
        <w:pStyle w:val="Bibliographie"/>
        <w:jc w:val="both"/>
      </w:pPr>
      <w:r>
        <w:t>Kyte, F.T., Leinen, M., Ross Heath, G., Zhou, L., 1993. Cenozoic sedimentation history of the central North Pacific: Inferences from the elemental geochemistry of core LL44-GPC3. Geochimica et Cosmochimica Acta 57, 1719–1740. https://doi.org/10.1016/0016-7037(93)90109-A</w:t>
      </w:r>
    </w:p>
    <w:p w14:paraId="5EF1EDAC" w14:textId="77777777" w:rsidR="004429A8" w:rsidRDefault="004429A8" w:rsidP="004429A8">
      <w:pPr>
        <w:pStyle w:val="Bibliographie"/>
        <w:jc w:val="both"/>
      </w:pPr>
      <w:r>
        <w:t>Leinen, M., 1989. The pelagic clay province of the North Pacific Ocean, in: Winterer, E.L., Hussong, D.M., Decker, R.W. (Eds.), The Eastern Pacific Ocean and Hawaii. Geological Society of America, North America, pp. 323–335. https://doi.org/10.1130/DNAG-GNA-N.323</w:t>
      </w:r>
    </w:p>
    <w:p w14:paraId="0237CF82" w14:textId="77777777" w:rsidR="004429A8" w:rsidRDefault="004429A8" w:rsidP="004429A8">
      <w:pPr>
        <w:pStyle w:val="Bibliographie"/>
        <w:jc w:val="both"/>
      </w:pPr>
      <w:r>
        <w:t>Leonelli, C., Kamseu, E., Boccaccini, D.N., Melo, U.C., Rizzuti, A., Billong, N., Miselli, P., 2007. Volcanic ash as alternative raw materials for traditional vitrified ceramic products. Advances in Applied Ceramics 106, 135–141. https://doi.org/10.1179/174367607X159329</w:t>
      </w:r>
    </w:p>
    <w:p w14:paraId="3220508B" w14:textId="77777777" w:rsidR="004429A8" w:rsidRDefault="004429A8" w:rsidP="004429A8">
      <w:pPr>
        <w:pStyle w:val="Bibliographie"/>
        <w:jc w:val="both"/>
      </w:pPr>
      <w:r>
        <w:t>Li, Y.-H., Schoonmaker, J.E., 2003. Chemical Composition and Mineralogy of Marine Sediments, in: Treatise on Geochemistry. Elsevier, pp. 1–35. https://doi.org/10.1016/B0-08-043751-6/07088-2</w:t>
      </w:r>
    </w:p>
    <w:p w14:paraId="1CBEC5AF" w14:textId="77777777" w:rsidR="004429A8" w:rsidRDefault="004429A8" w:rsidP="004429A8">
      <w:pPr>
        <w:pStyle w:val="Bibliographie"/>
        <w:jc w:val="both"/>
      </w:pPr>
      <w:r>
        <w:t>Lilley, M.D., Feely, R.A., Trefry, J.H., 2013. Chemical and Biochemical Transformations in Hydrothermal Plumes, in: Seafloor Hydrothermal Systems: Physical, Chemical, Biological, and Geological Interactions. American Geophysical Union (AGU), pp. 369–391. https://doi.org/10.1029/GM091p0369</w:t>
      </w:r>
    </w:p>
    <w:p w14:paraId="5DB2853E" w14:textId="77777777" w:rsidR="004429A8" w:rsidRDefault="004429A8" w:rsidP="004429A8">
      <w:pPr>
        <w:pStyle w:val="Bibliographie"/>
        <w:jc w:val="both"/>
      </w:pPr>
      <w:r>
        <w:t>Locarnini, R., Mishonov, A., Baranova, O., Boyer, T., Zweng, M., Garcia, H., Reagan, J., Seidov, D., Weathers, K., Paver, C., 2018. World Ocean Atlas 2018, Volume 1: Temperature. NOAA Atlas NESDIS 81 52.</w:t>
      </w:r>
    </w:p>
    <w:p w14:paraId="24AE7DFB" w14:textId="77777777" w:rsidR="004429A8" w:rsidRDefault="004429A8" w:rsidP="004429A8">
      <w:pPr>
        <w:pStyle w:val="Bibliographie"/>
        <w:jc w:val="both"/>
      </w:pPr>
      <w:r>
        <w:t>Lou, Y., He, Z., Han, X., 2020. Transport and Deposition Patterns of Particles Laden by Rising Submarine Hydrothermal Plumes. Geophys. Res. Lett. 47. https://doi.org/10.1029/2020GL089935</w:t>
      </w:r>
    </w:p>
    <w:p w14:paraId="5523D395" w14:textId="77777777" w:rsidR="004429A8" w:rsidRDefault="004429A8" w:rsidP="004429A8">
      <w:pPr>
        <w:pStyle w:val="Bibliographie"/>
        <w:jc w:val="both"/>
      </w:pPr>
      <w:r>
        <w:t>Lupton, J.E., Pyle, D.G., Jenkins, W.J., Greene, R., Evans, L., 2004. Evidence for an extensive hydrothermal plume in the Tonga-Fiji region of the South Pacific. Geochem. Geophys. Geosyst. 5. https://doi.org/10.1029/2003GC000607</w:t>
      </w:r>
    </w:p>
    <w:p w14:paraId="5A78ED51" w14:textId="77777777" w:rsidR="004429A8" w:rsidRDefault="004429A8" w:rsidP="004429A8">
      <w:pPr>
        <w:pStyle w:val="Bibliographie"/>
        <w:jc w:val="both"/>
      </w:pPr>
      <w:r>
        <w:t>Mahiques, M.M., Sousa, S.H.M., Burone, L., Nagai, R.H., Silveira, I.C.A., Figueira, R.C.L., Soutelino, R.G., Ponsoni, L., Klein, D.A., 2011. Radiocarbon geochronology of the sediments of the São Paulo Bight (southern Brazilian upper margin). An. Acad. Bras. Ciênc. 83, 817–834. https://doi.org/10.1590/S0001-37652011005000028</w:t>
      </w:r>
    </w:p>
    <w:p w14:paraId="6C3535BB" w14:textId="77777777" w:rsidR="004429A8" w:rsidRDefault="004429A8" w:rsidP="004429A8">
      <w:pPr>
        <w:pStyle w:val="Bibliographie"/>
        <w:jc w:val="both"/>
      </w:pPr>
      <w:r>
        <w:t>Massoth, G., Baker, E., Worthington, T., Lupton, J., de Ronde, C., Arculus, R., Walker, S., Nakamura, K., Ishibashi, J., Stoffers, P., Resing, J., Greene, R., Lebon, G., 2007. Multiple hydrothermal sources along the south Tonga arc and Valu Fa Ridge. Geochem. Geophys. Geosyst. 8. https://doi.org/10.1029/2007GC001675</w:t>
      </w:r>
    </w:p>
    <w:p w14:paraId="505B4A0F" w14:textId="77777777" w:rsidR="004429A8" w:rsidRDefault="004429A8" w:rsidP="004429A8">
      <w:pPr>
        <w:pStyle w:val="Bibliographie"/>
        <w:jc w:val="both"/>
      </w:pPr>
      <w:r>
        <w:t>Massoth, G.J., Baker, E.T., Feely, R.A., Lupton, J.E., Collier, R.W., Gendron, J.F., Roe, K.K., Maenner, S.M., Resing, J.A., 1998. Manganese and iron in hydrothermal plumes resulting from the 1996 Gorda Ridge Event. Deep Sea Research Part II: Topical Studies in Oceanography 45, 2683–2712. https://doi.org/10.1016/S0967-0645(98)00089-7</w:t>
      </w:r>
    </w:p>
    <w:p w14:paraId="5934F67E" w14:textId="77777777" w:rsidR="004429A8" w:rsidRDefault="004429A8" w:rsidP="004429A8">
      <w:pPr>
        <w:pStyle w:val="Bibliographie"/>
        <w:jc w:val="both"/>
      </w:pPr>
      <w:r>
        <w:t>Mills, R., Elderfield, H., Thomson, J., 1993. A dual origin for the hydrothermal component in a metalliferous sediment core from the Mid-Atlantic Ridge. J. Geophys. Res. 98, 9671. https://doi.org/10.1029/92JB01414</w:t>
      </w:r>
    </w:p>
    <w:p w14:paraId="5FE11FD4" w14:textId="77777777" w:rsidR="004429A8" w:rsidRDefault="004429A8" w:rsidP="004429A8">
      <w:pPr>
        <w:pStyle w:val="Bibliographie"/>
        <w:jc w:val="both"/>
      </w:pPr>
      <w:r>
        <w:lastRenderedPageBreak/>
        <w:t>Mills, R.A., Elderfield, H., 1995. Hydrothermal Activity and the Geochemistry of Metalliferous Sediment, in: Humphris, S.E., Zierenberg, R.A., Mullineaux, L.S., Thomson, R.E. (Eds.), Geophysical Monograph Series. American Geophysical Union, Washington, D. C., pp. 392–407. https://doi.org/10.1029/GM091p0392</w:t>
      </w:r>
    </w:p>
    <w:p w14:paraId="5A8F02F9" w14:textId="77777777" w:rsidR="004429A8" w:rsidRDefault="004429A8" w:rsidP="004429A8">
      <w:pPr>
        <w:pStyle w:val="Bibliographie"/>
        <w:jc w:val="both"/>
      </w:pPr>
      <w:r>
        <w:t>Morse, J.W., Arvidson, R.S., Lüttge, A., 2007. Calcium Carbonate Formation and Dissolution. Chem. Rev. 107, 342–381. https://doi.org/10.1021/cr050358j</w:t>
      </w:r>
    </w:p>
    <w:p w14:paraId="3B71E712" w14:textId="77777777" w:rsidR="004429A8" w:rsidRDefault="004429A8" w:rsidP="004429A8">
      <w:pPr>
        <w:pStyle w:val="Bibliographie"/>
        <w:jc w:val="both"/>
      </w:pPr>
      <w:r>
        <w:t>Mortlock, R.A., Froelich, P.N., 1989. A simple method for the rapid determination of biogenic opal in pelagic marine sediments. Deep Sea Research Part A. Oceanographic Research Papers 36, 1415–1426. https://doi.org/10.1016/0198-0149(89)90092-7</w:t>
      </w:r>
    </w:p>
    <w:p w14:paraId="1BBA6480" w14:textId="77777777" w:rsidR="004429A8" w:rsidRDefault="004429A8" w:rsidP="004429A8">
      <w:pPr>
        <w:pStyle w:val="Bibliographie"/>
        <w:jc w:val="both"/>
      </w:pPr>
      <w:r>
        <w:t>Mosseri, J., Quéguiner, B., Rimmelin, P., Leblond, N., Guieu, C., 2005. Silica fluxes in the northeast Atlantic frontal zone of Mode Water formation (38°–45°N, 16°–22°W) in 2001–2002. J. Geophys. Res. 110, C07S19. https://doi.org/10.1029/2004JC002615</w:t>
      </w:r>
    </w:p>
    <w:p w14:paraId="58AE3680" w14:textId="77777777" w:rsidR="004429A8" w:rsidRDefault="004429A8" w:rsidP="004429A8">
      <w:pPr>
        <w:pStyle w:val="Bibliographie"/>
        <w:jc w:val="both"/>
      </w:pPr>
      <w:r>
        <w:t>Naji, J.A., Asi, I.M., 2008. Performance Evaluation of Asphalt Concrete Mixes Containing Granular Volcanic Ash. J. Mater. Civ. Eng. 20, 754–761. https://doi.org/10.1061/(ASCE)0899-1561(2008)20:12(754)</w:t>
      </w:r>
    </w:p>
    <w:p w14:paraId="2E6DA897" w14:textId="77777777" w:rsidR="004429A8" w:rsidRDefault="004429A8" w:rsidP="004429A8">
      <w:pPr>
        <w:pStyle w:val="Bibliographie"/>
        <w:jc w:val="both"/>
      </w:pPr>
      <w:r>
        <w:t>Nelson, D.M., Brzezinski, M.A., 1997. Diatom growth and productivity in an oligo-trophic midocean gyre: A 3-yr record from the Sargasso Sea near Bermuda. Limnol. Oceanogr. 42, 473–486. https://doi.org/10.4319/lo.1997.42.3.0473</w:t>
      </w:r>
    </w:p>
    <w:p w14:paraId="3FE96566" w14:textId="77777777" w:rsidR="004429A8" w:rsidRDefault="004429A8" w:rsidP="004429A8">
      <w:pPr>
        <w:pStyle w:val="Bibliographie"/>
        <w:jc w:val="both"/>
      </w:pPr>
      <w:r>
        <w:t>Nelson, D.M., Smith, W.O., Muench, R.D., Gordon, L.I., Sullivan, C.W., Husby, D.M., 1989. Particulate matter and nutrient distributions in the ice-edge zone of the Weddell Sea: relationship to hydrography during late summer. Deep Sea Research Part A. Oceanographic Research Papers 36, 191–209. https://doi.org/10.1016/0198-0149(89)90133-7</w:t>
      </w:r>
    </w:p>
    <w:p w14:paraId="77E3CAE6" w14:textId="77777777" w:rsidR="004429A8" w:rsidRDefault="004429A8" w:rsidP="004429A8">
      <w:pPr>
        <w:pStyle w:val="Bibliographie"/>
        <w:jc w:val="both"/>
      </w:pPr>
      <w:r>
        <w:t>Nelson, D.M., Tréguer, P., Brzezinski, M.A., Leynaert, A., Quéguiner, B., 1995. Production and dissolution of biogenic silica in the ocean: Revised global estimates, comparison with regional data and relationship to biogenic sedimentation. Global Biogeochemical Cycles 9, 359–372. https://doi.org/10.1029/95GB01070</w:t>
      </w:r>
    </w:p>
    <w:p w14:paraId="78EBD961" w14:textId="77777777" w:rsidR="004429A8" w:rsidRDefault="004429A8" w:rsidP="004429A8">
      <w:pPr>
        <w:pStyle w:val="Bibliographie"/>
        <w:jc w:val="both"/>
      </w:pPr>
      <w:r>
        <w:t>Ng, W.-L., Chen, C.-A., Kawi, S.D., Musta, B., Chan, T.-Y., 2019. Effects of hydrogen peroxide treatment on the particle size distribution of hydrothermal vent sediments: A case study in Guishan Island, Taiwan. Borneo Journal of Marine Science and Aquaculture (BJoMSA) 3, 52–56. https://doi.org/10.51200/bjomsa.v3i2.1995</w:t>
      </w:r>
    </w:p>
    <w:p w14:paraId="0AFF59F3" w14:textId="77777777" w:rsidR="004429A8" w:rsidRDefault="004429A8" w:rsidP="004429A8">
      <w:pPr>
        <w:pStyle w:val="Bibliographie"/>
        <w:jc w:val="both"/>
      </w:pPr>
      <w:r>
        <w:t>Nohara, M., Yokoto, S., 1978. The Geochemistry of Trace Elements in Pelagic Sediments from the Central Pacific Basin. The Journal of the Geological Society of Japan 84. https://doi.org/10.5575/geosoc.84.165</w:t>
      </w:r>
    </w:p>
    <w:p w14:paraId="012A6E90" w14:textId="77777777" w:rsidR="004429A8" w:rsidRDefault="004429A8" w:rsidP="004429A8">
      <w:pPr>
        <w:pStyle w:val="Bibliographie"/>
        <w:jc w:val="both"/>
      </w:pPr>
      <w:r>
        <w:t>Oskarasson, N., 2010. Chemical analysis of rocks from the Eyjafjallajökull 2010 eruptions.</w:t>
      </w:r>
    </w:p>
    <w:p w14:paraId="53E02F07" w14:textId="77777777" w:rsidR="004429A8" w:rsidRDefault="004429A8" w:rsidP="004429A8">
      <w:pPr>
        <w:pStyle w:val="Bibliographie"/>
        <w:jc w:val="both"/>
      </w:pPr>
      <w:r>
        <w:t>Owens, S., Buesseler, K.O., Lamborg, C.H., Valdes, J.R., Lomas, L., Johnson, R., Steinberg, D., Siegel, D.A., 2013. A new time series of particle export from neutrally buoyant sediments traps at the Bermuda Atlantic Time-series Study site. Deep Sea Research Part I: Oceanographic Research Papers 72, 34–47. https://doi.org/10.1016/j.dsr.2012.10.011</w:t>
      </w:r>
    </w:p>
    <w:p w14:paraId="5A78F988" w14:textId="77777777" w:rsidR="004429A8" w:rsidRDefault="004429A8" w:rsidP="004429A8">
      <w:pPr>
        <w:pStyle w:val="Bibliographie"/>
        <w:jc w:val="both"/>
      </w:pPr>
      <w:r w:rsidRPr="004429A8">
        <w:rPr>
          <w:lang w:val="fr-FR"/>
        </w:rPr>
        <w:t xml:space="preserve">Pelletier, B., Calmant, S., Pillet, R., 1998. </w:t>
      </w:r>
      <w:r>
        <w:t>Current tectonics of the Tonga–New Hebrides region. Earth and Planetary Science Letters 164, 263–276. https://doi.org/10.1016/S0012-821X(98)00212-X</w:t>
      </w:r>
    </w:p>
    <w:p w14:paraId="6E09C17A" w14:textId="77777777" w:rsidR="004429A8" w:rsidRDefault="004429A8" w:rsidP="004429A8">
      <w:pPr>
        <w:pStyle w:val="Bibliographie"/>
        <w:jc w:val="both"/>
      </w:pPr>
      <w:r>
        <w:t>Piper, D.J.W., 2005. SEDIMENTARY PROCESSES | Deep Water Processes and Deposits, in: Encyclopedia of Geology. Elsevier, pp. 641–649. https://doi.org/10.1016/B0-12-369396-9/00496-2</w:t>
      </w:r>
    </w:p>
    <w:p w14:paraId="075054D1" w14:textId="77777777" w:rsidR="004429A8" w:rsidRDefault="004429A8" w:rsidP="004429A8">
      <w:pPr>
        <w:pStyle w:val="Bibliographie"/>
        <w:jc w:val="both"/>
      </w:pPr>
      <w:r>
        <w:lastRenderedPageBreak/>
        <w:t>Plank, S., Marchese, F., Genzano, N., Nolde, M., Martinis, S., 2020. The short life of the volcanic island New Late’iki (Tonga) analyzed by multi-sensor remote sensing data. Sci Rep 10, 22293. https://doi.org/10.1038/s41598-020-79261-7</w:t>
      </w:r>
    </w:p>
    <w:p w14:paraId="2FD29431" w14:textId="77777777" w:rsidR="004429A8" w:rsidRDefault="004429A8" w:rsidP="004429A8">
      <w:pPr>
        <w:pStyle w:val="Bibliographie"/>
        <w:jc w:val="both"/>
      </w:pPr>
      <w:r>
        <w:t>Plank, T., Kelley, K.A., Murray, R.W., Stern, L.Q., 2007. Chemical composition of sediments subducting at the Izu-Bonin trench: CHEMICAL COMPOSITION OF SEDIMENTS. Geochem. Geophys. Geosyst. 8, n/a-n/a. https://doi.org/10.1029/2006GC001444</w:t>
      </w:r>
    </w:p>
    <w:p w14:paraId="3C8BF378" w14:textId="77777777" w:rsidR="004429A8" w:rsidRDefault="004429A8" w:rsidP="004429A8">
      <w:pPr>
        <w:pStyle w:val="Bibliographie"/>
        <w:jc w:val="both"/>
      </w:pPr>
      <w:r>
        <w:t>Raven, J.A., 1988. The iron and molybdenum use efficiencies of plant growth with different energy, carbon and nitrogen sources. New Phytol 109, 279–287. https://doi.org/10.1111/j.1469-8137.1988.tb04196.x</w:t>
      </w:r>
    </w:p>
    <w:p w14:paraId="60080A00" w14:textId="77777777" w:rsidR="004429A8" w:rsidRDefault="004429A8" w:rsidP="004429A8">
      <w:pPr>
        <w:pStyle w:val="Bibliographie"/>
        <w:jc w:val="both"/>
      </w:pPr>
      <w:r>
        <w:t>Razzhigaeva, N.G., Ganzei, L.A., Grebennikova, T.A., Mokhova, L.M., Kopoteva, T.A., Rybin, A.V., Kharlamov, A.A., 2009. The peat bog of Ketoi Island: The Middle-Upper Holocene reference section of the Central Kuriles. Russ. J. of Pac. Geol. 3, 570–584. https://doi.org/10.1134/S1819714009060050</w:t>
      </w:r>
    </w:p>
    <w:p w14:paraId="2F747FD0" w14:textId="77777777" w:rsidR="004429A8" w:rsidRDefault="004429A8" w:rsidP="004429A8">
      <w:pPr>
        <w:pStyle w:val="Bibliographie"/>
        <w:jc w:val="both"/>
      </w:pPr>
      <w:r>
        <w:t>Redfield, A.C., Ketchum, B.H., Richards, F.A., 1963. The influence of organisms on the composition of sea-water, in: The Composition of Seawater: Comparative and Descriptive Oceanography, The Sea. Interscience Publishers: New York, pp. 26–77.</w:t>
      </w:r>
    </w:p>
    <w:p w14:paraId="235811ED" w14:textId="77777777" w:rsidR="004429A8" w:rsidRDefault="004429A8" w:rsidP="004429A8">
      <w:pPr>
        <w:pStyle w:val="Bibliographie"/>
        <w:jc w:val="both"/>
      </w:pPr>
      <w:r>
        <w:t>Resing, J.A., Sansone, F.J., 1999. The chemistry of lava–seawater interactions: the generation of acidity. Geochimica et Cosmochimica Acta 63, 2183–2198. https://doi.org/10.1016/S0016-7037(99)00193-3</w:t>
      </w:r>
    </w:p>
    <w:p w14:paraId="04B46FE4" w14:textId="77777777" w:rsidR="004429A8" w:rsidRDefault="004429A8" w:rsidP="004429A8">
      <w:pPr>
        <w:pStyle w:val="Bibliographie"/>
        <w:jc w:val="both"/>
      </w:pPr>
      <w:r>
        <w:t>Resing, J.A., Sedwick, P.N., German, C.R., Jenkins, W.J., Moffett, J.W., Sohst, B.M., Tagliabue, A., 2015. Basin-scale transport of hydrothermal dissolved metals across the South Pacific Ocean. Nature 523, 200–203. https://doi.org/10.1038/nature14577</w:t>
      </w:r>
    </w:p>
    <w:p w14:paraId="1935398C" w14:textId="77777777" w:rsidR="004429A8" w:rsidRDefault="004429A8" w:rsidP="004429A8">
      <w:pPr>
        <w:pStyle w:val="Bibliographie"/>
        <w:jc w:val="both"/>
      </w:pPr>
      <w:r>
        <w:t>Robbins, J.A., Edgington, D.N., 1975. Determination of recent sedimentation rates in Lake Michigan using Pb-210 and Cs-137. Geochimica et Cosmochimica Acta 39, 285–304. https://doi.org/10.1016/0016-7037(75)90198-2</w:t>
      </w:r>
    </w:p>
    <w:p w14:paraId="29ED80C9" w14:textId="77777777" w:rsidR="004429A8" w:rsidRDefault="004429A8" w:rsidP="004429A8">
      <w:pPr>
        <w:pStyle w:val="Bibliographie"/>
        <w:jc w:val="both"/>
      </w:pPr>
      <w:r>
        <w:t>Rousselet, L., de Verneil, A., Doglioli, A.M., Petrenko, A.A., Duhamel, S., Maes, C., Blanke, B., 2018. Large- to submesoscale surface circulation and its implications on biogeochemical/biological horizontal distributions during the OUTPACE cruise (southwest Pacific). Biogeosciences 15, 2411–2431. https://doi.org/10.5194/bg-15-2411-2018</w:t>
      </w:r>
    </w:p>
    <w:p w14:paraId="17725917" w14:textId="77777777" w:rsidR="004429A8" w:rsidRDefault="004429A8" w:rsidP="004429A8">
      <w:pPr>
        <w:pStyle w:val="Bibliographie"/>
        <w:jc w:val="both"/>
      </w:pPr>
      <w:r>
        <w:t>Sarmiento, J.L., Gruber, N., 2006. Ocean biogeochemical dynamics. Princeton University Press, Princeton.</w:t>
      </w:r>
    </w:p>
    <w:p w14:paraId="18D0986E" w14:textId="77777777" w:rsidR="004429A8" w:rsidRDefault="004429A8" w:rsidP="004429A8">
      <w:pPr>
        <w:pStyle w:val="Bibliographie"/>
        <w:jc w:val="both"/>
      </w:pPr>
      <w:r w:rsidRPr="004429A8">
        <w:rPr>
          <w:lang w:val="de-LI"/>
        </w:rPr>
        <w:t xml:space="preserve">Sayles, F.L., Bischoff, J.L., 1973. </w:t>
      </w:r>
      <w:r>
        <w:t>Ferromanganoan sediments in the equatorial East Pacific. Earth and Planetary Science Letters 19, 330–336. https://doi.org/10.1016/0012-821X(73)90083-6</w:t>
      </w:r>
    </w:p>
    <w:p w14:paraId="15747BF8" w14:textId="77777777" w:rsidR="004429A8" w:rsidRDefault="004429A8" w:rsidP="004429A8">
      <w:pPr>
        <w:pStyle w:val="Bibliographie"/>
        <w:jc w:val="both"/>
      </w:pPr>
      <w:r>
        <w:t>Schmidt, S., Howa, H., Diallo, A., Martín, J., Cremer, M., Duros, P., Fontanier, C., Deflandre, B., Metzger, E., Mulder, T., 2014. Recent sediment transport and deposition in the Cap-Ferret Canyon, South-East margin of Bay of Biscay. Deep Sea Research Part II: Topical Studies in Oceanography 104, 134–144. https://doi.org/10.1016/j.dsr2.2013.06.004</w:t>
      </w:r>
    </w:p>
    <w:p w14:paraId="30C4A1ED" w14:textId="77777777" w:rsidR="004429A8" w:rsidRDefault="004429A8" w:rsidP="004429A8">
      <w:pPr>
        <w:pStyle w:val="Bibliographie"/>
        <w:jc w:val="both"/>
      </w:pPr>
      <w:r>
        <w:t>Scholten, J.C., Fietzke, J., Vogler, S., Rutgers van der Loeff, M.M., Mangini, A., Koeve, W., Waniek, J., Stoffers, P., Antia, A., Kuss, J., 2001. Trapping efficiencies of sediment traps from the deep Eastern North Atlantic: Deep Sea Research Part II: Topical Studies in Oceanography 48, 2383–2408. https://doi.org/10.1016/S0967-0645(00)00176-4</w:t>
      </w:r>
    </w:p>
    <w:p w14:paraId="0284C9DB" w14:textId="77777777" w:rsidR="004429A8" w:rsidRDefault="004429A8" w:rsidP="004429A8">
      <w:pPr>
        <w:pStyle w:val="Bibliographie"/>
        <w:jc w:val="both"/>
      </w:pPr>
      <w:r>
        <w:t xml:space="preserve">Stoffers, P., Worthington, T.J., Schwarz-Schampera, U., Hannington, M.D., Massoth, G.J., Hekinian, R., Schmidt, M., Lundsten, L.J., Evans, L.J., Vaiomo’unga, R., Kerby, T., 2006. Submarine </w:t>
      </w:r>
      <w:r>
        <w:lastRenderedPageBreak/>
        <w:t>volcanoes and high-temperature hydrothermal venting on the Tonga arc, southwest Pacific. Geol 34, 453. https://doi.org/10.1130/G22227.1</w:t>
      </w:r>
    </w:p>
    <w:p w14:paraId="3B409859" w14:textId="77777777" w:rsidR="004429A8" w:rsidRDefault="004429A8" w:rsidP="004429A8">
      <w:pPr>
        <w:pStyle w:val="Bibliographie"/>
        <w:jc w:val="both"/>
      </w:pPr>
      <w:r>
        <w:t>Taylor, S.R., McLennan, S.M., 1985. The continental crust: its composition and evolution: an examination of the geochem. record preserved in sedimentary rocks, Geoscience texts. Blackwell, Oxford.</w:t>
      </w:r>
    </w:p>
    <w:p w14:paraId="3821543E" w14:textId="77777777" w:rsidR="004429A8" w:rsidRDefault="004429A8" w:rsidP="004429A8">
      <w:pPr>
        <w:pStyle w:val="Bibliographie"/>
        <w:jc w:val="both"/>
      </w:pPr>
      <w:r>
        <w:t>Tchakoute Kouamo, H., Elimbi, A., Mbey, J.A., Ngally Sabouang, C.J., Njopwouo, D., 2012. The effect of adding alumina-oxide to metakaolin and volcanic ash on geopolymer products: A comparative study. Construction and Building Materials 35, 960–969. https://doi.org/10.1016/j.conbuildmat.2012.04.023</w:t>
      </w:r>
    </w:p>
    <w:p w14:paraId="71A9AB0F" w14:textId="77777777" w:rsidR="004429A8" w:rsidRDefault="004429A8" w:rsidP="004429A8">
      <w:pPr>
        <w:pStyle w:val="Bibliographie"/>
        <w:jc w:val="both"/>
      </w:pPr>
      <w:r>
        <w:t>Tilliette, C., Taillandier, V., Bouruet‐Aubertot, P., Grima, N., Maes, C., Montanes, M., Sarthou, G., Vorrath, M.-E., Arnone, V., Bressac, M., González‐Santana, D., Gazeau, F., Guieu, C., 2022. Dissolved iron patterns impacted by shallow hydrothermal sources along a transect through the Tonga‐Kermadec arc. Global Biogeochemical Cycles. https://doi.org/10.1029/2022GB007363</w:t>
      </w:r>
    </w:p>
    <w:p w14:paraId="151444CE" w14:textId="77777777" w:rsidR="004429A8" w:rsidRDefault="004429A8" w:rsidP="004429A8">
      <w:pPr>
        <w:pStyle w:val="Bibliographie"/>
        <w:jc w:val="both"/>
      </w:pPr>
      <w:r>
        <w:t>Timm, C., Bassett, D., Graham, I.J., Leybourne, M.I., de Ronde, C.E.J., Woodhead, J., Layton-Matthews, D., Watts, A.B., 2013. Louisville seamount subduction and its implication on mantle flow beneath the central Tonga–Kermadec arc. Nat Commun 4, 1720. https://doi.org/10.1038/ncomms2702</w:t>
      </w:r>
    </w:p>
    <w:p w14:paraId="45A04B1B" w14:textId="77777777" w:rsidR="004429A8" w:rsidRDefault="004429A8" w:rsidP="004429A8">
      <w:pPr>
        <w:pStyle w:val="Bibliographie"/>
        <w:jc w:val="both"/>
      </w:pPr>
      <w:r>
        <w:t>Tréguer, P., Nelson, D.M., Van Bennekom, A.J., DeMaster, D.J., Leynaert, A., Quéguiner, B., 1995. The Silica Balance in the World Ocean: A Reestimate. Science 268, 375–379. https://doi.org/10.1126/science.268.5209.375</w:t>
      </w:r>
    </w:p>
    <w:p w14:paraId="316E3475" w14:textId="77777777" w:rsidR="004429A8" w:rsidRDefault="004429A8" w:rsidP="004429A8">
      <w:pPr>
        <w:pStyle w:val="Bibliographie"/>
        <w:jc w:val="both"/>
      </w:pPr>
      <w:r>
        <w:t>Trocine, R.P., Trefry, J.H., 1988. Distribution and chemistry of suspended particles from an active hydrothermal vent site on the Mid-Atlantic Ridge at 26°N. Earth and Planetary Science Letters 88, 1–15. https://doi.org/10.1016/0012-821X(88)90041-6</w:t>
      </w:r>
    </w:p>
    <w:p w14:paraId="6BDF4AB0" w14:textId="77777777" w:rsidR="004429A8" w:rsidRDefault="004429A8" w:rsidP="004429A8">
      <w:pPr>
        <w:pStyle w:val="Bibliographie"/>
        <w:jc w:val="both"/>
      </w:pPr>
      <w:r>
        <w:t>Turner, J., 2002. Zooplankton fecal pellets, marine snow and sinking phytoplankton blooms. Aquat. Microb. Ecol. 27, 57–102. https://doi.org/10.3354/ame027057</w:t>
      </w:r>
    </w:p>
    <w:p w14:paraId="70412823" w14:textId="77777777" w:rsidR="004429A8" w:rsidRDefault="004429A8" w:rsidP="004429A8">
      <w:pPr>
        <w:pStyle w:val="Bibliographie"/>
        <w:jc w:val="both"/>
      </w:pPr>
      <w:r>
        <w:t>Verardo, D.J., Froelich, P.N., McIntyre, A., 1990. Determination of organic carbon and nitrogen in marine sediments using the Carlo Erba NA-1500 analyzer. Deep Sea Research Part A. Oceanographic Research Papers 37, 157–165. https://doi.org/10.1016/0198-0149(90)90034-S</w:t>
      </w:r>
    </w:p>
    <w:p w14:paraId="0EADBDA1" w14:textId="77777777" w:rsidR="004429A8" w:rsidRDefault="004429A8" w:rsidP="004429A8">
      <w:pPr>
        <w:pStyle w:val="Bibliographie"/>
        <w:jc w:val="both"/>
      </w:pPr>
      <w:r w:rsidRPr="004429A8">
        <w:rPr>
          <w:lang w:val="de-LI"/>
        </w:rPr>
        <w:t xml:space="preserve">Volk, T., Hoffert, M.I., 2013. </w:t>
      </w:r>
      <w:r>
        <w:t xml:space="preserve">Ocean Carbon Pumps: Analysis of Relative Strengths and Efficiencies in Ocean-Driven Atmospheric CO </w:t>
      </w:r>
      <w:r>
        <w:rPr>
          <w:vertAlign w:val="subscript"/>
        </w:rPr>
        <w:t>2</w:t>
      </w:r>
      <w:r>
        <w:t xml:space="preserve"> Changes, in: Sundquist, E.T., Broecker, W.S. (Eds.), Geophysical Monograph Series. American Geophysical Union, Washington, D. C., pp. 99–110. https://doi.org/10.1029/GM032p0099</w:t>
      </w:r>
    </w:p>
    <w:p w14:paraId="3A508728" w14:textId="77777777" w:rsidR="004429A8" w:rsidRDefault="004429A8" w:rsidP="004429A8">
      <w:pPr>
        <w:pStyle w:val="Bibliographie"/>
        <w:jc w:val="both"/>
      </w:pPr>
      <w:r>
        <w:t>Von Damm, K.L., 1990. Seafloor hydrothermal activity: black smoker chemistry and chimneys. Annual Review of Earth and Planetary Sciences 18, 173–204.</w:t>
      </w:r>
    </w:p>
    <w:p w14:paraId="3E5DCFD0" w14:textId="77777777" w:rsidR="004429A8" w:rsidRDefault="004429A8" w:rsidP="004429A8">
      <w:pPr>
        <w:pStyle w:val="Bibliographie"/>
        <w:jc w:val="both"/>
      </w:pPr>
      <w:r>
        <w:t>Wefer, G., Fischer, G., 1993. Seasonal patterns of vertical particle flux in equatorial and coastal upwelling areas of the eastern Atlantic. Deep Sea Research Part I: Oceanographic Research Papers 40, 1613–1645. https://doi.org/10.1016/0967-0637(93)90019-Y</w:t>
      </w:r>
    </w:p>
    <w:p w14:paraId="2FFA46F0" w14:textId="77777777" w:rsidR="004429A8" w:rsidRPr="004429A8" w:rsidRDefault="004429A8" w:rsidP="004429A8">
      <w:pPr>
        <w:pStyle w:val="Bibliographie"/>
        <w:jc w:val="both"/>
        <w:rPr>
          <w:lang w:val="fr-FR"/>
        </w:rPr>
      </w:pPr>
      <w:r>
        <w:t xml:space="preserve">Whiteside, A., Dupouy, C., Singh, A., Bani, P., Tan, J., Frouin, R., 2023. Impact of ashes from the 2022 Tonga volcanic eruption on satellite ocean color signatures. </w:t>
      </w:r>
      <w:r w:rsidRPr="004429A8">
        <w:rPr>
          <w:lang w:val="fr-FR"/>
        </w:rPr>
        <w:t>Front. Mar. Sci. 9, 1028022. https://doi.org/10.3389/fmars.2022.1028022</w:t>
      </w:r>
    </w:p>
    <w:p w14:paraId="2F804000" w14:textId="77777777" w:rsidR="004429A8" w:rsidRDefault="004429A8" w:rsidP="004429A8">
      <w:pPr>
        <w:pStyle w:val="Bibliographie"/>
        <w:jc w:val="both"/>
      </w:pPr>
      <w:r w:rsidRPr="004429A8">
        <w:rPr>
          <w:lang w:val="fr-FR"/>
        </w:rPr>
        <w:t xml:space="preserve">Whiteside, A., Dupouy, C., Singh, A., Frouin, R., Menkes, C., Lefèvre, J., 2021. </w:t>
      </w:r>
      <w:r>
        <w:t xml:space="preserve">Automatic Detection of Optical Signatures within and around Floating Tonga-Fiji Pumice Rafts Using MODIS, </w:t>
      </w:r>
      <w:r>
        <w:lastRenderedPageBreak/>
        <w:t>VIIRS, and OLCI Satellite Sensors. Remote Sensing 13, 501. https://doi.org/10.3390/rs13030501</w:t>
      </w:r>
    </w:p>
    <w:p w14:paraId="66241F88" w14:textId="77777777" w:rsidR="004429A8" w:rsidRDefault="004429A8" w:rsidP="004429A8">
      <w:pPr>
        <w:pStyle w:val="Bibliographie"/>
        <w:jc w:val="both"/>
      </w:pPr>
      <w:r>
        <w:t>Zhang, H., Che, H., Xia, J., Cheng, Q., Qi, D., Cao, J., Luo, Y., 2022. Sedimentary CaCO3 Accumulation in the Deep West Pacific Ocean. Front. Earth Sci. 10, 857260. https://doi.org/10.3389/feart.2022.857260</w:t>
      </w:r>
    </w:p>
    <w:p w14:paraId="12DA94F4" w14:textId="77777777" w:rsidR="004429A8" w:rsidRDefault="004429A8" w:rsidP="004429A8">
      <w:pPr>
        <w:pStyle w:val="Bibliographie"/>
        <w:jc w:val="both"/>
      </w:pPr>
      <w:r>
        <w:t xml:space="preserve">Zhang, Q., Snow, J.T., Holdship, P., Price, D., Watson, P., Rickaby, R.E.M., 2018. Direct measurement of multi-elements in high matrix samples with a flow injection ICP-MS: application to the extended </w:t>
      </w:r>
      <w:r>
        <w:rPr>
          <w:i/>
          <w:iCs/>
        </w:rPr>
        <w:t>Emiliania huxleyi</w:t>
      </w:r>
      <w:r>
        <w:t xml:space="preserve"> Redfield ratio. J. Anal. At. Spectrom. 33, 1196–1208. https://doi.org/10.1039/C8JA00031J</w:t>
      </w:r>
    </w:p>
    <w:p w14:paraId="6691015F" w14:textId="77777777" w:rsidR="004429A8" w:rsidRDefault="004429A8" w:rsidP="004429A8">
      <w:pPr>
        <w:pStyle w:val="Bibliographie"/>
        <w:jc w:val="both"/>
      </w:pPr>
      <w:r>
        <w:t>Zierenberg, R.A., Adams, M.W.W., Arp, A.J., 2000. Life in extreme environments: Hydrothermal vents. Proceedings of the National Academy of Sciences 97, 12961–12962. https://doi.org/10.1073/pnas.210395997</w:t>
      </w:r>
    </w:p>
    <w:p w14:paraId="7530C30E" w14:textId="5052D845" w:rsidR="00CA0A6B" w:rsidRPr="0088513A" w:rsidRDefault="00DD4FE7" w:rsidP="004429A8">
      <w:pPr>
        <w:spacing w:before="0" w:line="480" w:lineRule="auto"/>
        <w:jc w:val="both"/>
        <w:rPr>
          <w:rFonts w:cs="Times New Roman"/>
          <w:szCs w:val="24"/>
        </w:rPr>
      </w:pPr>
      <w:r w:rsidRPr="00C41237">
        <w:rPr>
          <w:rFonts w:cs="Times New Roman"/>
          <w:sz w:val="18"/>
          <w:szCs w:val="18"/>
        </w:rPr>
        <w:fldChar w:fldCharType="end"/>
      </w:r>
    </w:p>
    <w:sectPr w:rsidR="00CA0A6B" w:rsidRPr="0088513A" w:rsidSect="00D537FA">
      <w:pgSz w:w="12240" w:h="15840"/>
      <w:pgMar w:top="1138" w:right="1181" w:bottom="1138" w:left="1282" w:header="283" w:footer="510" w:gutter="0"/>
      <w:lnNumType w:countBy="1" w:restart="continuou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C71A89" w14:textId="77777777" w:rsidR="00B21FD9" w:rsidRDefault="00B21FD9" w:rsidP="00117666">
      <w:pPr>
        <w:spacing w:after="0"/>
      </w:pPr>
      <w:r>
        <w:separator/>
      </w:r>
    </w:p>
  </w:endnote>
  <w:endnote w:type="continuationSeparator" w:id="0">
    <w:p w14:paraId="4DBE8DE4" w14:textId="77777777" w:rsidR="00B21FD9" w:rsidRDefault="00B21FD9"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Open Sans">
    <w:panose1 w:val="020B0606030504020204"/>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D3D87" w14:textId="7980A587" w:rsidR="00686C9D" w:rsidRPr="00577C4C" w:rsidRDefault="00C52A7B">
    <w:pPr>
      <w:pStyle w:val="Pieddepage"/>
      <w:rPr>
        <w:color w:val="C00000"/>
        <w:szCs w:val="24"/>
      </w:rPr>
    </w:pPr>
    <w:r>
      <w:rPr>
        <w:noProof/>
        <w:lang w:val="en-GB" w:eastAsia="en-GB"/>
      </w:rPr>
      <mc:AlternateContent>
        <mc:Choice Requires="wps">
          <w:drawing>
            <wp:anchor distT="0" distB="0" distL="114300" distR="114300" simplePos="0" relativeHeight="251665408" behindDoc="0" locked="0" layoutInCell="1" allowOverlap="1" wp14:anchorId="51D4B8BD" wp14:editId="575B1817">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214951C5" w14:textId="77777777" w:rsidR="00686C9D" w:rsidRPr="00577C4C" w:rsidRDefault="00C52A7B">
                          <w:pPr>
                            <w:pStyle w:val="Pieddepage"/>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88513A" w:rsidRPr="0088513A">
                            <w:rPr>
                              <w:noProof/>
                              <w:color w:val="000000" w:themeColor="text1"/>
                              <w:sz w:val="22"/>
                              <w:szCs w:val="40"/>
                            </w:rPr>
                            <w:t>4</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1D4B8BD" id="_x0000_t202" coordsize="21600,21600" o:spt="202" path="m,l,21600r21600,l21600,xe">
              <v:stroke joinstyle="miter"/>
              <v:path gradientshapeok="t" o:connecttype="rect"/>
            </v:shapetype>
            <v:shape id="Text Box 1" o:spid="_x0000_s1026" type="#_x0000_t202" style="position:absolute;margin-left:67.6pt;margin-top:0;width:118.8pt;height:31.15pt;z-index:251665408;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214951C5" w14:textId="77777777" w:rsidR="00686C9D" w:rsidRPr="00577C4C" w:rsidRDefault="00C52A7B">
                    <w:pPr>
                      <w:pStyle w:val="Pieddepage"/>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88513A" w:rsidRPr="0088513A">
                      <w:rPr>
                        <w:noProof/>
                        <w:color w:val="000000" w:themeColor="text1"/>
                        <w:sz w:val="22"/>
                        <w:szCs w:val="40"/>
                      </w:rPr>
                      <w:t>4</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0BFF2" w14:textId="77777777" w:rsidR="00686C9D" w:rsidRPr="00577C4C" w:rsidRDefault="00C52A7B">
    <w:pPr>
      <w:pStyle w:val="Pieddepage"/>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2C4AF3B6" wp14:editId="527467EE">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74D070C5" w14:textId="77777777" w:rsidR="00686C9D" w:rsidRPr="00577C4C" w:rsidRDefault="00C52A7B">
                          <w:pPr>
                            <w:pStyle w:val="Pieddepage"/>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88513A" w:rsidRPr="0088513A">
                            <w:rPr>
                              <w:noProof/>
                              <w:color w:val="000000" w:themeColor="text1"/>
                              <w:sz w:val="22"/>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C4AF3B6"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74D070C5" w14:textId="77777777" w:rsidR="00686C9D" w:rsidRPr="00577C4C" w:rsidRDefault="00C52A7B">
                    <w:pPr>
                      <w:pStyle w:val="Pieddepage"/>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88513A" w:rsidRPr="0088513A">
                      <w:rPr>
                        <w:noProof/>
                        <w:color w:val="000000" w:themeColor="text1"/>
                        <w:sz w:val="22"/>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2DEE13" w14:textId="77777777" w:rsidR="00B21FD9" w:rsidRDefault="00B21FD9" w:rsidP="00117666">
      <w:pPr>
        <w:spacing w:after="0"/>
      </w:pPr>
      <w:r>
        <w:separator/>
      </w:r>
    </w:p>
  </w:footnote>
  <w:footnote w:type="continuationSeparator" w:id="0">
    <w:p w14:paraId="713A9ECC" w14:textId="77777777" w:rsidR="00B21FD9" w:rsidRDefault="00B21FD9"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F27F1" w14:textId="1F36F0EB" w:rsidR="00686C9D" w:rsidRDefault="00C52A7B" w:rsidP="00A53000">
    <w:pPr>
      <w:pStyle w:val="En-tte"/>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44328928"/>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8A03CD"/>
    <w:multiLevelType w:val="multilevel"/>
    <w:tmpl w:val="ADB20CA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EC0601A"/>
    <w:multiLevelType w:val="multilevel"/>
    <w:tmpl w:val="C6A8CCEA"/>
    <w:styleLink w:val="Headings"/>
    <w:lvl w:ilvl="0">
      <w:start w:val="1"/>
      <w:numFmt w:val="decimal"/>
      <w:pStyle w:val="Titre1"/>
      <w:lvlText w:val="%1"/>
      <w:lvlJc w:val="left"/>
      <w:pPr>
        <w:tabs>
          <w:tab w:val="num" w:pos="567"/>
        </w:tabs>
        <w:ind w:left="567" w:hanging="567"/>
      </w:pPr>
      <w:rPr>
        <w:rFonts w:hint="default"/>
      </w:rPr>
    </w:lvl>
    <w:lvl w:ilvl="1">
      <w:start w:val="1"/>
      <w:numFmt w:val="decimal"/>
      <w:pStyle w:val="Titre2"/>
      <w:lvlText w:val="%1.%2"/>
      <w:lvlJc w:val="left"/>
      <w:pPr>
        <w:tabs>
          <w:tab w:val="num" w:pos="567"/>
        </w:tabs>
        <w:ind w:left="567" w:hanging="567"/>
      </w:pPr>
      <w:rPr>
        <w:rFonts w:hint="default"/>
      </w:rPr>
    </w:lvl>
    <w:lvl w:ilvl="2">
      <w:start w:val="1"/>
      <w:numFmt w:val="decimal"/>
      <w:pStyle w:val="Titre3"/>
      <w:lvlText w:val="%1.%2.%3"/>
      <w:lvlJc w:val="left"/>
      <w:pPr>
        <w:tabs>
          <w:tab w:val="num" w:pos="567"/>
        </w:tabs>
        <w:ind w:left="567" w:hanging="567"/>
      </w:pPr>
      <w:rPr>
        <w:rFonts w:hint="default"/>
      </w:rPr>
    </w:lvl>
    <w:lvl w:ilvl="3">
      <w:start w:val="1"/>
      <w:numFmt w:val="decimal"/>
      <w:pStyle w:val="Titre4"/>
      <w:lvlText w:val="%1.%2.%3.%4"/>
      <w:lvlJc w:val="left"/>
      <w:pPr>
        <w:tabs>
          <w:tab w:val="num" w:pos="567"/>
        </w:tabs>
        <w:ind w:left="567" w:hanging="567"/>
      </w:pPr>
      <w:rPr>
        <w:rFonts w:hint="default"/>
      </w:rPr>
    </w:lvl>
    <w:lvl w:ilvl="4">
      <w:start w:val="1"/>
      <w:numFmt w:val="decimal"/>
      <w:pStyle w:val="Titre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4" w15:restartNumberingAfterBreak="0">
    <w:nsid w:val="225305B5"/>
    <w:multiLevelType w:val="hybridMultilevel"/>
    <w:tmpl w:val="4F8C24FA"/>
    <w:lvl w:ilvl="0" w:tplc="A9DCD718">
      <w:start w:val="1"/>
      <w:numFmt w:val="bullet"/>
      <w:pStyle w:val="Paragraphedeliste"/>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29B53EB9"/>
    <w:multiLevelType w:val="hybridMultilevel"/>
    <w:tmpl w:val="1130D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2A7CAC"/>
    <w:multiLevelType w:val="multilevel"/>
    <w:tmpl w:val="C6A8CCEA"/>
    <w:numStyleLink w:val="Headings"/>
  </w:abstractNum>
  <w:abstractNum w:abstractNumId="7" w15:restartNumberingAfterBreak="0">
    <w:nsid w:val="36D30736"/>
    <w:multiLevelType w:val="hybridMultilevel"/>
    <w:tmpl w:val="BC1E7B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817787E"/>
    <w:multiLevelType w:val="multilevel"/>
    <w:tmpl w:val="ADB20CA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AE92CDE"/>
    <w:multiLevelType w:val="hybridMultilevel"/>
    <w:tmpl w:val="294E0C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1539C0"/>
    <w:multiLevelType w:val="hybridMultilevel"/>
    <w:tmpl w:val="675E09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08E502C"/>
    <w:multiLevelType w:val="hybridMultilevel"/>
    <w:tmpl w:val="C2165F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4216449"/>
    <w:multiLevelType w:val="hybridMultilevel"/>
    <w:tmpl w:val="60E244E0"/>
    <w:lvl w:ilvl="0" w:tplc="BB925A66">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D8113DE"/>
    <w:multiLevelType w:val="multilevel"/>
    <w:tmpl w:val="ADB20CA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2290D83"/>
    <w:multiLevelType w:val="hybridMultilevel"/>
    <w:tmpl w:val="D1E4BA92"/>
    <w:lvl w:ilvl="0" w:tplc="E9807BE6">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DBC6F29"/>
    <w:multiLevelType w:val="multilevel"/>
    <w:tmpl w:val="C6A8CCEA"/>
    <w:numStyleLink w:val="Headings"/>
  </w:abstractNum>
  <w:abstractNum w:abstractNumId="18" w15:restartNumberingAfterBreak="0">
    <w:nsid w:val="7F983756"/>
    <w:multiLevelType w:val="multilevel"/>
    <w:tmpl w:val="F300CEF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0"/>
  </w:num>
  <w:num w:numId="2">
    <w:abstractNumId w:val="14"/>
  </w:num>
  <w:num w:numId="3">
    <w:abstractNumId w:val="1"/>
  </w:num>
  <w:num w:numId="4">
    <w:abstractNumId w:val="16"/>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9"/>
  </w:num>
  <w:num w:numId="8">
    <w:abstractNumId w:val="7"/>
  </w:num>
  <w:num w:numId="9">
    <w:abstractNumId w:val="10"/>
  </w:num>
  <w:num w:numId="10">
    <w:abstractNumId w:val="8"/>
  </w:num>
  <w:num w:numId="11">
    <w:abstractNumId w:val="2"/>
  </w:num>
  <w:num w:numId="12">
    <w:abstractNumId w:val="18"/>
  </w:num>
  <w:num w:numId="13">
    <w:abstractNumId w:val="13"/>
  </w:num>
  <w:num w:numId="14">
    <w:abstractNumId w:val="4"/>
  </w:num>
  <w:num w:numId="15">
    <w:abstractNumId w:val="12"/>
  </w:num>
  <w:num w:numId="16">
    <w:abstractNumId w:val="15"/>
  </w:num>
  <w:num w:numId="17">
    <w:abstractNumId w:val="3"/>
    <w:lvlOverride w:ilvl="0">
      <w:lvl w:ilvl="0">
        <w:start w:val="1"/>
        <w:numFmt w:val="decimal"/>
        <w:pStyle w:val="Titre1"/>
        <w:lvlText w:val="%1"/>
        <w:lvlJc w:val="left"/>
        <w:pPr>
          <w:tabs>
            <w:tab w:val="num" w:pos="567"/>
          </w:tabs>
          <w:ind w:left="567" w:hanging="567"/>
        </w:pPr>
        <w:rPr>
          <w:rFonts w:hint="default"/>
        </w:rPr>
      </w:lvl>
    </w:lvlOverride>
    <w:lvlOverride w:ilvl="1">
      <w:lvl w:ilvl="1">
        <w:start w:val="1"/>
        <w:numFmt w:val="decimal"/>
        <w:pStyle w:val="Titre2"/>
        <w:lvlText w:val="%1.%2"/>
        <w:lvlJc w:val="left"/>
        <w:pPr>
          <w:tabs>
            <w:tab w:val="num" w:pos="567"/>
          </w:tabs>
          <w:ind w:left="567" w:hanging="567"/>
        </w:pPr>
        <w:rPr>
          <w:rFonts w:hint="default"/>
        </w:rPr>
      </w:lvl>
    </w:lvlOverride>
    <w:lvlOverride w:ilvl="2">
      <w:lvl w:ilvl="2">
        <w:start w:val="1"/>
        <w:numFmt w:val="decimal"/>
        <w:pStyle w:val="Titre3"/>
        <w:lvlText w:val="%1.%2.%3"/>
        <w:lvlJc w:val="left"/>
        <w:pPr>
          <w:tabs>
            <w:tab w:val="num" w:pos="567"/>
          </w:tabs>
          <w:ind w:left="567" w:hanging="567"/>
        </w:pPr>
        <w:rPr>
          <w:rFonts w:hint="default"/>
        </w:rPr>
      </w:lvl>
    </w:lvlOverride>
    <w:lvlOverride w:ilvl="3">
      <w:lvl w:ilvl="3">
        <w:start w:val="1"/>
        <w:numFmt w:val="decimal"/>
        <w:pStyle w:val="Titre4"/>
        <w:lvlText w:val="%1.%2.%3.%4"/>
        <w:lvlJc w:val="left"/>
        <w:pPr>
          <w:tabs>
            <w:tab w:val="num" w:pos="567"/>
          </w:tabs>
          <w:ind w:left="567" w:hanging="567"/>
        </w:pPr>
        <w:rPr>
          <w:rFonts w:hint="default"/>
        </w:rPr>
      </w:lvl>
    </w:lvlOverride>
    <w:lvlOverride w:ilvl="4">
      <w:lvl w:ilvl="4">
        <w:start w:val="1"/>
        <w:numFmt w:val="decimal"/>
        <w:pStyle w:val="Titre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
  </w:num>
  <w:num w:numId="20">
    <w:abstractNumId w:val="17"/>
  </w:num>
  <w:num w:numId="21">
    <w:abstractNumId w:val="3"/>
  </w:num>
  <w:num w:numId="22">
    <w:abstractNumId w:val="3"/>
    <w:lvlOverride w:ilvl="0">
      <w:startOverride w:val="1"/>
      <w:lvl w:ilvl="0">
        <w:start w:val="1"/>
        <w:numFmt w:val="decimal"/>
        <w:pStyle w:val="Titre1"/>
        <w:lvlText w:val="%1"/>
        <w:lvlJc w:val="left"/>
        <w:pPr>
          <w:tabs>
            <w:tab w:val="num" w:pos="567"/>
          </w:tabs>
          <w:ind w:left="567" w:hanging="567"/>
        </w:pPr>
      </w:lvl>
    </w:lvlOverride>
    <w:lvlOverride w:ilvl="1">
      <w:startOverride w:val="1"/>
      <w:lvl w:ilvl="1">
        <w:start w:val="1"/>
        <w:numFmt w:val="decimal"/>
        <w:pStyle w:val="Titre2"/>
        <w:lvlText w:val="%1.%2"/>
        <w:lvlJc w:val="left"/>
        <w:pPr>
          <w:tabs>
            <w:tab w:val="num" w:pos="567"/>
          </w:tabs>
          <w:ind w:left="567" w:hanging="567"/>
        </w:pPr>
      </w:lvl>
    </w:lvlOverride>
    <w:lvlOverride w:ilvl="2">
      <w:startOverride w:val="1"/>
      <w:lvl w:ilvl="2">
        <w:start w:val="1"/>
        <w:numFmt w:val="decimal"/>
        <w:pStyle w:val="Titre3"/>
        <w:lvlText w:val=""/>
        <w:lvlJc w:val="left"/>
      </w:lvl>
    </w:lvlOverride>
    <w:lvlOverride w:ilvl="3">
      <w:startOverride w:val="1"/>
      <w:lvl w:ilvl="3">
        <w:start w:val="1"/>
        <w:numFmt w:val="decimal"/>
        <w:pStyle w:val="Titre4"/>
        <w:lvlText w:val=""/>
        <w:lvlJc w:val="left"/>
      </w:lvl>
    </w:lvlOverride>
    <w:lvlOverride w:ilvl="4">
      <w:startOverride w:val="1"/>
      <w:lvl w:ilvl="4">
        <w:start w:val="1"/>
        <w:numFmt w:val="decimal"/>
        <w:pStyle w:val="Titre5"/>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1821"/>
    <w:rsid w:val="000002C4"/>
    <w:rsid w:val="000023C4"/>
    <w:rsid w:val="000025F4"/>
    <w:rsid w:val="000054E2"/>
    <w:rsid w:val="000113EA"/>
    <w:rsid w:val="00011E03"/>
    <w:rsid w:val="00011E05"/>
    <w:rsid w:val="00015C17"/>
    <w:rsid w:val="00023D04"/>
    <w:rsid w:val="00023D1F"/>
    <w:rsid w:val="00034304"/>
    <w:rsid w:val="00034FC2"/>
    <w:rsid w:val="00035434"/>
    <w:rsid w:val="00036E29"/>
    <w:rsid w:val="00037DF4"/>
    <w:rsid w:val="00042FE0"/>
    <w:rsid w:val="0004466E"/>
    <w:rsid w:val="0004555F"/>
    <w:rsid w:val="00045678"/>
    <w:rsid w:val="000458E4"/>
    <w:rsid w:val="0004703C"/>
    <w:rsid w:val="00050FCC"/>
    <w:rsid w:val="00051076"/>
    <w:rsid w:val="00053D52"/>
    <w:rsid w:val="00054562"/>
    <w:rsid w:val="00056674"/>
    <w:rsid w:val="000606B5"/>
    <w:rsid w:val="00063D84"/>
    <w:rsid w:val="0006448F"/>
    <w:rsid w:val="00066312"/>
    <w:rsid w:val="0006636D"/>
    <w:rsid w:val="00071AFD"/>
    <w:rsid w:val="00077378"/>
    <w:rsid w:val="00077D53"/>
    <w:rsid w:val="00080739"/>
    <w:rsid w:val="00081394"/>
    <w:rsid w:val="00081954"/>
    <w:rsid w:val="000824EA"/>
    <w:rsid w:val="00082675"/>
    <w:rsid w:val="000828DA"/>
    <w:rsid w:val="000847DB"/>
    <w:rsid w:val="00087313"/>
    <w:rsid w:val="00091A2D"/>
    <w:rsid w:val="000920C3"/>
    <w:rsid w:val="00092501"/>
    <w:rsid w:val="00094475"/>
    <w:rsid w:val="000A0C4B"/>
    <w:rsid w:val="000A275C"/>
    <w:rsid w:val="000A2955"/>
    <w:rsid w:val="000A2CF4"/>
    <w:rsid w:val="000A4F10"/>
    <w:rsid w:val="000A674C"/>
    <w:rsid w:val="000A6B47"/>
    <w:rsid w:val="000B00B8"/>
    <w:rsid w:val="000B04BA"/>
    <w:rsid w:val="000B34BD"/>
    <w:rsid w:val="000B3DBC"/>
    <w:rsid w:val="000B51F5"/>
    <w:rsid w:val="000B5DA1"/>
    <w:rsid w:val="000B675C"/>
    <w:rsid w:val="000B7F9E"/>
    <w:rsid w:val="000C1245"/>
    <w:rsid w:val="000C128D"/>
    <w:rsid w:val="000C1752"/>
    <w:rsid w:val="000C2CB5"/>
    <w:rsid w:val="000C304A"/>
    <w:rsid w:val="000C69C7"/>
    <w:rsid w:val="000C7BB6"/>
    <w:rsid w:val="000C7E2A"/>
    <w:rsid w:val="000D03A9"/>
    <w:rsid w:val="000D1BDD"/>
    <w:rsid w:val="000D1C84"/>
    <w:rsid w:val="000D1D1D"/>
    <w:rsid w:val="000D39DC"/>
    <w:rsid w:val="000D6279"/>
    <w:rsid w:val="000D698A"/>
    <w:rsid w:val="000E0193"/>
    <w:rsid w:val="000E1862"/>
    <w:rsid w:val="000E367A"/>
    <w:rsid w:val="000E3FCA"/>
    <w:rsid w:val="000E7C20"/>
    <w:rsid w:val="000F21FD"/>
    <w:rsid w:val="000F35E7"/>
    <w:rsid w:val="000F4B55"/>
    <w:rsid w:val="000F4CFB"/>
    <w:rsid w:val="000F6382"/>
    <w:rsid w:val="000F75B9"/>
    <w:rsid w:val="001014BD"/>
    <w:rsid w:val="00102F66"/>
    <w:rsid w:val="00103650"/>
    <w:rsid w:val="00110394"/>
    <w:rsid w:val="001140A4"/>
    <w:rsid w:val="00116C72"/>
    <w:rsid w:val="00117666"/>
    <w:rsid w:val="001223A7"/>
    <w:rsid w:val="00123E36"/>
    <w:rsid w:val="001255FD"/>
    <w:rsid w:val="0012569A"/>
    <w:rsid w:val="0013093A"/>
    <w:rsid w:val="00131195"/>
    <w:rsid w:val="00133F31"/>
    <w:rsid w:val="00134256"/>
    <w:rsid w:val="0013496E"/>
    <w:rsid w:val="00135386"/>
    <w:rsid w:val="0013589D"/>
    <w:rsid w:val="001363ED"/>
    <w:rsid w:val="001376EC"/>
    <w:rsid w:val="0014273A"/>
    <w:rsid w:val="00143A0C"/>
    <w:rsid w:val="001442E8"/>
    <w:rsid w:val="00145698"/>
    <w:rsid w:val="00147395"/>
    <w:rsid w:val="001517AA"/>
    <w:rsid w:val="00151884"/>
    <w:rsid w:val="00152F21"/>
    <w:rsid w:val="0015351D"/>
    <w:rsid w:val="00154913"/>
    <w:rsid w:val="001552C9"/>
    <w:rsid w:val="00155F18"/>
    <w:rsid w:val="00157E05"/>
    <w:rsid w:val="00160584"/>
    <w:rsid w:val="0016073D"/>
    <w:rsid w:val="00160746"/>
    <w:rsid w:val="001618C0"/>
    <w:rsid w:val="0016306C"/>
    <w:rsid w:val="00163A4D"/>
    <w:rsid w:val="00164CBE"/>
    <w:rsid w:val="00167557"/>
    <w:rsid w:val="00167F9B"/>
    <w:rsid w:val="00170022"/>
    <w:rsid w:val="001701F1"/>
    <w:rsid w:val="001721FD"/>
    <w:rsid w:val="00173820"/>
    <w:rsid w:val="00177D84"/>
    <w:rsid w:val="00183780"/>
    <w:rsid w:val="00187405"/>
    <w:rsid w:val="001903A3"/>
    <w:rsid w:val="00194D79"/>
    <w:rsid w:val="00195A48"/>
    <w:rsid w:val="001964EF"/>
    <w:rsid w:val="001A02F0"/>
    <w:rsid w:val="001A2009"/>
    <w:rsid w:val="001B05C5"/>
    <w:rsid w:val="001B1A2C"/>
    <w:rsid w:val="001B291B"/>
    <w:rsid w:val="001B3CB4"/>
    <w:rsid w:val="001B46FD"/>
    <w:rsid w:val="001B4AFD"/>
    <w:rsid w:val="001B7942"/>
    <w:rsid w:val="001C1E50"/>
    <w:rsid w:val="001C24E9"/>
    <w:rsid w:val="001C4284"/>
    <w:rsid w:val="001C4C07"/>
    <w:rsid w:val="001C50BC"/>
    <w:rsid w:val="001D01CC"/>
    <w:rsid w:val="001D5C23"/>
    <w:rsid w:val="001E0135"/>
    <w:rsid w:val="001E06A8"/>
    <w:rsid w:val="001E269B"/>
    <w:rsid w:val="001E2FCF"/>
    <w:rsid w:val="001E3D4F"/>
    <w:rsid w:val="001E5EC5"/>
    <w:rsid w:val="001E6CF8"/>
    <w:rsid w:val="001F16EC"/>
    <w:rsid w:val="001F30DF"/>
    <w:rsid w:val="001F4780"/>
    <w:rsid w:val="001F4C07"/>
    <w:rsid w:val="001F5775"/>
    <w:rsid w:val="001F6F64"/>
    <w:rsid w:val="0020001E"/>
    <w:rsid w:val="00201321"/>
    <w:rsid w:val="0020186A"/>
    <w:rsid w:val="00202618"/>
    <w:rsid w:val="00203AFC"/>
    <w:rsid w:val="0021025B"/>
    <w:rsid w:val="00212953"/>
    <w:rsid w:val="00215B45"/>
    <w:rsid w:val="00216630"/>
    <w:rsid w:val="002166E1"/>
    <w:rsid w:val="00220AEA"/>
    <w:rsid w:val="002229A9"/>
    <w:rsid w:val="00223757"/>
    <w:rsid w:val="00224A02"/>
    <w:rsid w:val="00226954"/>
    <w:rsid w:val="00230002"/>
    <w:rsid w:val="00230761"/>
    <w:rsid w:val="002335A0"/>
    <w:rsid w:val="002337DF"/>
    <w:rsid w:val="00235A21"/>
    <w:rsid w:val="002410B1"/>
    <w:rsid w:val="0024180E"/>
    <w:rsid w:val="00241C75"/>
    <w:rsid w:val="00244D38"/>
    <w:rsid w:val="00245237"/>
    <w:rsid w:val="00246760"/>
    <w:rsid w:val="0024783E"/>
    <w:rsid w:val="00250BDC"/>
    <w:rsid w:val="00252688"/>
    <w:rsid w:val="002528D8"/>
    <w:rsid w:val="002528DE"/>
    <w:rsid w:val="0025293F"/>
    <w:rsid w:val="00253E4B"/>
    <w:rsid w:val="00254356"/>
    <w:rsid w:val="002557C1"/>
    <w:rsid w:val="0025594D"/>
    <w:rsid w:val="00255BBE"/>
    <w:rsid w:val="00256442"/>
    <w:rsid w:val="002627D4"/>
    <w:rsid w:val="002629A3"/>
    <w:rsid w:val="00262C63"/>
    <w:rsid w:val="00265660"/>
    <w:rsid w:val="002660E9"/>
    <w:rsid w:val="00267D18"/>
    <w:rsid w:val="00271874"/>
    <w:rsid w:val="002721D7"/>
    <w:rsid w:val="002724BA"/>
    <w:rsid w:val="0027486D"/>
    <w:rsid w:val="002752E0"/>
    <w:rsid w:val="00276D78"/>
    <w:rsid w:val="00281F59"/>
    <w:rsid w:val="0028573D"/>
    <w:rsid w:val="002868E2"/>
    <w:rsid w:val="002869C3"/>
    <w:rsid w:val="00290C1F"/>
    <w:rsid w:val="002936E4"/>
    <w:rsid w:val="00293C36"/>
    <w:rsid w:val="002946F0"/>
    <w:rsid w:val="00295462"/>
    <w:rsid w:val="00295EDF"/>
    <w:rsid w:val="00296B88"/>
    <w:rsid w:val="002A6388"/>
    <w:rsid w:val="002A6B53"/>
    <w:rsid w:val="002A71A2"/>
    <w:rsid w:val="002A7A5B"/>
    <w:rsid w:val="002B219C"/>
    <w:rsid w:val="002B2C10"/>
    <w:rsid w:val="002B5F71"/>
    <w:rsid w:val="002B64BB"/>
    <w:rsid w:val="002B7C36"/>
    <w:rsid w:val="002B7E73"/>
    <w:rsid w:val="002C4CB5"/>
    <w:rsid w:val="002C6090"/>
    <w:rsid w:val="002C614B"/>
    <w:rsid w:val="002C74CA"/>
    <w:rsid w:val="002D0007"/>
    <w:rsid w:val="002D0DDD"/>
    <w:rsid w:val="002D329C"/>
    <w:rsid w:val="002D3E90"/>
    <w:rsid w:val="002D42F7"/>
    <w:rsid w:val="002D5B69"/>
    <w:rsid w:val="002D5D96"/>
    <w:rsid w:val="002E1446"/>
    <w:rsid w:val="002E1C24"/>
    <w:rsid w:val="002E2E75"/>
    <w:rsid w:val="002E5A8F"/>
    <w:rsid w:val="002E6205"/>
    <w:rsid w:val="002F0AE5"/>
    <w:rsid w:val="002F1E3C"/>
    <w:rsid w:val="002F25FA"/>
    <w:rsid w:val="002F53B3"/>
    <w:rsid w:val="002F6B87"/>
    <w:rsid w:val="002F7426"/>
    <w:rsid w:val="002F744D"/>
    <w:rsid w:val="00302318"/>
    <w:rsid w:val="00303DE6"/>
    <w:rsid w:val="00310124"/>
    <w:rsid w:val="00311825"/>
    <w:rsid w:val="00313085"/>
    <w:rsid w:val="00314EA3"/>
    <w:rsid w:val="00317F36"/>
    <w:rsid w:val="00322BFC"/>
    <w:rsid w:val="00326B27"/>
    <w:rsid w:val="00334591"/>
    <w:rsid w:val="00337982"/>
    <w:rsid w:val="00340BD2"/>
    <w:rsid w:val="0034252B"/>
    <w:rsid w:val="00344039"/>
    <w:rsid w:val="00346F5F"/>
    <w:rsid w:val="00353697"/>
    <w:rsid w:val="003544FB"/>
    <w:rsid w:val="00354FAF"/>
    <w:rsid w:val="00355098"/>
    <w:rsid w:val="00355942"/>
    <w:rsid w:val="00357E5E"/>
    <w:rsid w:val="00360117"/>
    <w:rsid w:val="00360145"/>
    <w:rsid w:val="0036219D"/>
    <w:rsid w:val="0036321E"/>
    <w:rsid w:val="00363225"/>
    <w:rsid w:val="0036364B"/>
    <w:rsid w:val="003642DE"/>
    <w:rsid w:val="00365D63"/>
    <w:rsid w:val="00366E36"/>
    <w:rsid w:val="0036743B"/>
    <w:rsid w:val="0036793B"/>
    <w:rsid w:val="003718D5"/>
    <w:rsid w:val="00372151"/>
    <w:rsid w:val="00372682"/>
    <w:rsid w:val="00373BF0"/>
    <w:rsid w:val="00374FCB"/>
    <w:rsid w:val="003763E7"/>
    <w:rsid w:val="00376CC5"/>
    <w:rsid w:val="003838C5"/>
    <w:rsid w:val="0038494D"/>
    <w:rsid w:val="00384A43"/>
    <w:rsid w:val="003869CB"/>
    <w:rsid w:val="00386C19"/>
    <w:rsid w:val="003905D6"/>
    <w:rsid w:val="0039562E"/>
    <w:rsid w:val="0039573D"/>
    <w:rsid w:val="0039693B"/>
    <w:rsid w:val="003A18DE"/>
    <w:rsid w:val="003B0F63"/>
    <w:rsid w:val="003B4CA1"/>
    <w:rsid w:val="003B680F"/>
    <w:rsid w:val="003B7E12"/>
    <w:rsid w:val="003C217E"/>
    <w:rsid w:val="003C3EB5"/>
    <w:rsid w:val="003C6FF7"/>
    <w:rsid w:val="003D016A"/>
    <w:rsid w:val="003D0AFD"/>
    <w:rsid w:val="003D0C53"/>
    <w:rsid w:val="003D28AB"/>
    <w:rsid w:val="003D2F2D"/>
    <w:rsid w:val="003D4DFA"/>
    <w:rsid w:val="003D552A"/>
    <w:rsid w:val="003E0A86"/>
    <w:rsid w:val="003E1E7B"/>
    <w:rsid w:val="003E2975"/>
    <w:rsid w:val="003E5F3D"/>
    <w:rsid w:val="003F00B0"/>
    <w:rsid w:val="003F0337"/>
    <w:rsid w:val="003F624F"/>
    <w:rsid w:val="00401590"/>
    <w:rsid w:val="00402B41"/>
    <w:rsid w:val="00405EAE"/>
    <w:rsid w:val="00407252"/>
    <w:rsid w:val="00410757"/>
    <w:rsid w:val="00412B49"/>
    <w:rsid w:val="00413B51"/>
    <w:rsid w:val="0041450D"/>
    <w:rsid w:val="00415E36"/>
    <w:rsid w:val="0041625A"/>
    <w:rsid w:val="004163D5"/>
    <w:rsid w:val="00416D68"/>
    <w:rsid w:val="0042290B"/>
    <w:rsid w:val="00422C94"/>
    <w:rsid w:val="00424756"/>
    <w:rsid w:val="00425981"/>
    <w:rsid w:val="00426E0D"/>
    <w:rsid w:val="004271EA"/>
    <w:rsid w:val="00430C1C"/>
    <w:rsid w:val="004316FF"/>
    <w:rsid w:val="004319F6"/>
    <w:rsid w:val="00432BBF"/>
    <w:rsid w:val="00434A0B"/>
    <w:rsid w:val="00436405"/>
    <w:rsid w:val="0043662E"/>
    <w:rsid w:val="00436B97"/>
    <w:rsid w:val="004429A8"/>
    <w:rsid w:val="00443E7A"/>
    <w:rsid w:val="00444D1D"/>
    <w:rsid w:val="00444DE2"/>
    <w:rsid w:val="0044515E"/>
    <w:rsid w:val="00445586"/>
    <w:rsid w:val="00450B6B"/>
    <w:rsid w:val="00451893"/>
    <w:rsid w:val="00452B3B"/>
    <w:rsid w:val="00452DC4"/>
    <w:rsid w:val="00452E08"/>
    <w:rsid w:val="00453552"/>
    <w:rsid w:val="00455BD0"/>
    <w:rsid w:val="0045654A"/>
    <w:rsid w:val="0045666A"/>
    <w:rsid w:val="004632D0"/>
    <w:rsid w:val="00463E3D"/>
    <w:rsid w:val="00464588"/>
    <w:rsid w:val="004645AE"/>
    <w:rsid w:val="0046586A"/>
    <w:rsid w:val="00465F5B"/>
    <w:rsid w:val="004674B2"/>
    <w:rsid w:val="004729D1"/>
    <w:rsid w:val="00476BDC"/>
    <w:rsid w:val="00477BE0"/>
    <w:rsid w:val="00481C68"/>
    <w:rsid w:val="00482ABD"/>
    <w:rsid w:val="00482CAB"/>
    <w:rsid w:val="004835E8"/>
    <w:rsid w:val="004839A7"/>
    <w:rsid w:val="00483B50"/>
    <w:rsid w:val="00483BFF"/>
    <w:rsid w:val="0049044F"/>
    <w:rsid w:val="00490637"/>
    <w:rsid w:val="004925B0"/>
    <w:rsid w:val="00495C6F"/>
    <w:rsid w:val="0049636D"/>
    <w:rsid w:val="004A03E2"/>
    <w:rsid w:val="004B43A2"/>
    <w:rsid w:val="004B694E"/>
    <w:rsid w:val="004C317C"/>
    <w:rsid w:val="004C4806"/>
    <w:rsid w:val="004C595E"/>
    <w:rsid w:val="004C60A5"/>
    <w:rsid w:val="004D3E33"/>
    <w:rsid w:val="004D4F6E"/>
    <w:rsid w:val="004D7A2F"/>
    <w:rsid w:val="004E1EB9"/>
    <w:rsid w:val="004E5ACE"/>
    <w:rsid w:val="004F5B90"/>
    <w:rsid w:val="00500FDB"/>
    <w:rsid w:val="00501D2F"/>
    <w:rsid w:val="00505C6B"/>
    <w:rsid w:val="00506248"/>
    <w:rsid w:val="00506461"/>
    <w:rsid w:val="00510454"/>
    <w:rsid w:val="005121F3"/>
    <w:rsid w:val="00512E61"/>
    <w:rsid w:val="00513A40"/>
    <w:rsid w:val="005152B3"/>
    <w:rsid w:val="00517845"/>
    <w:rsid w:val="00522F7D"/>
    <w:rsid w:val="005249CB"/>
    <w:rsid w:val="005250F2"/>
    <w:rsid w:val="00525D52"/>
    <w:rsid w:val="0052651F"/>
    <w:rsid w:val="005267D9"/>
    <w:rsid w:val="005270E1"/>
    <w:rsid w:val="005309AC"/>
    <w:rsid w:val="00531A5E"/>
    <w:rsid w:val="00532493"/>
    <w:rsid w:val="00532D73"/>
    <w:rsid w:val="005418DE"/>
    <w:rsid w:val="00542A5A"/>
    <w:rsid w:val="00544701"/>
    <w:rsid w:val="005452BA"/>
    <w:rsid w:val="00545434"/>
    <w:rsid w:val="005473BA"/>
    <w:rsid w:val="00555563"/>
    <w:rsid w:val="00556752"/>
    <w:rsid w:val="00557DE9"/>
    <w:rsid w:val="00557E49"/>
    <w:rsid w:val="00561922"/>
    <w:rsid w:val="00561BEE"/>
    <w:rsid w:val="00562536"/>
    <w:rsid w:val="00563A9A"/>
    <w:rsid w:val="0056636A"/>
    <w:rsid w:val="00567307"/>
    <w:rsid w:val="00571736"/>
    <w:rsid w:val="005738AD"/>
    <w:rsid w:val="00574035"/>
    <w:rsid w:val="005742DE"/>
    <w:rsid w:val="00574524"/>
    <w:rsid w:val="005756F0"/>
    <w:rsid w:val="0057699C"/>
    <w:rsid w:val="005778CA"/>
    <w:rsid w:val="00583D81"/>
    <w:rsid w:val="00590D51"/>
    <w:rsid w:val="005922BB"/>
    <w:rsid w:val="00593415"/>
    <w:rsid w:val="0059408B"/>
    <w:rsid w:val="00594ED9"/>
    <w:rsid w:val="00595C78"/>
    <w:rsid w:val="00596C59"/>
    <w:rsid w:val="005A1D84"/>
    <w:rsid w:val="005A268D"/>
    <w:rsid w:val="005A5256"/>
    <w:rsid w:val="005A5A4F"/>
    <w:rsid w:val="005A70EA"/>
    <w:rsid w:val="005B18E2"/>
    <w:rsid w:val="005B62DF"/>
    <w:rsid w:val="005C0D33"/>
    <w:rsid w:val="005C2286"/>
    <w:rsid w:val="005C28E0"/>
    <w:rsid w:val="005C2B64"/>
    <w:rsid w:val="005C3963"/>
    <w:rsid w:val="005C4194"/>
    <w:rsid w:val="005C4926"/>
    <w:rsid w:val="005D1840"/>
    <w:rsid w:val="005D1CB6"/>
    <w:rsid w:val="005D1DA4"/>
    <w:rsid w:val="005D35E4"/>
    <w:rsid w:val="005D377D"/>
    <w:rsid w:val="005D3E3C"/>
    <w:rsid w:val="005D3F6E"/>
    <w:rsid w:val="005D4803"/>
    <w:rsid w:val="005D58D1"/>
    <w:rsid w:val="005D5E3C"/>
    <w:rsid w:val="005D7910"/>
    <w:rsid w:val="005E1217"/>
    <w:rsid w:val="005E4190"/>
    <w:rsid w:val="005E5750"/>
    <w:rsid w:val="005F2602"/>
    <w:rsid w:val="005F39F3"/>
    <w:rsid w:val="005F7097"/>
    <w:rsid w:val="0060098F"/>
    <w:rsid w:val="00601C0C"/>
    <w:rsid w:val="006027FF"/>
    <w:rsid w:val="0060456C"/>
    <w:rsid w:val="006078B7"/>
    <w:rsid w:val="00607F5B"/>
    <w:rsid w:val="006155D3"/>
    <w:rsid w:val="00616233"/>
    <w:rsid w:val="0062154F"/>
    <w:rsid w:val="0062501B"/>
    <w:rsid w:val="00627BBE"/>
    <w:rsid w:val="006315A1"/>
    <w:rsid w:val="0063177D"/>
    <w:rsid w:val="00631A8C"/>
    <w:rsid w:val="00632A10"/>
    <w:rsid w:val="00635EBF"/>
    <w:rsid w:val="00637FA8"/>
    <w:rsid w:val="00642DF6"/>
    <w:rsid w:val="0064472D"/>
    <w:rsid w:val="00646ABB"/>
    <w:rsid w:val="00646C43"/>
    <w:rsid w:val="00651CA2"/>
    <w:rsid w:val="00653D00"/>
    <w:rsid w:val="00653D60"/>
    <w:rsid w:val="0065705B"/>
    <w:rsid w:val="00657192"/>
    <w:rsid w:val="0066071E"/>
    <w:rsid w:val="00660D05"/>
    <w:rsid w:val="00662F7E"/>
    <w:rsid w:val="0066300E"/>
    <w:rsid w:val="00670FBC"/>
    <w:rsid w:val="00671D9A"/>
    <w:rsid w:val="00673952"/>
    <w:rsid w:val="00673A74"/>
    <w:rsid w:val="00674A24"/>
    <w:rsid w:val="00676BE6"/>
    <w:rsid w:val="0067766C"/>
    <w:rsid w:val="0067795C"/>
    <w:rsid w:val="006812C9"/>
    <w:rsid w:val="00681821"/>
    <w:rsid w:val="00683711"/>
    <w:rsid w:val="00684276"/>
    <w:rsid w:val="00685103"/>
    <w:rsid w:val="00686C9D"/>
    <w:rsid w:val="00687BAB"/>
    <w:rsid w:val="00690DA1"/>
    <w:rsid w:val="00691F8C"/>
    <w:rsid w:val="00692134"/>
    <w:rsid w:val="00693F68"/>
    <w:rsid w:val="00694FD4"/>
    <w:rsid w:val="006959A8"/>
    <w:rsid w:val="00696A34"/>
    <w:rsid w:val="00696AD8"/>
    <w:rsid w:val="006971E1"/>
    <w:rsid w:val="006A6453"/>
    <w:rsid w:val="006B1B83"/>
    <w:rsid w:val="006B1E5D"/>
    <w:rsid w:val="006B2D5B"/>
    <w:rsid w:val="006B361D"/>
    <w:rsid w:val="006B5B0A"/>
    <w:rsid w:val="006B7262"/>
    <w:rsid w:val="006B7781"/>
    <w:rsid w:val="006B7D14"/>
    <w:rsid w:val="006C0310"/>
    <w:rsid w:val="006C3E99"/>
    <w:rsid w:val="006C452E"/>
    <w:rsid w:val="006C6F88"/>
    <w:rsid w:val="006D0404"/>
    <w:rsid w:val="006D0BC3"/>
    <w:rsid w:val="006D0F7F"/>
    <w:rsid w:val="006D5B93"/>
    <w:rsid w:val="006D5E24"/>
    <w:rsid w:val="006E05AC"/>
    <w:rsid w:val="006E62BF"/>
    <w:rsid w:val="006E67D1"/>
    <w:rsid w:val="006F065F"/>
    <w:rsid w:val="006F1600"/>
    <w:rsid w:val="006F2271"/>
    <w:rsid w:val="006F4F31"/>
    <w:rsid w:val="006F5CA7"/>
    <w:rsid w:val="006F5D62"/>
    <w:rsid w:val="007032EB"/>
    <w:rsid w:val="007035C3"/>
    <w:rsid w:val="007120F5"/>
    <w:rsid w:val="00713725"/>
    <w:rsid w:val="00714BB6"/>
    <w:rsid w:val="00715A29"/>
    <w:rsid w:val="00715B72"/>
    <w:rsid w:val="00717D5A"/>
    <w:rsid w:val="00720D16"/>
    <w:rsid w:val="00721887"/>
    <w:rsid w:val="00724265"/>
    <w:rsid w:val="00725A7D"/>
    <w:rsid w:val="0072736B"/>
    <w:rsid w:val="0073085C"/>
    <w:rsid w:val="00730E1E"/>
    <w:rsid w:val="00732860"/>
    <w:rsid w:val="00733784"/>
    <w:rsid w:val="0073531A"/>
    <w:rsid w:val="0073596D"/>
    <w:rsid w:val="00736269"/>
    <w:rsid w:val="007367C6"/>
    <w:rsid w:val="00736970"/>
    <w:rsid w:val="007371DE"/>
    <w:rsid w:val="00740390"/>
    <w:rsid w:val="00740ADF"/>
    <w:rsid w:val="0074189A"/>
    <w:rsid w:val="00746505"/>
    <w:rsid w:val="007469FF"/>
    <w:rsid w:val="00746CE2"/>
    <w:rsid w:val="00747E7C"/>
    <w:rsid w:val="00751380"/>
    <w:rsid w:val="00752830"/>
    <w:rsid w:val="007554E7"/>
    <w:rsid w:val="007558CC"/>
    <w:rsid w:val="00755CB5"/>
    <w:rsid w:val="00775A10"/>
    <w:rsid w:val="00776E93"/>
    <w:rsid w:val="0078084F"/>
    <w:rsid w:val="0078327B"/>
    <w:rsid w:val="00783842"/>
    <w:rsid w:val="00783E9B"/>
    <w:rsid w:val="0078477A"/>
    <w:rsid w:val="007874EE"/>
    <w:rsid w:val="00790099"/>
    <w:rsid w:val="00790BB3"/>
    <w:rsid w:val="0079162F"/>
    <w:rsid w:val="00791E7C"/>
    <w:rsid w:val="00792043"/>
    <w:rsid w:val="00792096"/>
    <w:rsid w:val="00794391"/>
    <w:rsid w:val="00794814"/>
    <w:rsid w:val="007953DA"/>
    <w:rsid w:val="00795E42"/>
    <w:rsid w:val="00797940"/>
    <w:rsid w:val="00797EDD"/>
    <w:rsid w:val="00797FDB"/>
    <w:rsid w:val="007A1185"/>
    <w:rsid w:val="007A32A9"/>
    <w:rsid w:val="007A3581"/>
    <w:rsid w:val="007A417C"/>
    <w:rsid w:val="007A453A"/>
    <w:rsid w:val="007A5B79"/>
    <w:rsid w:val="007A7C9D"/>
    <w:rsid w:val="007B0322"/>
    <w:rsid w:val="007B0E5A"/>
    <w:rsid w:val="007B355B"/>
    <w:rsid w:val="007B3E8A"/>
    <w:rsid w:val="007B44B3"/>
    <w:rsid w:val="007B72E3"/>
    <w:rsid w:val="007C0E3F"/>
    <w:rsid w:val="007C206C"/>
    <w:rsid w:val="007C3190"/>
    <w:rsid w:val="007C442C"/>
    <w:rsid w:val="007C5729"/>
    <w:rsid w:val="007D0C10"/>
    <w:rsid w:val="007D338E"/>
    <w:rsid w:val="007D36B1"/>
    <w:rsid w:val="007D6012"/>
    <w:rsid w:val="007D6422"/>
    <w:rsid w:val="007D66D5"/>
    <w:rsid w:val="007D71D3"/>
    <w:rsid w:val="007D7250"/>
    <w:rsid w:val="007D752F"/>
    <w:rsid w:val="007D75DA"/>
    <w:rsid w:val="007E1300"/>
    <w:rsid w:val="007E31C5"/>
    <w:rsid w:val="007F4525"/>
    <w:rsid w:val="007F45C1"/>
    <w:rsid w:val="007F4B8E"/>
    <w:rsid w:val="007F7BCC"/>
    <w:rsid w:val="0080059D"/>
    <w:rsid w:val="00801493"/>
    <w:rsid w:val="008019F3"/>
    <w:rsid w:val="00805839"/>
    <w:rsid w:val="008058CA"/>
    <w:rsid w:val="00807D21"/>
    <w:rsid w:val="008111E4"/>
    <w:rsid w:val="00811321"/>
    <w:rsid w:val="00811698"/>
    <w:rsid w:val="008122D2"/>
    <w:rsid w:val="0081301C"/>
    <w:rsid w:val="0081425D"/>
    <w:rsid w:val="008166C0"/>
    <w:rsid w:val="00817DD6"/>
    <w:rsid w:val="00820251"/>
    <w:rsid w:val="0082138E"/>
    <w:rsid w:val="00826087"/>
    <w:rsid w:val="00827676"/>
    <w:rsid w:val="00837414"/>
    <w:rsid w:val="0084042B"/>
    <w:rsid w:val="00850A21"/>
    <w:rsid w:val="00850ED1"/>
    <w:rsid w:val="00853A53"/>
    <w:rsid w:val="00853C2F"/>
    <w:rsid w:val="008556C5"/>
    <w:rsid w:val="00861114"/>
    <w:rsid w:val="008629A9"/>
    <w:rsid w:val="008645BA"/>
    <w:rsid w:val="00864940"/>
    <w:rsid w:val="00875C2D"/>
    <w:rsid w:val="00876FB0"/>
    <w:rsid w:val="008778E5"/>
    <w:rsid w:val="008806E5"/>
    <w:rsid w:val="00882B48"/>
    <w:rsid w:val="0088513A"/>
    <w:rsid w:val="00885299"/>
    <w:rsid w:val="008933E4"/>
    <w:rsid w:val="00893C19"/>
    <w:rsid w:val="00896C9A"/>
    <w:rsid w:val="008A0469"/>
    <w:rsid w:val="008A0BEE"/>
    <w:rsid w:val="008A3013"/>
    <w:rsid w:val="008A30C8"/>
    <w:rsid w:val="008A3AB8"/>
    <w:rsid w:val="008A5DD0"/>
    <w:rsid w:val="008A72FE"/>
    <w:rsid w:val="008A7C1C"/>
    <w:rsid w:val="008B1FF6"/>
    <w:rsid w:val="008B734F"/>
    <w:rsid w:val="008C459B"/>
    <w:rsid w:val="008C7132"/>
    <w:rsid w:val="008D3A1F"/>
    <w:rsid w:val="008D5A8A"/>
    <w:rsid w:val="008D6C8D"/>
    <w:rsid w:val="008D7B88"/>
    <w:rsid w:val="008E04B6"/>
    <w:rsid w:val="008E21B8"/>
    <w:rsid w:val="008E2B54"/>
    <w:rsid w:val="008E4404"/>
    <w:rsid w:val="008E514D"/>
    <w:rsid w:val="008E58C7"/>
    <w:rsid w:val="008F1835"/>
    <w:rsid w:val="008F18F3"/>
    <w:rsid w:val="008F23CC"/>
    <w:rsid w:val="008F3143"/>
    <w:rsid w:val="008F3778"/>
    <w:rsid w:val="008F40F1"/>
    <w:rsid w:val="008F5021"/>
    <w:rsid w:val="008F6A3B"/>
    <w:rsid w:val="008F6B22"/>
    <w:rsid w:val="00903093"/>
    <w:rsid w:val="009070AC"/>
    <w:rsid w:val="00907C4C"/>
    <w:rsid w:val="00911EC4"/>
    <w:rsid w:val="009130E6"/>
    <w:rsid w:val="00913CA9"/>
    <w:rsid w:val="00913F3D"/>
    <w:rsid w:val="0091457E"/>
    <w:rsid w:val="00915DDE"/>
    <w:rsid w:val="00917ADA"/>
    <w:rsid w:val="0092120E"/>
    <w:rsid w:val="0092219C"/>
    <w:rsid w:val="00924144"/>
    <w:rsid w:val="009243F3"/>
    <w:rsid w:val="0092611F"/>
    <w:rsid w:val="009309C4"/>
    <w:rsid w:val="00934E99"/>
    <w:rsid w:val="00943573"/>
    <w:rsid w:val="00946288"/>
    <w:rsid w:val="009465F7"/>
    <w:rsid w:val="00946A63"/>
    <w:rsid w:val="00946EE2"/>
    <w:rsid w:val="009473FA"/>
    <w:rsid w:val="009476E4"/>
    <w:rsid w:val="00947D0D"/>
    <w:rsid w:val="00952577"/>
    <w:rsid w:val="009562A6"/>
    <w:rsid w:val="00957BA8"/>
    <w:rsid w:val="00962D52"/>
    <w:rsid w:val="009648AE"/>
    <w:rsid w:val="00971B61"/>
    <w:rsid w:val="009724C7"/>
    <w:rsid w:val="00973918"/>
    <w:rsid w:val="00974C33"/>
    <w:rsid w:val="00976016"/>
    <w:rsid w:val="0097603C"/>
    <w:rsid w:val="00980270"/>
    <w:rsid w:val="00980C31"/>
    <w:rsid w:val="0098663C"/>
    <w:rsid w:val="00986804"/>
    <w:rsid w:val="00990FEA"/>
    <w:rsid w:val="00991008"/>
    <w:rsid w:val="009911AC"/>
    <w:rsid w:val="009916F0"/>
    <w:rsid w:val="0099350A"/>
    <w:rsid w:val="009940EF"/>
    <w:rsid w:val="009955FF"/>
    <w:rsid w:val="00997293"/>
    <w:rsid w:val="009A0C77"/>
    <w:rsid w:val="009A27B0"/>
    <w:rsid w:val="009A2A5F"/>
    <w:rsid w:val="009A734B"/>
    <w:rsid w:val="009B1470"/>
    <w:rsid w:val="009B2A6C"/>
    <w:rsid w:val="009B3282"/>
    <w:rsid w:val="009B4B8C"/>
    <w:rsid w:val="009B78F0"/>
    <w:rsid w:val="009C14FD"/>
    <w:rsid w:val="009C3E91"/>
    <w:rsid w:val="009C6AF7"/>
    <w:rsid w:val="009D01AB"/>
    <w:rsid w:val="009D02EC"/>
    <w:rsid w:val="009D0E05"/>
    <w:rsid w:val="009D259D"/>
    <w:rsid w:val="009D2A3E"/>
    <w:rsid w:val="009D2F21"/>
    <w:rsid w:val="009D30EA"/>
    <w:rsid w:val="009D3E1C"/>
    <w:rsid w:val="009D40AD"/>
    <w:rsid w:val="009D53C9"/>
    <w:rsid w:val="009D75B5"/>
    <w:rsid w:val="009E0EBB"/>
    <w:rsid w:val="009E3C46"/>
    <w:rsid w:val="009F03E4"/>
    <w:rsid w:val="009F1EEC"/>
    <w:rsid w:val="009F6B2C"/>
    <w:rsid w:val="009F72D0"/>
    <w:rsid w:val="00A02309"/>
    <w:rsid w:val="00A028D9"/>
    <w:rsid w:val="00A051DA"/>
    <w:rsid w:val="00A05AF4"/>
    <w:rsid w:val="00A0601D"/>
    <w:rsid w:val="00A10334"/>
    <w:rsid w:val="00A10F4B"/>
    <w:rsid w:val="00A12016"/>
    <w:rsid w:val="00A158F1"/>
    <w:rsid w:val="00A15BCB"/>
    <w:rsid w:val="00A21D6B"/>
    <w:rsid w:val="00A22542"/>
    <w:rsid w:val="00A22762"/>
    <w:rsid w:val="00A244AE"/>
    <w:rsid w:val="00A24788"/>
    <w:rsid w:val="00A25E66"/>
    <w:rsid w:val="00A267F6"/>
    <w:rsid w:val="00A26D24"/>
    <w:rsid w:val="00A32861"/>
    <w:rsid w:val="00A33E1D"/>
    <w:rsid w:val="00A347BC"/>
    <w:rsid w:val="00A35892"/>
    <w:rsid w:val="00A36AE3"/>
    <w:rsid w:val="00A41799"/>
    <w:rsid w:val="00A43F85"/>
    <w:rsid w:val="00A44B82"/>
    <w:rsid w:val="00A50D9D"/>
    <w:rsid w:val="00A53000"/>
    <w:rsid w:val="00A545A5"/>
    <w:rsid w:val="00A545C6"/>
    <w:rsid w:val="00A54786"/>
    <w:rsid w:val="00A5530F"/>
    <w:rsid w:val="00A567E9"/>
    <w:rsid w:val="00A57255"/>
    <w:rsid w:val="00A6140F"/>
    <w:rsid w:val="00A62CB6"/>
    <w:rsid w:val="00A630AE"/>
    <w:rsid w:val="00A65266"/>
    <w:rsid w:val="00A652D0"/>
    <w:rsid w:val="00A67B0C"/>
    <w:rsid w:val="00A715E2"/>
    <w:rsid w:val="00A73E2D"/>
    <w:rsid w:val="00A74A46"/>
    <w:rsid w:val="00A75F87"/>
    <w:rsid w:val="00A77156"/>
    <w:rsid w:val="00A77DD2"/>
    <w:rsid w:val="00A77EEB"/>
    <w:rsid w:val="00A8053C"/>
    <w:rsid w:val="00A83989"/>
    <w:rsid w:val="00A9174F"/>
    <w:rsid w:val="00A95D8B"/>
    <w:rsid w:val="00A96EC7"/>
    <w:rsid w:val="00A9759D"/>
    <w:rsid w:val="00AA0CCC"/>
    <w:rsid w:val="00AA19A4"/>
    <w:rsid w:val="00AA4E6D"/>
    <w:rsid w:val="00AA5F87"/>
    <w:rsid w:val="00AA6183"/>
    <w:rsid w:val="00AA6F85"/>
    <w:rsid w:val="00AA74F7"/>
    <w:rsid w:val="00AB11A6"/>
    <w:rsid w:val="00AB19BA"/>
    <w:rsid w:val="00AB4AAE"/>
    <w:rsid w:val="00AB73BC"/>
    <w:rsid w:val="00AB76BF"/>
    <w:rsid w:val="00AC0270"/>
    <w:rsid w:val="00AC3EA3"/>
    <w:rsid w:val="00AC40F7"/>
    <w:rsid w:val="00AC792D"/>
    <w:rsid w:val="00AD0411"/>
    <w:rsid w:val="00AD0CDB"/>
    <w:rsid w:val="00AD17D0"/>
    <w:rsid w:val="00AD22E5"/>
    <w:rsid w:val="00AD2C9D"/>
    <w:rsid w:val="00AE1748"/>
    <w:rsid w:val="00AE3520"/>
    <w:rsid w:val="00AE35CD"/>
    <w:rsid w:val="00AE3808"/>
    <w:rsid w:val="00AE446B"/>
    <w:rsid w:val="00AE71DB"/>
    <w:rsid w:val="00AF031B"/>
    <w:rsid w:val="00AF223E"/>
    <w:rsid w:val="00AF26C5"/>
    <w:rsid w:val="00AF2975"/>
    <w:rsid w:val="00AF2AA0"/>
    <w:rsid w:val="00AF2C17"/>
    <w:rsid w:val="00AF4321"/>
    <w:rsid w:val="00AF5768"/>
    <w:rsid w:val="00AF6F95"/>
    <w:rsid w:val="00B0187E"/>
    <w:rsid w:val="00B03876"/>
    <w:rsid w:val="00B03C2E"/>
    <w:rsid w:val="00B0674D"/>
    <w:rsid w:val="00B07D59"/>
    <w:rsid w:val="00B12033"/>
    <w:rsid w:val="00B14263"/>
    <w:rsid w:val="00B20DF1"/>
    <w:rsid w:val="00B21F0D"/>
    <w:rsid w:val="00B21FD9"/>
    <w:rsid w:val="00B22A64"/>
    <w:rsid w:val="00B233FA"/>
    <w:rsid w:val="00B2797C"/>
    <w:rsid w:val="00B305B8"/>
    <w:rsid w:val="00B31E6E"/>
    <w:rsid w:val="00B3325D"/>
    <w:rsid w:val="00B33704"/>
    <w:rsid w:val="00B350C5"/>
    <w:rsid w:val="00B35570"/>
    <w:rsid w:val="00B37A6B"/>
    <w:rsid w:val="00B41F98"/>
    <w:rsid w:val="00B42562"/>
    <w:rsid w:val="00B4693F"/>
    <w:rsid w:val="00B553C4"/>
    <w:rsid w:val="00B56422"/>
    <w:rsid w:val="00B573A4"/>
    <w:rsid w:val="00B57773"/>
    <w:rsid w:val="00B6027B"/>
    <w:rsid w:val="00B6040A"/>
    <w:rsid w:val="00B6099E"/>
    <w:rsid w:val="00B618AB"/>
    <w:rsid w:val="00B61CC1"/>
    <w:rsid w:val="00B627E4"/>
    <w:rsid w:val="00B650EB"/>
    <w:rsid w:val="00B657B8"/>
    <w:rsid w:val="00B67B25"/>
    <w:rsid w:val="00B707A9"/>
    <w:rsid w:val="00B74BF4"/>
    <w:rsid w:val="00B75941"/>
    <w:rsid w:val="00B75D0B"/>
    <w:rsid w:val="00B76BF4"/>
    <w:rsid w:val="00B80BBB"/>
    <w:rsid w:val="00B833A0"/>
    <w:rsid w:val="00B839E6"/>
    <w:rsid w:val="00B8486A"/>
    <w:rsid w:val="00B84920"/>
    <w:rsid w:val="00B85235"/>
    <w:rsid w:val="00B8556A"/>
    <w:rsid w:val="00B855FE"/>
    <w:rsid w:val="00B867D6"/>
    <w:rsid w:val="00B86C10"/>
    <w:rsid w:val="00B923D9"/>
    <w:rsid w:val="00B925E6"/>
    <w:rsid w:val="00BA1A6E"/>
    <w:rsid w:val="00BA259B"/>
    <w:rsid w:val="00BA3733"/>
    <w:rsid w:val="00BA49D3"/>
    <w:rsid w:val="00BA4A82"/>
    <w:rsid w:val="00BA56B2"/>
    <w:rsid w:val="00BA58E3"/>
    <w:rsid w:val="00BA6246"/>
    <w:rsid w:val="00BB0AB1"/>
    <w:rsid w:val="00BB1FF0"/>
    <w:rsid w:val="00BB2B5D"/>
    <w:rsid w:val="00BB359C"/>
    <w:rsid w:val="00BB5245"/>
    <w:rsid w:val="00BB5B44"/>
    <w:rsid w:val="00BB6402"/>
    <w:rsid w:val="00BB7342"/>
    <w:rsid w:val="00BC4FD4"/>
    <w:rsid w:val="00BC641A"/>
    <w:rsid w:val="00BC699F"/>
    <w:rsid w:val="00BD1D1D"/>
    <w:rsid w:val="00BD23D9"/>
    <w:rsid w:val="00BD6218"/>
    <w:rsid w:val="00BD71CB"/>
    <w:rsid w:val="00BE34C4"/>
    <w:rsid w:val="00BE3DD1"/>
    <w:rsid w:val="00BE45DE"/>
    <w:rsid w:val="00BE45F0"/>
    <w:rsid w:val="00BE48FD"/>
    <w:rsid w:val="00BE6E7F"/>
    <w:rsid w:val="00BF1FFF"/>
    <w:rsid w:val="00BF2812"/>
    <w:rsid w:val="00BF2E30"/>
    <w:rsid w:val="00BF4A6D"/>
    <w:rsid w:val="00BF4DF4"/>
    <w:rsid w:val="00BF67CF"/>
    <w:rsid w:val="00C00486"/>
    <w:rsid w:val="00C012A3"/>
    <w:rsid w:val="00C015B5"/>
    <w:rsid w:val="00C038DE"/>
    <w:rsid w:val="00C03A9E"/>
    <w:rsid w:val="00C048D2"/>
    <w:rsid w:val="00C04BF6"/>
    <w:rsid w:val="00C04D3A"/>
    <w:rsid w:val="00C07C09"/>
    <w:rsid w:val="00C103E8"/>
    <w:rsid w:val="00C110BA"/>
    <w:rsid w:val="00C11C24"/>
    <w:rsid w:val="00C1590E"/>
    <w:rsid w:val="00C16F19"/>
    <w:rsid w:val="00C17C88"/>
    <w:rsid w:val="00C17E1E"/>
    <w:rsid w:val="00C20C82"/>
    <w:rsid w:val="00C2155B"/>
    <w:rsid w:val="00C23215"/>
    <w:rsid w:val="00C27CDA"/>
    <w:rsid w:val="00C30C26"/>
    <w:rsid w:val="00C31043"/>
    <w:rsid w:val="00C326E1"/>
    <w:rsid w:val="00C32C5C"/>
    <w:rsid w:val="00C343DA"/>
    <w:rsid w:val="00C41206"/>
    <w:rsid w:val="00C41237"/>
    <w:rsid w:val="00C44968"/>
    <w:rsid w:val="00C4551F"/>
    <w:rsid w:val="00C46B8C"/>
    <w:rsid w:val="00C52410"/>
    <w:rsid w:val="00C52539"/>
    <w:rsid w:val="00C52A7B"/>
    <w:rsid w:val="00C6031D"/>
    <w:rsid w:val="00C6324C"/>
    <w:rsid w:val="00C652D8"/>
    <w:rsid w:val="00C6575D"/>
    <w:rsid w:val="00C679AA"/>
    <w:rsid w:val="00C700EC"/>
    <w:rsid w:val="00C711BE"/>
    <w:rsid w:val="00C724CF"/>
    <w:rsid w:val="00C7445F"/>
    <w:rsid w:val="00C75972"/>
    <w:rsid w:val="00C77A2A"/>
    <w:rsid w:val="00C82792"/>
    <w:rsid w:val="00C92846"/>
    <w:rsid w:val="00C93C69"/>
    <w:rsid w:val="00C948FD"/>
    <w:rsid w:val="00C958D1"/>
    <w:rsid w:val="00C95B98"/>
    <w:rsid w:val="00C96B58"/>
    <w:rsid w:val="00CA0A6B"/>
    <w:rsid w:val="00CA2A02"/>
    <w:rsid w:val="00CA4774"/>
    <w:rsid w:val="00CA4D87"/>
    <w:rsid w:val="00CA5095"/>
    <w:rsid w:val="00CA5B23"/>
    <w:rsid w:val="00CA5E4A"/>
    <w:rsid w:val="00CA6C95"/>
    <w:rsid w:val="00CB09DA"/>
    <w:rsid w:val="00CB14D5"/>
    <w:rsid w:val="00CB3B83"/>
    <w:rsid w:val="00CB3BA5"/>
    <w:rsid w:val="00CB43D5"/>
    <w:rsid w:val="00CB4B8A"/>
    <w:rsid w:val="00CB57A5"/>
    <w:rsid w:val="00CC6675"/>
    <w:rsid w:val="00CC67DA"/>
    <w:rsid w:val="00CC6C2C"/>
    <w:rsid w:val="00CC76F9"/>
    <w:rsid w:val="00CD066B"/>
    <w:rsid w:val="00CD45C3"/>
    <w:rsid w:val="00CD46E2"/>
    <w:rsid w:val="00CD6369"/>
    <w:rsid w:val="00CD6DB2"/>
    <w:rsid w:val="00CE4353"/>
    <w:rsid w:val="00CE7661"/>
    <w:rsid w:val="00CE7915"/>
    <w:rsid w:val="00CF16D2"/>
    <w:rsid w:val="00CF3289"/>
    <w:rsid w:val="00CF5558"/>
    <w:rsid w:val="00CF79C0"/>
    <w:rsid w:val="00D00B8B"/>
    <w:rsid w:val="00D00D0B"/>
    <w:rsid w:val="00D00FA1"/>
    <w:rsid w:val="00D02F20"/>
    <w:rsid w:val="00D0326A"/>
    <w:rsid w:val="00D04B69"/>
    <w:rsid w:val="00D05855"/>
    <w:rsid w:val="00D05BB5"/>
    <w:rsid w:val="00D07880"/>
    <w:rsid w:val="00D11DB3"/>
    <w:rsid w:val="00D17902"/>
    <w:rsid w:val="00D201DE"/>
    <w:rsid w:val="00D21C14"/>
    <w:rsid w:val="00D22D2A"/>
    <w:rsid w:val="00D23535"/>
    <w:rsid w:val="00D23C10"/>
    <w:rsid w:val="00D2428B"/>
    <w:rsid w:val="00D24BCE"/>
    <w:rsid w:val="00D24ED1"/>
    <w:rsid w:val="00D25162"/>
    <w:rsid w:val="00D25424"/>
    <w:rsid w:val="00D26BBE"/>
    <w:rsid w:val="00D303D8"/>
    <w:rsid w:val="00D33414"/>
    <w:rsid w:val="00D33436"/>
    <w:rsid w:val="00D37B1F"/>
    <w:rsid w:val="00D40C37"/>
    <w:rsid w:val="00D423AC"/>
    <w:rsid w:val="00D42704"/>
    <w:rsid w:val="00D43800"/>
    <w:rsid w:val="00D45496"/>
    <w:rsid w:val="00D45A62"/>
    <w:rsid w:val="00D4682C"/>
    <w:rsid w:val="00D522FA"/>
    <w:rsid w:val="00D537FA"/>
    <w:rsid w:val="00D548E6"/>
    <w:rsid w:val="00D5547D"/>
    <w:rsid w:val="00D55F82"/>
    <w:rsid w:val="00D5722F"/>
    <w:rsid w:val="00D573C5"/>
    <w:rsid w:val="00D57B4C"/>
    <w:rsid w:val="00D6470A"/>
    <w:rsid w:val="00D64932"/>
    <w:rsid w:val="00D66923"/>
    <w:rsid w:val="00D678A0"/>
    <w:rsid w:val="00D7111B"/>
    <w:rsid w:val="00D74B13"/>
    <w:rsid w:val="00D76127"/>
    <w:rsid w:val="00D766C5"/>
    <w:rsid w:val="00D80D99"/>
    <w:rsid w:val="00D922EE"/>
    <w:rsid w:val="00D9329B"/>
    <w:rsid w:val="00D9503C"/>
    <w:rsid w:val="00D95662"/>
    <w:rsid w:val="00D96DA7"/>
    <w:rsid w:val="00D9794A"/>
    <w:rsid w:val="00DA0506"/>
    <w:rsid w:val="00DA0984"/>
    <w:rsid w:val="00DA0B03"/>
    <w:rsid w:val="00DA218C"/>
    <w:rsid w:val="00DA26A6"/>
    <w:rsid w:val="00DA4B15"/>
    <w:rsid w:val="00DB0DD6"/>
    <w:rsid w:val="00DB1B66"/>
    <w:rsid w:val="00DB41D3"/>
    <w:rsid w:val="00DB4715"/>
    <w:rsid w:val="00DB5817"/>
    <w:rsid w:val="00DB5E5A"/>
    <w:rsid w:val="00DC5EA0"/>
    <w:rsid w:val="00DD26AF"/>
    <w:rsid w:val="00DD26ED"/>
    <w:rsid w:val="00DD2B18"/>
    <w:rsid w:val="00DD4FE7"/>
    <w:rsid w:val="00DD73EF"/>
    <w:rsid w:val="00DD7BF6"/>
    <w:rsid w:val="00DE23E8"/>
    <w:rsid w:val="00DE44CC"/>
    <w:rsid w:val="00DE4A90"/>
    <w:rsid w:val="00DF26A7"/>
    <w:rsid w:val="00DF3BFA"/>
    <w:rsid w:val="00DF49DD"/>
    <w:rsid w:val="00DF65F4"/>
    <w:rsid w:val="00DF6637"/>
    <w:rsid w:val="00DF6CF2"/>
    <w:rsid w:val="00DF76C9"/>
    <w:rsid w:val="00DF79DC"/>
    <w:rsid w:val="00E0128B"/>
    <w:rsid w:val="00E0152C"/>
    <w:rsid w:val="00E019B0"/>
    <w:rsid w:val="00E0266F"/>
    <w:rsid w:val="00E03155"/>
    <w:rsid w:val="00E105A2"/>
    <w:rsid w:val="00E11124"/>
    <w:rsid w:val="00E11A4B"/>
    <w:rsid w:val="00E14839"/>
    <w:rsid w:val="00E20510"/>
    <w:rsid w:val="00E2461E"/>
    <w:rsid w:val="00E25569"/>
    <w:rsid w:val="00E25F13"/>
    <w:rsid w:val="00E261C5"/>
    <w:rsid w:val="00E261CA"/>
    <w:rsid w:val="00E31F14"/>
    <w:rsid w:val="00E34A06"/>
    <w:rsid w:val="00E3529B"/>
    <w:rsid w:val="00E361B2"/>
    <w:rsid w:val="00E36EB0"/>
    <w:rsid w:val="00E37050"/>
    <w:rsid w:val="00E40EB8"/>
    <w:rsid w:val="00E4239C"/>
    <w:rsid w:val="00E47473"/>
    <w:rsid w:val="00E5263E"/>
    <w:rsid w:val="00E5575B"/>
    <w:rsid w:val="00E55969"/>
    <w:rsid w:val="00E55C8B"/>
    <w:rsid w:val="00E56E30"/>
    <w:rsid w:val="00E57766"/>
    <w:rsid w:val="00E606D3"/>
    <w:rsid w:val="00E61295"/>
    <w:rsid w:val="00E6277B"/>
    <w:rsid w:val="00E64E17"/>
    <w:rsid w:val="00E663DD"/>
    <w:rsid w:val="00E67706"/>
    <w:rsid w:val="00E67F35"/>
    <w:rsid w:val="00E72E15"/>
    <w:rsid w:val="00E75AA3"/>
    <w:rsid w:val="00E76017"/>
    <w:rsid w:val="00E7663A"/>
    <w:rsid w:val="00E76DA7"/>
    <w:rsid w:val="00E76F0C"/>
    <w:rsid w:val="00E771B2"/>
    <w:rsid w:val="00E807AD"/>
    <w:rsid w:val="00E83EF5"/>
    <w:rsid w:val="00E85A97"/>
    <w:rsid w:val="00E87D33"/>
    <w:rsid w:val="00E906CD"/>
    <w:rsid w:val="00E912CD"/>
    <w:rsid w:val="00E91763"/>
    <w:rsid w:val="00E92CBE"/>
    <w:rsid w:val="00E93F5B"/>
    <w:rsid w:val="00E94C75"/>
    <w:rsid w:val="00E971A3"/>
    <w:rsid w:val="00E97425"/>
    <w:rsid w:val="00EA3B09"/>
    <w:rsid w:val="00EA3D3C"/>
    <w:rsid w:val="00EA3E58"/>
    <w:rsid w:val="00EA43AE"/>
    <w:rsid w:val="00EA4D3D"/>
    <w:rsid w:val="00EB0DA8"/>
    <w:rsid w:val="00EB771A"/>
    <w:rsid w:val="00EC3546"/>
    <w:rsid w:val="00EC4A4D"/>
    <w:rsid w:val="00EC6270"/>
    <w:rsid w:val="00EC6FED"/>
    <w:rsid w:val="00EC7CC3"/>
    <w:rsid w:val="00ED1B86"/>
    <w:rsid w:val="00ED1ED0"/>
    <w:rsid w:val="00ED4615"/>
    <w:rsid w:val="00ED6E35"/>
    <w:rsid w:val="00ED767F"/>
    <w:rsid w:val="00ED7BEE"/>
    <w:rsid w:val="00EE1AEC"/>
    <w:rsid w:val="00EF57EC"/>
    <w:rsid w:val="00EF5CCB"/>
    <w:rsid w:val="00EF7368"/>
    <w:rsid w:val="00F000A5"/>
    <w:rsid w:val="00F033CD"/>
    <w:rsid w:val="00F03749"/>
    <w:rsid w:val="00F0403F"/>
    <w:rsid w:val="00F04745"/>
    <w:rsid w:val="00F068B5"/>
    <w:rsid w:val="00F077A9"/>
    <w:rsid w:val="00F1035B"/>
    <w:rsid w:val="00F10E18"/>
    <w:rsid w:val="00F118F7"/>
    <w:rsid w:val="00F14612"/>
    <w:rsid w:val="00F16E47"/>
    <w:rsid w:val="00F17131"/>
    <w:rsid w:val="00F21C19"/>
    <w:rsid w:val="00F228D2"/>
    <w:rsid w:val="00F229B0"/>
    <w:rsid w:val="00F240FA"/>
    <w:rsid w:val="00F27648"/>
    <w:rsid w:val="00F339A4"/>
    <w:rsid w:val="00F33E74"/>
    <w:rsid w:val="00F34B62"/>
    <w:rsid w:val="00F34F22"/>
    <w:rsid w:val="00F36D91"/>
    <w:rsid w:val="00F40990"/>
    <w:rsid w:val="00F44DF9"/>
    <w:rsid w:val="00F45189"/>
    <w:rsid w:val="00F46494"/>
    <w:rsid w:val="00F53691"/>
    <w:rsid w:val="00F558AB"/>
    <w:rsid w:val="00F56048"/>
    <w:rsid w:val="00F61118"/>
    <w:rsid w:val="00F6170F"/>
    <w:rsid w:val="00F61D89"/>
    <w:rsid w:val="00F62872"/>
    <w:rsid w:val="00F62F55"/>
    <w:rsid w:val="00F639EC"/>
    <w:rsid w:val="00F65D05"/>
    <w:rsid w:val="00F70341"/>
    <w:rsid w:val="00F70573"/>
    <w:rsid w:val="00F705A0"/>
    <w:rsid w:val="00F72D6B"/>
    <w:rsid w:val="00F73EAF"/>
    <w:rsid w:val="00F74D9C"/>
    <w:rsid w:val="00F75022"/>
    <w:rsid w:val="00F75F28"/>
    <w:rsid w:val="00F86ABB"/>
    <w:rsid w:val="00F911D1"/>
    <w:rsid w:val="00F91D83"/>
    <w:rsid w:val="00F94AF3"/>
    <w:rsid w:val="00F976A4"/>
    <w:rsid w:val="00FA4E19"/>
    <w:rsid w:val="00FA542C"/>
    <w:rsid w:val="00FA76C5"/>
    <w:rsid w:val="00FB3159"/>
    <w:rsid w:val="00FB45E3"/>
    <w:rsid w:val="00FB5DC8"/>
    <w:rsid w:val="00FB7E42"/>
    <w:rsid w:val="00FC0A66"/>
    <w:rsid w:val="00FC129D"/>
    <w:rsid w:val="00FC2B68"/>
    <w:rsid w:val="00FD380E"/>
    <w:rsid w:val="00FD47E9"/>
    <w:rsid w:val="00FD6FDF"/>
    <w:rsid w:val="00FD7648"/>
    <w:rsid w:val="00FE1A6F"/>
    <w:rsid w:val="00FE22A1"/>
    <w:rsid w:val="00FE4975"/>
    <w:rsid w:val="00FE4B15"/>
    <w:rsid w:val="00FE5295"/>
    <w:rsid w:val="00FF0042"/>
    <w:rsid w:val="00FF23EA"/>
    <w:rsid w:val="00FF3701"/>
    <w:rsid w:val="00FF5755"/>
    <w:rsid w:val="00FF6D1B"/>
    <w:rsid w:val="00FF720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BA59A7"/>
  <w15:docId w15:val="{B98209AD-3451-4824-82E1-1DFAFFB13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0D99"/>
    <w:pPr>
      <w:spacing w:before="120" w:after="240" w:line="240" w:lineRule="auto"/>
    </w:pPr>
    <w:rPr>
      <w:rFonts w:ascii="Times New Roman" w:hAnsi="Times New Roman"/>
      <w:sz w:val="24"/>
    </w:rPr>
  </w:style>
  <w:style w:type="paragraph" w:styleId="Titre1">
    <w:name w:val="heading 1"/>
    <w:basedOn w:val="Paragraphedeliste"/>
    <w:next w:val="Normal"/>
    <w:link w:val="Titre1Car"/>
    <w:uiPriority w:val="2"/>
    <w:qFormat/>
    <w:rsid w:val="00D80D99"/>
    <w:pPr>
      <w:numPr>
        <w:numId w:val="17"/>
      </w:numPr>
      <w:spacing w:before="240"/>
      <w:contextualSpacing w:val="0"/>
      <w:outlineLvl w:val="0"/>
    </w:pPr>
    <w:rPr>
      <w:b/>
    </w:rPr>
  </w:style>
  <w:style w:type="paragraph" w:styleId="Titre2">
    <w:name w:val="heading 2"/>
    <w:basedOn w:val="Titre1"/>
    <w:next w:val="Normal"/>
    <w:link w:val="Titre2Car"/>
    <w:uiPriority w:val="2"/>
    <w:qFormat/>
    <w:rsid w:val="00D80D99"/>
    <w:pPr>
      <w:numPr>
        <w:ilvl w:val="1"/>
      </w:numPr>
      <w:spacing w:after="200"/>
      <w:outlineLvl w:val="1"/>
    </w:pPr>
  </w:style>
  <w:style w:type="paragraph" w:styleId="Titre3">
    <w:name w:val="heading 3"/>
    <w:basedOn w:val="Normal"/>
    <w:next w:val="Normal"/>
    <w:link w:val="Titre3Car"/>
    <w:uiPriority w:val="2"/>
    <w:qFormat/>
    <w:rsid w:val="00D80D99"/>
    <w:pPr>
      <w:keepNext/>
      <w:keepLines/>
      <w:numPr>
        <w:ilvl w:val="2"/>
        <w:numId w:val="17"/>
      </w:numPr>
      <w:spacing w:before="40" w:after="120"/>
      <w:outlineLvl w:val="2"/>
    </w:pPr>
    <w:rPr>
      <w:rFonts w:eastAsiaTheme="majorEastAsia" w:cstheme="majorBidi"/>
      <w:b/>
      <w:szCs w:val="24"/>
    </w:rPr>
  </w:style>
  <w:style w:type="paragraph" w:styleId="Titre4">
    <w:name w:val="heading 4"/>
    <w:basedOn w:val="Titre3"/>
    <w:next w:val="Normal"/>
    <w:link w:val="Titre4Car"/>
    <w:uiPriority w:val="2"/>
    <w:qFormat/>
    <w:rsid w:val="00D80D99"/>
    <w:pPr>
      <w:numPr>
        <w:ilvl w:val="3"/>
      </w:numPr>
      <w:outlineLvl w:val="3"/>
    </w:pPr>
    <w:rPr>
      <w:iCs/>
    </w:rPr>
  </w:style>
  <w:style w:type="paragraph" w:styleId="Titre5">
    <w:name w:val="heading 5"/>
    <w:basedOn w:val="Titre4"/>
    <w:next w:val="Normal"/>
    <w:link w:val="Titre5Car"/>
    <w:uiPriority w:val="2"/>
    <w:qFormat/>
    <w:rsid w:val="00D80D99"/>
    <w:pPr>
      <w:numPr>
        <w:ilvl w:val="4"/>
      </w:num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2"/>
    <w:rsid w:val="00147395"/>
    <w:rPr>
      <w:rFonts w:ascii="Times New Roman" w:eastAsia="Cambria" w:hAnsi="Times New Roman" w:cs="Times New Roman"/>
      <w:b/>
      <w:sz w:val="24"/>
      <w:szCs w:val="24"/>
    </w:rPr>
  </w:style>
  <w:style w:type="character" w:customStyle="1" w:styleId="Titre2Car">
    <w:name w:val="Titre 2 Car"/>
    <w:basedOn w:val="Policepardfaut"/>
    <w:link w:val="Titre2"/>
    <w:uiPriority w:val="2"/>
    <w:rsid w:val="00147395"/>
    <w:rPr>
      <w:rFonts w:ascii="Times New Roman" w:eastAsia="Cambria" w:hAnsi="Times New Roman" w:cs="Times New Roman"/>
      <w:b/>
      <w:sz w:val="24"/>
      <w:szCs w:val="24"/>
    </w:rPr>
  </w:style>
  <w:style w:type="character" w:styleId="Accentuation">
    <w:name w:val="Emphasis"/>
    <w:basedOn w:val="Policepardfaut"/>
    <w:uiPriority w:val="20"/>
    <w:qFormat/>
    <w:rsid w:val="00C724CF"/>
    <w:rPr>
      <w:rFonts w:ascii="Times New Roman" w:hAnsi="Times New Roman"/>
      <w:i/>
      <w:iCs/>
    </w:rPr>
  </w:style>
  <w:style w:type="paragraph" w:styleId="Paragraphedeliste">
    <w:name w:val="List Paragraph"/>
    <w:basedOn w:val="Normal"/>
    <w:uiPriority w:val="3"/>
    <w:qFormat/>
    <w:rsid w:val="00310124"/>
    <w:pPr>
      <w:numPr>
        <w:numId w:val="14"/>
      </w:numPr>
      <w:ind w:left="1434" w:hanging="357"/>
      <w:contextualSpacing/>
    </w:pPr>
    <w:rPr>
      <w:rFonts w:eastAsia="Cambria" w:cs="Times New Roman"/>
      <w:szCs w:val="24"/>
    </w:rPr>
  </w:style>
  <w:style w:type="character" w:styleId="lev">
    <w:name w:val="Strong"/>
    <w:basedOn w:val="Policepardfaut"/>
    <w:uiPriority w:val="22"/>
    <w:qFormat/>
    <w:rsid w:val="00C724CF"/>
    <w:rPr>
      <w:rFonts w:ascii="Times New Roman" w:hAnsi="Times New Roman"/>
      <w:b/>
      <w:bCs/>
    </w:rPr>
  </w:style>
  <w:style w:type="paragraph" w:styleId="NormalWeb">
    <w:name w:val="Normal (Web)"/>
    <w:basedOn w:val="Normal"/>
    <w:uiPriority w:val="99"/>
    <w:unhideWhenUsed/>
    <w:rsid w:val="00117666"/>
    <w:pPr>
      <w:spacing w:before="100" w:beforeAutospacing="1" w:after="100" w:afterAutospacing="1"/>
    </w:pPr>
    <w:rPr>
      <w:rFonts w:eastAsia="Times New Roman" w:cs="Times New Roman"/>
      <w:szCs w:val="24"/>
    </w:rPr>
  </w:style>
  <w:style w:type="paragraph" w:styleId="En-tte">
    <w:name w:val="header"/>
    <w:basedOn w:val="Normal"/>
    <w:link w:val="En-tteCar"/>
    <w:uiPriority w:val="99"/>
    <w:unhideWhenUsed/>
    <w:rsid w:val="00A53000"/>
    <w:pPr>
      <w:tabs>
        <w:tab w:val="center" w:pos="4844"/>
        <w:tab w:val="right" w:pos="9689"/>
      </w:tabs>
    </w:pPr>
    <w:rPr>
      <w:b/>
    </w:rPr>
  </w:style>
  <w:style w:type="character" w:customStyle="1" w:styleId="En-tteCar">
    <w:name w:val="En-tête Car"/>
    <w:basedOn w:val="Policepardfaut"/>
    <w:link w:val="En-tte"/>
    <w:uiPriority w:val="99"/>
    <w:rsid w:val="00A53000"/>
    <w:rPr>
      <w:rFonts w:ascii="Times New Roman" w:hAnsi="Times New Roman"/>
      <w:b/>
      <w:sz w:val="24"/>
    </w:rPr>
  </w:style>
  <w:style w:type="paragraph" w:styleId="Pieddepage">
    <w:name w:val="footer"/>
    <w:basedOn w:val="Normal"/>
    <w:link w:val="PieddepageCar"/>
    <w:uiPriority w:val="99"/>
    <w:unhideWhenUsed/>
    <w:rsid w:val="00117666"/>
    <w:pPr>
      <w:tabs>
        <w:tab w:val="center" w:pos="4844"/>
        <w:tab w:val="right" w:pos="9689"/>
      </w:tabs>
      <w:spacing w:after="0"/>
    </w:pPr>
  </w:style>
  <w:style w:type="character" w:customStyle="1" w:styleId="PieddepageCar">
    <w:name w:val="Pied de page Car"/>
    <w:basedOn w:val="Policepardfaut"/>
    <w:link w:val="Pieddepage"/>
    <w:uiPriority w:val="99"/>
    <w:rsid w:val="00117666"/>
  </w:style>
  <w:style w:type="table" w:styleId="Grilledutableau">
    <w:name w:val="Table Grid"/>
    <w:basedOn w:val="TableauNormal"/>
    <w:uiPriority w:val="59"/>
    <w:rsid w:val="001176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basdepage">
    <w:name w:val="footnote text"/>
    <w:basedOn w:val="Normal"/>
    <w:link w:val="NotedebasdepageCar"/>
    <w:uiPriority w:val="99"/>
    <w:semiHidden/>
    <w:unhideWhenUsed/>
    <w:rsid w:val="00117666"/>
    <w:pPr>
      <w:spacing w:after="0"/>
    </w:pPr>
    <w:rPr>
      <w:sz w:val="20"/>
      <w:szCs w:val="20"/>
    </w:rPr>
  </w:style>
  <w:style w:type="character" w:customStyle="1" w:styleId="NotedebasdepageCar">
    <w:name w:val="Note de bas de page Car"/>
    <w:basedOn w:val="Policepardfaut"/>
    <w:link w:val="Notedebasdepage"/>
    <w:uiPriority w:val="99"/>
    <w:semiHidden/>
    <w:rsid w:val="00117666"/>
    <w:rPr>
      <w:sz w:val="20"/>
      <w:szCs w:val="20"/>
    </w:rPr>
  </w:style>
  <w:style w:type="character" w:styleId="Appelnotedebasdep">
    <w:name w:val="footnote reference"/>
    <w:basedOn w:val="Policepardfaut"/>
    <w:uiPriority w:val="99"/>
    <w:semiHidden/>
    <w:unhideWhenUsed/>
    <w:rsid w:val="00117666"/>
    <w:rPr>
      <w:vertAlign w:val="superscript"/>
    </w:rPr>
  </w:style>
  <w:style w:type="paragraph" w:styleId="Lgende">
    <w:name w:val="caption"/>
    <w:basedOn w:val="Normal"/>
    <w:next w:val="Sansinterligne"/>
    <w:uiPriority w:val="35"/>
    <w:unhideWhenUsed/>
    <w:qFormat/>
    <w:rsid w:val="00A53000"/>
    <w:pPr>
      <w:keepNext/>
    </w:pPr>
    <w:rPr>
      <w:rFonts w:cs="Times New Roman"/>
      <w:b/>
      <w:bCs/>
      <w:szCs w:val="24"/>
    </w:rPr>
  </w:style>
  <w:style w:type="paragraph" w:styleId="Textedebulles">
    <w:name w:val="Balloon Text"/>
    <w:basedOn w:val="Normal"/>
    <w:link w:val="TextedebullesCar"/>
    <w:uiPriority w:val="99"/>
    <w:semiHidden/>
    <w:unhideWhenUsed/>
    <w:rsid w:val="00117666"/>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117666"/>
    <w:rPr>
      <w:rFonts w:ascii="Tahoma" w:hAnsi="Tahoma" w:cs="Tahoma"/>
      <w:sz w:val="16"/>
      <w:szCs w:val="16"/>
    </w:rPr>
  </w:style>
  <w:style w:type="character" w:styleId="Numrodeligne">
    <w:name w:val="line number"/>
    <w:basedOn w:val="Policepardfaut"/>
    <w:uiPriority w:val="99"/>
    <w:semiHidden/>
    <w:unhideWhenUsed/>
    <w:rsid w:val="00117666"/>
  </w:style>
  <w:style w:type="paragraph" w:styleId="Notedefin">
    <w:name w:val="endnote text"/>
    <w:basedOn w:val="Normal"/>
    <w:link w:val="NotedefinCar"/>
    <w:uiPriority w:val="99"/>
    <w:semiHidden/>
    <w:unhideWhenUsed/>
    <w:rsid w:val="00CD066B"/>
    <w:pPr>
      <w:spacing w:after="0"/>
    </w:pPr>
    <w:rPr>
      <w:sz w:val="20"/>
      <w:szCs w:val="20"/>
    </w:rPr>
  </w:style>
  <w:style w:type="character" w:customStyle="1" w:styleId="NotedefinCar">
    <w:name w:val="Note de fin Car"/>
    <w:basedOn w:val="Policepardfaut"/>
    <w:link w:val="Notedefin"/>
    <w:uiPriority w:val="99"/>
    <w:semiHidden/>
    <w:rsid w:val="00CD066B"/>
    <w:rPr>
      <w:sz w:val="20"/>
      <w:szCs w:val="20"/>
    </w:rPr>
  </w:style>
  <w:style w:type="character" w:styleId="Appeldenotedefin">
    <w:name w:val="endnote reference"/>
    <w:basedOn w:val="Policepardfaut"/>
    <w:uiPriority w:val="99"/>
    <w:semiHidden/>
    <w:unhideWhenUsed/>
    <w:rsid w:val="00CD066B"/>
    <w:rPr>
      <w:vertAlign w:val="superscript"/>
    </w:rPr>
  </w:style>
  <w:style w:type="character" w:styleId="Marquedecommentaire">
    <w:name w:val="annotation reference"/>
    <w:basedOn w:val="Policepardfaut"/>
    <w:uiPriority w:val="99"/>
    <w:semiHidden/>
    <w:unhideWhenUsed/>
    <w:rsid w:val="00725A7D"/>
    <w:rPr>
      <w:sz w:val="16"/>
      <w:szCs w:val="16"/>
    </w:rPr>
  </w:style>
  <w:style w:type="paragraph" w:styleId="Commentaire">
    <w:name w:val="annotation text"/>
    <w:basedOn w:val="Normal"/>
    <w:link w:val="CommentaireCar"/>
    <w:uiPriority w:val="99"/>
    <w:unhideWhenUsed/>
    <w:rsid w:val="00725A7D"/>
    <w:rPr>
      <w:sz w:val="20"/>
      <w:szCs w:val="20"/>
    </w:rPr>
  </w:style>
  <w:style w:type="character" w:customStyle="1" w:styleId="CommentaireCar">
    <w:name w:val="Commentaire Car"/>
    <w:basedOn w:val="Policepardfaut"/>
    <w:link w:val="Commentaire"/>
    <w:uiPriority w:val="99"/>
    <w:rsid w:val="00725A7D"/>
    <w:rPr>
      <w:sz w:val="20"/>
      <w:szCs w:val="20"/>
    </w:rPr>
  </w:style>
  <w:style w:type="paragraph" w:styleId="Objetducommentaire">
    <w:name w:val="annotation subject"/>
    <w:basedOn w:val="Commentaire"/>
    <w:next w:val="Commentaire"/>
    <w:link w:val="ObjetducommentaireCar"/>
    <w:uiPriority w:val="99"/>
    <w:semiHidden/>
    <w:unhideWhenUsed/>
    <w:rsid w:val="00725A7D"/>
    <w:rPr>
      <w:b/>
      <w:bCs/>
    </w:rPr>
  </w:style>
  <w:style w:type="character" w:customStyle="1" w:styleId="ObjetducommentaireCar">
    <w:name w:val="Objet du commentaire Car"/>
    <w:basedOn w:val="CommentaireCar"/>
    <w:link w:val="Objetducommentaire"/>
    <w:uiPriority w:val="99"/>
    <w:semiHidden/>
    <w:rsid w:val="00725A7D"/>
    <w:rPr>
      <w:b/>
      <w:bCs/>
      <w:sz w:val="20"/>
      <w:szCs w:val="20"/>
    </w:rPr>
  </w:style>
  <w:style w:type="character" w:styleId="Lienhypertexte">
    <w:name w:val="Hyperlink"/>
    <w:basedOn w:val="Policepardfaut"/>
    <w:uiPriority w:val="99"/>
    <w:unhideWhenUsed/>
    <w:rsid w:val="005A1D84"/>
    <w:rPr>
      <w:color w:val="0000FF"/>
      <w:u w:val="single"/>
    </w:rPr>
  </w:style>
  <w:style w:type="character" w:styleId="Lienhypertextesuivivisit">
    <w:name w:val="FollowedHyperlink"/>
    <w:basedOn w:val="Policepardfaut"/>
    <w:uiPriority w:val="99"/>
    <w:semiHidden/>
    <w:unhideWhenUsed/>
    <w:rsid w:val="006D5B93"/>
    <w:rPr>
      <w:color w:val="800080" w:themeColor="followedHyperlink"/>
      <w:u w:val="single"/>
    </w:rPr>
  </w:style>
  <w:style w:type="paragraph" w:styleId="Titre">
    <w:name w:val="Title"/>
    <w:basedOn w:val="Normal"/>
    <w:next w:val="Normal"/>
    <w:link w:val="TitreCar"/>
    <w:qFormat/>
    <w:rsid w:val="00D80D99"/>
    <w:pPr>
      <w:suppressLineNumbers/>
      <w:spacing w:before="240" w:after="360"/>
      <w:jc w:val="center"/>
    </w:pPr>
    <w:rPr>
      <w:rFonts w:cs="Times New Roman"/>
      <w:b/>
      <w:sz w:val="32"/>
      <w:szCs w:val="32"/>
    </w:rPr>
  </w:style>
  <w:style w:type="character" w:customStyle="1" w:styleId="TitreCar">
    <w:name w:val="Titre Car"/>
    <w:basedOn w:val="Policepardfaut"/>
    <w:link w:val="Titre"/>
    <w:rsid w:val="00D80D99"/>
    <w:rPr>
      <w:rFonts w:ascii="Times New Roman" w:hAnsi="Times New Roman" w:cs="Times New Roman"/>
      <w:b/>
      <w:sz w:val="32"/>
      <w:szCs w:val="32"/>
    </w:rPr>
  </w:style>
  <w:style w:type="paragraph" w:styleId="Sous-titre">
    <w:name w:val="Subtitle"/>
    <w:basedOn w:val="Normal"/>
    <w:next w:val="Normal"/>
    <w:link w:val="Sous-titreCar"/>
    <w:uiPriority w:val="99"/>
    <w:unhideWhenUsed/>
    <w:qFormat/>
    <w:rsid w:val="00AC0270"/>
    <w:pPr>
      <w:spacing w:before="240"/>
    </w:pPr>
    <w:rPr>
      <w:rFonts w:cs="Times New Roman"/>
      <w:b/>
      <w:szCs w:val="24"/>
    </w:rPr>
  </w:style>
  <w:style w:type="character" w:customStyle="1" w:styleId="Sous-titreCar">
    <w:name w:val="Sous-titre Car"/>
    <w:basedOn w:val="Policepardfaut"/>
    <w:link w:val="Sous-titre"/>
    <w:uiPriority w:val="99"/>
    <w:rsid w:val="00651CA2"/>
    <w:rPr>
      <w:rFonts w:ascii="Times New Roman" w:hAnsi="Times New Roman" w:cs="Times New Roman"/>
      <w:b/>
      <w:sz w:val="24"/>
      <w:szCs w:val="24"/>
    </w:rPr>
  </w:style>
  <w:style w:type="character" w:customStyle="1" w:styleId="Titre3Car">
    <w:name w:val="Titre 3 Car"/>
    <w:basedOn w:val="Policepardfaut"/>
    <w:link w:val="Titre3"/>
    <w:uiPriority w:val="2"/>
    <w:rsid w:val="005D1840"/>
    <w:rPr>
      <w:rFonts w:ascii="Times New Roman" w:eastAsiaTheme="majorEastAsia" w:hAnsi="Times New Roman" w:cstheme="majorBidi"/>
      <w:b/>
      <w:sz w:val="24"/>
      <w:szCs w:val="24"/>
    </w:rPr>
  </w:style>
  <w:style w:type="paragraph" w:styleId="Sansinterligne">
    <w:name w:val="No Spacing"/>
    <w:uiPriority w:val="99"/>
    <w:unhideWhenUsed/>
    <w:qFormat/>
    <w:rsid w:val="00A53000"/>
    <w:pPr>
      <w:spacing w:after="0" w:line="240" w:lineRule="auto"/>
    </w:pPr>
    <w:rPr>
      <w:rFonts w:ascii="Times New Roman" w:hAnsi="Times New Roman"/>
      <w:sz w:val="24"/>
    </w:rPr>
  </w:style>
  <w:style w:type="character" w:customStyle="1" w:styleId="Titre4Car">
    <w:name w:val="Titre 4 Car"/>
    <w:basedOn w:val="Policepardfaut"/>
    <w:link w:val="Titre4"/>
    <w:uiPriority w:val="2"/>
    <w:rsid w:val="005D1840"/>
    <w:rPr>
      <w:rFonts w:ascii="Times New Roman" w:eastAsiaTheme="majorEastAsia" w:hAnsi="Times New Roman" w:cstheme="majorBidi"/>
      <w:b/>
      <w:iCs/>
      <w:sz w:val="24"/>
      <w:szCs w:val="24"/>
    </w:rPr>
  </w:style>
  <w:style w:type="character" w:customStyle="1" w:styleId="Titre5Car">
    <w:name w:val="Titre 5 Car"/>
    <w:basedOn w:val="Policepardfaut"/>
    <w:link w:val="Titre5"/>
    <w:uiPriority w:val="2"/>
    <w:rsid w:val="005D1840"/>
    <w:rPr>
      <w:rFonts w:ascii="Times New Roman" w:eastAsiaTheme="majorEastAsia" w:hAnsi="Times New Roman" w:cstheme="majorBidi"/>
      <w:b/>
      <w:iCs/>
      <w:sz w:val="24"/>
      <w:szCs w:val="24"/>
    </w:rPr>
  </w:style>
  <w:style w:type="paragraph" w:customStyle="1" w:styleId="AuthorList">
    <w:name w:val="Author List"/>
    <w:aliases w:val="Keywords,Abstract"/>
    <w:basedOn w:val="Sous-titre"/>
    <w:next w:val="Normal"/>
    <w:uiPriority w:val="1"/>
    <w:qFormat/>
    <w:rsid w:val="00651CA2"/>
  </w:style>
  <w:style w:type="character" w:styleId="Accentuationlgre">
    <w:name w:val="Subtle Emphasis"/>
    <w:basedOn w:val="Policepardfaut"/>
    <w:uiPriority w:val="19"/>
    <w:qFormat/>
    <w:rsid w:val="00C724CF"/>
    <w:rPr>
      <w:rFonts w:ascii="Times New Roman" w:hAnsi="Times New Roman"/>
      <w:i/>
      <w:iCs/>
      <w:color w:val="404040" w:themeColor="text1" w:themeTint="BF"/>
    </w:rPr>
  </w:style>
  <w:style w:type="character" w:styleId="Accentuationintense">
    <w:name w:val="Intense Emphasis"/>
    <w:basedOn w:val="Policepardfaut"/>
    <w:uiPriority w:val="21"/>
    <w:unhideWhenUsed/>
    <w:rsid w:val="00C724CF"/>
    <w:rPr>
      <w:rFonts w:ascii="Times New Roman" w:hAnsi="Times New Roman"/>
      <w:i/>
      <w:iCs/>
      <w:color w:val="auto"/>
    </w:rPr>
  </w:style>
  <w:style w:type="paragraph" w:styleId="Citation">
    <w:name w:val="Quote"/>
    <w:basedOn w:val="Normal"/>
    <w:next w:val="Normal"/>
    <w:link w:val="CitationCar"/>
    <w:uiPriority w:val="29"/>
    <w:qFormat/>
    <w:rsid w:val="00C724CF"/>
    <w:pPr>
      <w:spacing w:before="200" w:after="160"/>
      <w:ind w:left="864" w:right="864"/>
      <w:jc w:val="center"/>
    </w:pPr>
    <w:rPr>
      <w:i/>
      <w:iCs/>
      <w:color w:val="404040" w:themeColor="text1" w:themeTint="BF"/>
    </w:rPr>
  </w:style>
  <w:style w:type="character" w:customStyle="1" w:styleId="CitationCar">
    <w:name w:val="Citation Car"/>
    <w:basedOn w:val="Policepardfaut"/>
    <w:link w:val="Citation"/>
    <w:uiPriority w:val="29"/>
    <w:rsid w:val="00C724CF"/>
    <w:rPr>
      <w:rFonts w:ascii="Times New Roman" w:hAnsi="Times New Roman"/>
      <w:i/>
      <w:iCs/>
      <w:color w:val="404040" w:themeColor="text1" w:themeTint="BF"/>
      <w:sz w:val="24"/>
    </w:rPr>
  </w:style>
  <w:style w:type="character" w:styleId="Rfrenceintense">
    <w:name w:val="Intense Reference"/>
    <w:basedOn w:val="Policepardfaut"/>
    <w:uiPriority w:val="32"/>
    <w:qFormat/>
    <w:rsid w:val="00C724CF"/>
    <w:rPr>
      <w:b/>
      <w:bCs/>
      <w:smallCaps/>
      <w:color w:val="auto"/>
      <w:spacing w:val="5"/>
    </w:rPr>
  </w:style>
  <w:style w:type="character" w:styleId="Titredulivre">
    <w:name w:val="Book Title"/>
    <w:basedOn w:val="Policepardfaut"/>
    <w:uiPriority w:val="33"/>
    <w:qFormat/>
    <w:rsid w:val="00C724CF"/>
    <w:rPr>
      <w:rFonts w:ascii="Times New Roman" w:hAnsi="Times New Roman"/>
      <w:b/>
      <w:bCs/>
      <w:i/>
      <w:iCs/>
      <w:spacing w:val="5"/>
    </w:rPr>
  </w:style>
  <w:style w:type="numbering" w:customStyle="1" w:styleId="Headings">
    <w:name w:val="Headings"/>
    <w:uiPriority w:val="99"/>
    <w:rsid w:val="00D80D99"/>
    <w:pPr>
      <w:numPr>
        <w:numId w:val="21"/>
      </w:numPr>
    </w:pPr>
  </w:style>
  <w:style w:type="paragraph" w:styleId="Rvision">
    <w:name w:val="Revision"/>
    <w:hidden/>
    <w:uiPriority w:val="99"/>
    <w:semiHidden/>
    <w:rsid w:val="00A545C6"/>
    <w:pPr>
      <w:spacing w:after="0" w:line="240" w:lineRule="auto"/>
    </w:pPr>
    <w:rPr>
      <w:rFonts w:ascii="Times New Roman" w:hAnsi="Times New Roman"/>
      <w:sz w:val="24"/>
    </w:rPr>
  </w:style>
  <w:style w:type="character" w:styleId="Mentionnonrsolue">
    <w:name w:val="Unresolved Mention"/>
    <w:basedOn w:val="Policepardfaut"/>
    <w:uiPriority w:val="99"/>
    <w:semiHidden/>
    <w:unhideWhenUsed/>
    <w:rsid w:val="006B361D"/>
    <w:rPr>
      <w:color w:val="605E5C"/>
      <w:shd w:val="clear" w:color="auto" w:fill="E1DFDD"/>
    </w:rPr>
  </w:style>
  <w:style w:type="paragraph" w:customStyle="1" w:styleId="Affiliation">
    <w:name w:val="Affiliation"/>
    <w:basedOn w:val="Normal"/>
    <w:qFormat/>
    <w:rsid w:val="000B04BA"/>
    <w:pPr>
      <w:spacing w:after="0"/>
    </w:pPr>
    <w:rPr>
      <w:rFonts w:eastAsia="Times New Roman" w:cs="Times New Roman"/>
      <w:szCs w:val="24"/>
    </w:rPr>
  </w:style>
  <w:style w:type="character" w:styleId="Textedelespacerserv">
    <w:name w:val="Placeholder Text"/>
    <w:basedOn w:val="Policepardfaut"/>
    <w:uiPriority w:val="99"/>
    <w:semiHidden/>
    <w:rsid w:val="004E1EB9"/>
    <w:rPr>
      <w:color w:val="808080"/>
    </w:rPr>
  </w:style>
  <w:style w:type="paragraph" w:styleId="Bibliographie">
    <w:name w:val="Bibliography"/>
    <w:basedOn w:val="Normal"/>
    <w:next w:val="Normal"/>
    <w:uiPriority w:val="37"/>
    <w:unhideWhenUsed/>
    <w:rsid w:val="00DD4FE7"/>
    <w:pPr>
      <w:spacing w:after="0"/>
      <w:ind w:left="720"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952381">
      <w:bodyDiv w:val="1"/>
      <w:marLeft w:val="0"/>
      <w:marRight w:val="0"/>
      <w:marTop w:val="0"/>
      <w:marBottom w:val="0"/>
      <w:divBdr>
        <w:top w:val="none" w:sz="0" w:space="0" w:color="auto"/>
        <w:left w:val="none" w:sz="0" w:space="0" w:color="auto"/>
        <w:bottom w:val="none" w:sz="0" w:space="0" w:color="auto"/>
        <w:right w:val="none" w:sz="0" w:space="0" w:color="auto"/>
      </w:divBdr>
    </w:div>
    <w:div w:id="70393027">
      <w:bodyDiv w:val="1"/>
      <w:marLeft w:val="0"/>
      <w:marRight w:val="0"/>
      <w:marTop w:val="0"/>
      <w:marBottom w:val="0"/>
      <w:divBdr>
        <w:top w:val="none" w:sz="0" w:space="0" w:color="auto"/>
        <w:left w:val="none" w:sz="0" w:space="0" w:color="auto"/>
        <w:bottom w:val="none" w:sz="0" w:space="0" w:color="auto"/>
        <w:right w:val="none" w:sz="0" w:space="0" w:color="auto"/>
      </w:divBdr>
    </w:div>
    <w:div w:id="83501254">
      <w:bodyDiv w:val="1"/>
      <w:marLeft w:val="0"/>
      <w:marRight w:val="0"/>
      <w:marTop w:val="0"/>
      <w:marBottom w:val="0"/>
      <w:divBdr>
        <w:top w:val="none" w:sz="0" w:space="0" w:color="auto"/>
        <w:left w:val="none" w:sz="0" w:space="0" w:color="auto"/>
        <w:bottom w:val="none" w:sz="0" w:space="0" w:color="auto"/>
        <w:right w:val="none" w:sz="0" w:space="0" w:color="auto"/>
      </w:divBdr>
    </w:div>
    <w:div w:id="168184855">
      <w:bodyDiv w:val="1"/>
      <w:marLeft w:val="0"/>
      <w:marRight w:val="0"/>
      <w:marTop w:val="0"/>
      <w:marBottom w:val="0"/>
      <w:divBdr>
        <w:top w:val="none" w:sz="0" w:space="0" w:color="auto"/>
        <w:left w:val="none" w:sz="0" w:space="0" w:color="auto"/>
        <w:bottom w:val="none" w:sz="0" w:space="0" w:color="auto"/>
        <w:right w:val="none" w:sz="0" w:space="0" w:color="auto"/>
      </w:divBdr>
    </w:div>
    <w:div w:id="171993267">
      <w:bodyDiv w:val="1"/>
      <w:marLeft w:val="0"/>
      <w:marRight w:val="0"/>
      <w:marTop w:val="0"/>
      <w:marBottom w:val="0"/>
      <w:divBdr>
        <w:top w:val="none" w:sz="0" w:space="0" w:color="auto"/>
        <w:left w:val="none" w:sz="0" w:space="0" w:color="auto"/>
        <w:bottom w:val="none" w:sz="0" w:space="0" w:color="auto"/>
        <w:right w:val="none" w:sz="0" w:space="0" w:color="auto"/>
      </w:divBdr>
    </w:div>
    <w:div w:id="207425218">
      <w:bodyDiv w:val="1"/>
      <w:marLeft w:val="0"/>
      <w:marRight w:val="0"/>
      <w:marTop w:val="0"/>
      <w:marBottom w:val="0"/>
      <w:divBdr>
        <w:top w:val="none" w:sz="0" w:space="0" w:color="auto"/>
        <w:left w:val="none" w:sz="0" w:space="0" w:color="auto"/>
        <w:bottom w:val="none" w:sz="0" w:space="0" w:color="auto"/>
        <w:right w:val="none" w:sz="0" w:space="0" w:color="auto"/>
      </w:divBdr>
    </w:div>
    <w:div w:id="216598373">
      <w:bodyDiv w:val="1"/>
      <w:marLeft w:val="0"/>
      <w:marRight w:val="0"/>
      <w:marTop w:val="0"/>
      <w:marBottom w:val="0"/>
      <w:divBdr>
        <w:top w:val="none" w:sz="0" w:space="0" w:color="auto"/>
        <w:left w:val="none" w:sz="0" w:space="0" w:color="auto"/>
        <w:bottom w:val="none" w:sz="0" w:space="0" w:color="auto"/>
        <w:right w:val="none" w:sz="0" w:space="0" w:color="auto"/>
      </w:divBdr>
    </w:div>
    <w:div w:id="225266187">
      <w:bodyDiv w:val="1"/>
      <w:marLeft w:val="0"/>
      <w:marRight w:val="0"/>
      <w:marTop w:val="0"/>
      <w:marBottom w:val="0"/>
      <w:divBdr>
        <w:top w:val="none" w:sz="0" w:space="0" w:color="auto"/>
        <w:left w:val="none" w:sz="0" w:space="0" w:color="auto"/>
        <w:bottom w:val="none" w:sz="0" w:space="0" w:color="auto"/>
        <w:right w:val="none" w:sz="0" w:space="0" w:color="auto"/>
      </w:divBdr>
    </w:div>
    <w:div w:id="319620138">
      <w:bodyDiv w:val="1"/>
      <w:marLeft w:val="0"/>
      <w:marRight w:val="0"/>
      <w:marTop w:val="0"/>
      <w:marBottom w:val="0"/>
      <w:divBdr>
        <w:top w:val="none" w:sz="0" w:space="0" w:color="auto"/>
        <w:left w:val="none" w:sz="0" w:space="0" w:color="auto"/>
        <w:bottom w:val="none" w:sz="0" w:space="0" w:color="auto"/>
        <w:right w:val="none" w:sz="0" w:space="0" w:color="auto"/>
      </w:divBdr>
    </w:div>
    <w:div w:id="330254591">
      <w:bodyDiv w:val="1"/>
      <w:marLeft w:val="0"/>
      <w:marRight w:val="0"/>
      <w:marTop w:val="0"/>
      <w:marBottom w:val="0"/>
      <w:divBdr>
        <w:top w:val="none" w:sz="0" w:space="0" w:color="auto"/>
        <w:left w:val="none" w:sz="0" w:space="0" w:color="auto"/>
        <w:bottom w:val="none" w:sz="0" w:space="0" w:color="auto"/>
        <w:right w:val="none" w:sz="0" w:space="0" w:color="auto"/>
      </w:divBdr>
    </w:div>
    <w:div w:id="363407763">
      <w:bodyDiv w:val="1"/>
      <w:marLeft w:val="0"/>
      <w:marRight w:val="0"/>
      <w:marTop w:val="0"/>
      <w:marBottom w:val="0"/>
      <w:divBdr>
        <w:top w:val="none" w:sz="0" w:space="0" w:color="auto"/>
        <w:left w:val="none" w:sz="0" w:space="0" w:color="auto"/>
        <w:bottom w:val="none" w:sz="0" w:space="0" w:color="auto"/>
        <w:right w:val="none" w:sz="0" w:space="0" w:color="auto"/>
      </w:divBdr>
    </w:div>
    <w:div w:id="368335732">
      <w:bodyDiv w:val="1"/>
      <w:marLeft w:val="0"/>
      <w:marRight w:val="0"/>
      <w:marTop w:val="0"/>
      <w:marBottom w:val="0"/>
      <w:divBdr>
        <w:top w:val="none" w:sz="0" w:space="0" w:color="auto"/>
        <w:left w:val="none" w:sz="0" w:space="0" w:color="auto"/>
        <w:bottom w:val="none" w:sz="0" w:space="0" w:color="auto"/>
        <w:right w:val="none" w:sz="0" w:space="0" w:color="auto"/>
      </w:divBdr>
    </w:div>
    <w:div w:id="370158481">
      <w:bodyDiv w:val="1"/>
      <w:marLeft w:val="0"/>
      <w:marRight w:val="0"/>
      <w:marTop w:val="0"/>
      <w:marBottom w:val="0"/>
      <w:divBdr>
        <w:top w:val="none" w:sz="0" w:space="0" w:color="auto"/>
        <w:left w:val="none" w:sz="0" w:space="0" w:color="auto"/>
        <w:bottom w:val="none" w:sz="0" w:space="0" w:color="auto"/>
        <w:right w:val="none" w:sz="0" w:space="0" w:color="auto"/>
      </w:divBdr>
    </w:div>
    <w:div w:id="420416215">
      <w:bodyDiv w:val="1"/>
      <w:marLeft w:val="0"/>
      <w:marRight w:val="0"/>
      <w:marTop w:val="0"/>
      <w:marBottom w:val="0"/>
      <w:divBdr>
        <w:top w:val="none" w:sz="0" w:space="0" w:color="auto"/>
        <w:left w:val="none" w:sz="0" w:space="0" w:color="auto"/>
        <w:bottom w:val="none" w:sz="0" w:space="0" w:color="auto"/>
        <w:right w:val="none" w:sz="0" w:space="0" w:color="auto"/>
      </w:divBdr>
    </w:div>
    <w:div w:id="426116155">
      <w:bodyDiv w:val="1"/>
      <w:marLeft w:val="0"/>
      <w:marRight w:val="0"/>
      <w:marTop w:val="0"/>
      <w:marBottom w:val="0"/>
      <w:divBdr>
        <w:top w:val="none" w:sz="0" w:space="0" w:color="auto"/>
        <w:left w:val="none" w:sz="0" w:space="0" w:color="auto"/>
        <w:bottom w:val="none" w:sz="0" w:space="0" w:color="auto"/>
        <w:right w:val="none" w:sz="0" w:space="0" w:color="auto"/>
      </w:divBdr>
    </w:div>
    <w:div w:id="475874810">
      <w:bodyDiv w:val="1"/>
      <w:marLeft w:val="0"/>
      <w:marRight w:val="0"/>
      <w:marTop w:val="0"/>
      <w:marBottom w:val="0"/>
      <w:divBdr>
        <w:top w:val="none" w:sz="0" w:space="0" w:color="auto"/>
        <w:left w:val="none" w:sz="0" w:space="0" w:color="auto"/>
        <w:bottom w:val="none" w:sz="0" w:space="0" w:color="auto"/>
        <w:right w:val="none" w:sz="0" w:space="0" w:color="auto"/>
      </w:divBdr>
    </w:div>
    <w:div w:id="476724946">
      <w:bodyDiv w:val="1"/>
      <w:marLeft w:val="0"/>
      <w:marRight w:val="0"/>
      <w:marTop w:val="0"/>
      <w:marBottom w:val="0"/>
      <w:divBdr>
        <w:top w:val="none" w:sz="0" w:space="0" w:color="auto"/>
        <w:left w:val="none" w:sz="0" w:space="0" w:color="auto"/>
        <w:bottom w:val="none" w:sz="0" w:space="0" w:color="auto"/>
        <w:right w:val="none" w:sz="0" w:space="0" w:color="auto"/>
      </w:divBdr>
    </w:div>
    <w:div w:id="566258189">
      <w:bodyDiv w:val="1"/>
      <w:marLeft w:val="0"/>
      <w:marRight w:val="0"/>
      <w:marTop w:val="0"/>
      <w:marBottom w:val="0"/>
      <w:divBdr>
        <w:top w:val="none" w:sz="0" w:space="0" w:color="auto"/>
        <w:left w:val="none" w:sz="0" w:space="0" w:color="auto"/>
        <w:bottom w:val="none" w:sz="0" w:space="0" w:color="auto"/>
        <w:right w:val="none" w:sz="0" w:space="0" w:color="auto"/>
      </w:divBdr>
    </w:div>
    <w:div w:id="625626042">
      <w:bodyDiv w:val="1"/>
      <w:marLeft w:val="0"/>
      <w:marRight w:val="0"/>
      <w:marTop w:val="0"/>
      <w:marBottom w:val="0"/>
      <w:divBdr>
        <w:top w:val="none" w:sz="0" w:space="0" w:color="auto"/>
        <w:left w:val="none" w:sz="0" w:space="0" w:color="auto"/>
        <w:bottom w:val="none" w:sz="0" w:space="0" w:color="auto"/>
        <w:right w:val="none" w:sz="0" w:space="0" w:color="auto"/>
      </w:divBdr>
    </w:div>
    <w:div w:id="639309460">
      <w:bodyDiv w:val="1"/>
      <w:marLeft w:val="0"/>
      <w:marRight w:val="0"/>
      <w:marTop w:val="0"/>
      <w:marBottom w:val="0"/>
      <w:divBdr>
        <w:top w:val="none" w:sz="0" w:space="0" w:color="auto"/>
        <w:left w:val="none" w:sz="0" w:space="0" w:color="auto"/>
        <w:bottom w:val="none" w:sz="0" w:space="0" w:color="auto"/>
        <w:right w:val="none" w:sz="0" w:space="0" w:color="auto"/>
      </w:divBdr>
    </w:div>
    <w:div w:id="654067727">
      <w:bodyDiv w:val="1"/>
      <w:marLeft w:val="0"/>
      <w:marRight w:val="0"/>
      <w:marTop w:val="0"/>
      <w:marBottom w:val="0"/>
      <w:divBdr>
        <w:top w:val="none" w:sz="0" w:space="0" w:color="auto"/>
        <w:left w:val="none" w:sz="0" w:space="0" w:color="auto"/>
        <w:bottom w:val="none" w:sz="0" w:space="0" w:color="auto"/>
        <w:right w:val="none" w:sz="0" w:space="0" w:color="auto"/>
      </w:divBdr>
    </w:div>
    <w:div w:id="935138230">
      <w:bodyDiv w:val="1"/>
      <w:marLeft w:val="0"/>
      <w:marRight w:val="0"/>
      <w:marTop w:val="0"/>
      <w:marBottom w:val="0"/>
      <w:divBdr>
        <w:top w:val="none" w:sz="0" w:space="0" w:color="auto"/>
        <w:left w:val="none" w:sz="0" w:space="0" w:color="auto"/>
        <w:bottom w:val="none" w:sz="0" w:space="0" w:color="auto"/>
        <w:right w:val="none" w:sz="0" w:space="0" w:color="auto"/>
      </w:divBdr>
    </w:div>
    <w:div w:id="980504661">
      <w:bodyDiv w:val="1"/>
      <w:marLeft w:val="0"/>
      <w:marRight w:val="0"/>
      <w:marTop w:val="0"/>
      <w:marBottom w:val="0"/>
      <w:divBdr>
        <w:top w:val="none" w:sz="0" w:space="0" w:color="auto"/>
        <w:left w:val="none" w:sz="0" w:space="0" w:color="auto"/>
        <w:bottom w:val="none" w:sz="0" w:space="0" w:color="auto"/>
        <w:right w:val="none" w:sz="0" w:space="0" w:color="auto"/>
      </w:divBdr>
    </w:div>
    <w:div w:id="1002313091">
      <w:bodyDiv w:val="1"/>
      <w:marLeft w:val="0"/>
      <w:marRight w:val="0"/>
      <w:marTop w:val="0"/>
      <w:marBottom w:val="0"/>
      <w:divBdr>
        <w:top w:val="none" w:sz="0" w:space="0" w:color="auto"/>
        <w:left w:val="none" w:sz="0" w:space="0" w:color="auto"/>
        <w:bottom w:val="none" w:sz="0" w:space="0" w:color="auto"/>
        <w:right w:val="none" w:sz="0" w:space="0" w:color="auto"/>
      </w:divBdr>
    </w:div>
    <w:div w:id="1022896590">
      <w:bodyDiv w:val="1"/>
      <w:marLeft w:val="0"/>
      <w:marRight w:val="0"/>
      <w:marTop w:val="0"/>
      <w:marBottom w:val="0"/>
      <w:divBdr>
        <w:top w:val="none" w:sz="0" w:space="0" w:color="auto"/>
        <w:left w:val="none" w:sz="0" w:space="0" w:color="auto"/>
        <w:bottom w:val="none" w:sz="0" w:space="0" w:color="auto"/>
        <w:right w:val="none" w:sz="0" w:space="0" w:color="auto"/>
      </w:divBdr>
    </w:div>
    <w:div w:id="1233546779">
      <w:bodyDiv w:val="1"/>
      <w:marLeft w:val="0"/>
      <w:marRight w:val="0"/>
      <w:marTop w:val="0"/>
      <w:marBottom w:val="0"/>
      <w:divBdr>
        <w:top w:val="none" w:sz="0" w:space="0" w:color="auto"/>
        <w:left w:val="none" w:sz="0" w:space="0" w:color="auto"/>
        <w:bottom w:val="none" w:sz="0" w:space="0" w:color="auto"/>
        <w:right w:val="none" w:sz="0" w:space="0" w:color="auto"/>
      </w:divBdr>
    </w:div>
    <w:div w:id="1283419219">
      <w:bodyDiv w:val="1"/>
      <w:marLeft w:val="0"/>
      <w:marRight w:val="0"/>
      <w:marTop w:val="0"/>
      <w:marBottom w:val="0"/>
      <w:divBdr>
        <w:top w:val="none" w:sz="0" w:space="0" w:color="auto"/>
        <w:left w:val="none" w:sz="0" w:space="0" w:color="auto"/>
        <w:bottom w:val="none" w:sz="0" w:space="0" w:color="auto"/>
        <w:right w:val="none" w:sz="0" w:space="0" w:color="auto"/>
      </w:divBdr>
    </w:div>
    <w:div w:id="1354070272">
      <w:bodyDiv w:val="1"/>
      <w:marLeft w:val="0"/>
      <w:marRight w:val="0"/>
      <w:marTop w:val="0"/>
      <w:marBottom w:val="0"/>
      <w:divBdr>
        <w:top w:val="none" w:sz="0" w:space="0" w:color="auto"/>
        <w:left w:val="none" w:sz="0" w:space="0" w:color="auto"/>
        <w:bottom w:val="none" w:sz="0" w:space="0" w:color="auto"/>
        <w:right w:val="none" w:sz="0" w:space="0" w:color="auto"/>
      </w:divBdr>
    </w:div>
    <w:div w:id="1583874315">
      <w:bodyDiv w:val="1"/>
      <w:marLeft w:val="0"/>
      <w:marRight w:val="0"/>
      <w:marTop w:val="0"/>
      <w:marBottom w:val="0"/>
      <w:divBdr>
        <w:top w:val="none" w:sz="0" w:space="0" w:color="auto"/>
        <w:left w:val="none" w:sz="0" w:space="0" w:color="auto"/>
        <w:bottom w:val="none" w:sz="0" w:space="0" w:color="auto"/>
        <w:right w:val="none" w:sz="0" w:space="0" w:color="auto"/>
      </w:divBdr>
    </w:div>
    <w:div w:id="1598249714">
      <w:bodyDiv w:val="1"/>
      <w:marLeft w:val="0"/>
      <w:marRight w:val="0"/>
      <w:marTop w:val="0"/>
      <w:marBottom w:val="0"/>
      <w:divBdr>
        <w:top w:val="none" w:sz="0" w:space="0" w:color="auto"/>
        <w:left w:val="none" w:sz="0" w:space="0" w:color="auto"/>
        <w:bottom w:val="none" w:sz="0" w:space="0" w:color="auto"/>
        <w:right w:val="none" w:sz="0" w:space="0" w:color="auto"/>
      </w:divBdr>
    </w:div>
    <w:div w:id="1599945277">
      <w:bodyDiv w:val="1"/>
      <w:marLeft w:val="0"/>
      <w:marRight w:val="0"/>
      <w:marTop w:val="0"/>
      <w:marBottom w:val="0"/>
      <w:divBdr>
        <w:top w:val="none" w:sz="0" w:space="0" w:color="auto"/>
        <w:left w:val="none" w:sz="0" w:space="0" w:color="auto"/>
        <w:bottom w:val="none" w:sz="0" w:space="0" w:color="auto"/>
        <w:right w:val="none" w:sz="0" w:space="0" w:color="auto"/>
      </w:divBdr>
    </w:div>
    <w:div w:id="1663662601">
      <w:bodyDiv w:val="1"/>
      <w:marLeft w:val="0"/>
      <w:marRight w:val="0"/>
      <w:marTop w:val="0"/>
      <w:marBottom w:val="0"/>
      <w:divBdr>
        <w:top w:val="none" w:sz="0" w:space="0" w:color="auto"/>
        <w:left w:val="none" w:sz="0" w:space="0" w:color="auto"/>
        <w:bottom w:val="none" w:sz="0" w:space="0" w:color="auto"/>
        <w:right w:val="none" w:sz="0" w:space="0" w:color="auto"/>
      </w:divBdr>
    </w:div>
    <w:div w:id="1766345275">
      <w:bodyDiv w:val="1"/>
      <w:marLeft w:val="0"/>
      <w:marRight w:val="0"/>
      <w:marTop w:val="0"/>
      <w:marBottom w:val="0"/>
      <w:divBdr>
        <w:top w:val="none" w:sz="0" w:space="0" w:color="auto"/>
        <w:left w:val="none" w:sz="0" w:space="0" w:color="auto"/>
        <w:bottom w:val="none" w:sz="0" w:space="0" w:color="auto"/>
        <w:right w:val="none" w:sz="0" w:space="0" w:color="auto"/>
      </w:divBdr>
    </w:div>
    <w:div w:id="1840999710">
      <w:bodyDiv w:val="1"/>
      <w:marLeft w:val="0"/>
      <w:marRight w:val="0"/>
      <w:marTop w:val="0"/>
      <w:marBottom w:val="0"/>
      <w:divBdr>
        <w:top w:val="none" w:sz="0" w:space="0" w:color="auto"/>
        <w:left w:val="none" w:sz="0" w:space="0" w:color="auto"/>
        <w:bottom w:val="none" w:sz="0" w:space="0" w:color="auto"/>
        <w:right w:val="none" w:sz="0" w:space="0" w:color="auto"/>
      </w:divBdr>
    </w:div>
    <w:div w:id="1891570226">
      <w:bodyDiv w:val="1"/>
      <w:marLeft w:val="0"/>
      <w:marRight w:val="0"/>
      <w:marTop w:val="0"/>
      <w:marBottom w:val="0"/>
      <w:divBdr>
        <w:top w:val="none" w:sz="0" w:space="0" w:color="auto"/>
        <w:left w:val="none" w:sz="0" w:space="0" w:color="auto"/>
        <w:bottom w:val="none" w:sz="0" w:space="0" w:color="auto"/>
        <w:right w:val="none" w:sz="0" w:space="0" w:color="auto"/>
      </w:divBdr>
    </w:div>
    <w:div w:id="2108455780">
      <w:bodyDiv w:val="1"/>
      <w:marLeft w:val="0"/>
      <w:marRight w:val="0"/>
      <w:marTop w:val="0"/>
      <w:marBottom w:val="0"/>
      <w:divBdr>
        <w:top w:val="none" w:sz="0" w:space="0" w:color="auto"/>
        <w:left w:val="none" w:sz="0" w:space="0" w:color="auto"/>
        <w:bottom w:val="none" w:sz="0" w:space="0" w:color="auto"/>
        <w:right w:val="none" w:sz="0" w:space="0" w:color="auto"/>
      </w:divBdr>
    </w:div>
    <w:div w:id="2112160226">
      <w:bodyDiv w:val="1"/>
      <w:marLeft w:val="0"/>
      <w:marRight w:val="0"/>
      <w:marTop w:val="0"/>
      <w:marBottom w:val="0"/>
      <w:divBdr>
        <w:top w:val="none" w:sz="0" w:space="0" w:color="auto"/>
        <w:left w:val="none" w:sz="0" w:space="0" w:color="auto"/>
        <w:bottom w:val="none" w:sz="0" w:space="0" w:color="auto"/>
        <w:right w:val="none" w:sz="0" w:space="0" w:color="auto"/>
      </w:divBdr>
    </w:div>
    <w:div w:id="2130515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hloe.tilliette@imev-mer.fr" TargetMode="External"/><Relationship Id="rId13" Type="http://schemas.openxmlformats.org/officeDocument/2006/relationships/footer" Target="footer1.xml"/><Relationship Id="rId18" Type="http://schemas.openxmlformats.org/officeDocument/2006/relationships/image" Target="media/image5.tiff"/><Relationship Id="rId3" Type="http://schemas.openxmlformats.org/officeDocument/2006/relationships/styles" Target="styles.xml"/><Relationship Id="rId21" Type="http://schemas.openxmlformats.org/officeDocument/2006/relationships/hyperlink" Target="https://www.seanoe.org/data/00770/88169/" TargetMode="External"/><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image" Target="media/image4.tif"/><Relationship Id="rId2" Type="http://schemas.openxmlformats.org/officeDocument/2006/relationships/numbering" Target="numbering.xml"/><Relationship Id="rId16" Type="http://schemas.openxmlformats.org/officeDocument/2006/relationships/image" Target="media/image3.tif"/><Relationship Id="rId20" Type="http://schemas.openxmlformats.org/officeDocument/2006/relationships/image" Target="media/image7.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imev-mer.fr/web/?p=526"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fontTable" Target="fontTable.xml"/><Relationship Id="rId10" Type="http://schemas.openxmlformats.org/officeDocument/2006/relationships/image" Target="media/image1.tiff"/><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yperlink" Target="mailto:cecile.guieu@imev-mer.fr" TargetMode="External"/><Relationship Id="rId14" Type="http://schemas.openxmlformats.org/officeDocument/2006/relationships/footer" Target="footer2.xml"/><Relationship Id="rId22" Type="http://schemas.openxmlformats.org/officeDocument/2006/relationships/hyperlink" Target="http://www.obs-vlfr.fr/proof/php/TONGA/tonga.php"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Frontiers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CB8B29C5-C39B-41C8-9567-444369AD2B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Frontiers_template</Template>
  <TotalTime>2959</TotalTime>
  <Pages>43</Pages>
  <Words>47939</Words>
  <Characters>273257</Characters>
  <Application>Microsoft Office Word</Application>
  <DocSecurity>0</DocSecurity>
  <Lines>2277</Lines>
  <Paragraphs>641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320555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Lucie Senn</dc:creator>
  <cp:keywords/>
  <dc:description/>
  <cp:lastModifiedBy>Chloé Tilliette</cp:lastModifiedBy>
  <cp:revision>149</cp:revision>
  <cp:lastPrinted>2023-03-13T14:20:00Z</cp:lastPrinted>
  <dcterms:created xsi:type="dcterms:W3CDTF">2023-01-04T10:09:00Z</dcterms:created>
  <dcterms:modified xsi:type="dcterms:W3CDTF">2023-03-13T14:20:00Z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zotero-version="6.0.22"&gt;&lt;session id="FEQuQbE3"/&gt;&lt;style id="http://www.zotero.org/styles/elsevier-harvard" hasBibliography="1" bibliographyStyleHasBeenSet="1"/&gt;&lt;prefs&gt;&lt;pref name="fieldType" value="Field"/&gt;&lt;/prefs&gt;&lt;/data&gt;</vt:lpwstr>
  </property>
</Properties>
</file>