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05C51B3" w14:textId="76A57CF9" w:rsidR="00802BCB" w:rsidRPr="00E24E35" w:rsidRDefault="00E24E35" w:rsidP="00802BCB">
      <w:pPr>
        <w:tabs>
          <w:tab w:val="center" w:pos="4513"/>
        </w:tabs>
        <w:jc w:val="center"/>
        <w:rPr>
          <w:rFonts w:ascii="Garamond" w:eastAsia="Times New Roman" w:hAnsi="Garamond" w:cs="Calibri"/>
          <w:b/>
          <w:sz w:val="24"/>
          <w:szCs w:val="24"/>
          <w:lang w:val="en-US" w:eastAsia="pt-PT"/>
        </w:rPr>
      </w:pPr>
      <w:r w:rsidRPr="00E24E35">
        <w:rPr>
          <w:rFonts w:ascii="Garamond" w:hAnsi="Garamond"/>
          <w:b/>
          <w:sz w:val="24"/>
          <w:lang w:val="en-US"/>
        </w:rPr>
        <w:t xml:space="preserve">Spatial distributions, </w:t>
      </w:r>
      <w:r w:rsidR="00E36067">
        <w:rPr>
          <w:rFonts w:ascii="Garamond" w:hAnsi="Garamond"/>
          <w:b/>
          <w:sz w:val="24"/>
          <w:lang w:val="en-US"/>
        </w:rPr>
        <w:t>environmenal</w:t>
      </w:r>
      <w:r w:rsidR="00E36067" w:rsidRPr="00E24E35">
        <w:rPr>
          <w:rFonts w:ascii="Garamond" w:hAnsi="Garamond"/>
          <w:b/>
          <w:sz w:val="24"/>
          <w:lang w:val="en-US"/>
        </w:rPr>
        <w:t xml:space="preserve"> </w:t>
      </w:r>
      <w:r w:rsidRPr="00E24E35">
        <w:rPr>
          <w:rFonts w:ascii="Garamond" w:hAnsi="Garamond"/>
          <w:b/>
          <w:sz w:val="24"/>
          <w:lang w:val="en-US"/>
        </w:rPr>
        <w:t>drivers and co-existence patterns</w:t>
      </w:r>
      <w:r w:rsidRPr="00E24E35">
        <w:rPr>
          <w:rFonts w:ascii="Garamond" w:hAnsi="Garamond"/>
          <w:b/>
          <w:sz w:val="24"/>
          <w:szCs w:val="24"/>
          <w:lang w:val="en-US"/>
        </w:rPr>
        <w:t xml:space="preserve"> of key cold-water corals in the deep sea of the Azores (NE Atlantic)</w:t>
      </w:r>
    </w:p>
    <w:p w14:paraId="20B739F0" w14:textId="77777777" w:rsidR="00802BCB" w:rsidRDefault="00802BCB" w:rsidP="00802BCB">
      <w:pPr>
        <w:tabs>
          <w:tab w:val="center" w:pos="4513"/>
        </w:tabs>
        <w:rPr>
          <w:rFonts w:ascii="Garamond" w:hAnsi="Garamond"/>
          <w:b/>
          <w:sz w:val="24"/>
          <w:szCs w:val="24"/>
          <w:lang w:val="en-US"/>
        </w:rPr>
      </w:pPr>
    </w:p>
    <w:p w14:paraId="3036740C" w14:textId="77777777" w:rsidR="00802BCB" w:rsidRDefault="00802BCB" w:rsidP="00802BCB">
      <w:pPr>
        <w:tabs>
          <w:tab w:val="center" w:pos="4513"/>
        </w:tabs>
        <w:rPr>
          <w:rFonts w:ascii="Garamond" w:hAnsi="Garamond"/>
          <w:b/>
          <w:sz w:val="24"/>
          <w:szCs w:val="24"/>
          <w:lang w:val="en-US"/>
        </w:rPr>
      </w:pPr>
    </w:p>
    <w:p w14:paraId="340EAB41" w14:textId="77777777" w:rsidR="00802BCB" w:rsidRDefault="00802BCB" w:rsidP="00802BCB">
      <w:pPr>
        <w:tabs>
          <w:tab w:val="center" w:pos="4513"/>
        </w:tabs>
        <w:rPr>
          <w:rFonts w:ascii="Garamond" w:hAnsi="Garamond"/>
          <w:b/>
          <w:sz w:val="24"/>
          <w:szCs w:val="24"/>
          <w:lang w:val="en-US"/>
        </w:rPr>
      </w:pPr>
    </w:p>
    <w:p w14:paraId="31CCAD9D" w14:textId="77777777" w:rsidR="00802BCB" w:rsidRDefault="00802BCB" w:rsidP="00802BCB">
      <w:pPr>
        <w:tabs>
          <w:tab w:val="center" w:pos="4513"/>
        </w:tabs>
        <w:jc w:val="both"/>
        <w:rPr>
          <w:rFonts w:ascii="Garamond" w:hAnsi="Garamond"/>
          <w:sz w:val="24"/>
          <w:szCs w:val="24"/>
        </w:rPr>
      </w:pPr>
      <w:r w:rsidRPr="00515416">
        <w:rPr>
          <w:rFonts w:ascii="Garamond" w:hAnsi="Garamond"/>
          <w:b/>
          <w:sz w:val="24"/>
          <w:szCs w:val="24"/>
        </w:rPr>
        <w:t xml:space="preserve">Authors: </w:t>
      </w:r>
      <w:r w:rsidR="006543DB" w:rsidRPr="00515416">
        <w:rPr>
          <w:rFonts w:ascii="Garamond" w:hAnsi="Garamond"/>
          <w:sz w:val="24"/>
          <w:szCs w:val="24"/>
        </w:rPr>
        <w:t>Gerald Hechter Taranto</w:t>
      </w:r>
      <w:r w:rsidR="006543DB" w:rsidRPr="00B552FC">
        <w:rPr>
          <w:rFonts w:ascii="Garamond" w:hAnsi="Garamond"/>
          <w:sz w:val="24"/>
          <w:szCs w:val="24"/>
          <w:vertAlign w:val="superscript"/>
        </w:rPr>
        <w:t>1,2</w:t>
      </w:r>
      <w:r w:rsidR="006543DB">
        <w:rPr>
          <w:rFonts w:ascii="Garamond" w:hAnsi="Garamond"/>
          <w:sz w:val="24"/>
          <w:szCs w:val="24"/>
          <w:vertAlign w:val="superscript"/>
        </w:rPr>
        <w:t xml:space="preserve"> </w:t>
      </w:r>
      <w:r w:rsidR="006543DB">
        <w:rPr>
          <w:rFonts w:ascii="Garamond" w:hAnsi="Garamond"/>
          <w:sz w:val="24"/>
          <w:szCs w:val="24"/>
        </w:rPr>
        <w:t>*</w:t>
      </w:r>
      <w:r w:rsidR="006543DB" w:rsidRPr="00515416">
        <w:rPr>
          <w:rFonts w:ascii="Garamond" w:hAnsi="Garamond"/>
          <w:sz w:val="24"/>
          <w:szCs w:val="24"/>
        </w:rPr>
        <w:t xml:space="preserve">, </w:t>
      </w:r>
      <w:r w:rsidR="006543DB" w:rsidRPr="00334C55">
        <w:rPr>
          <w:rFonts w:ascii="Garamond" w:hAnsi="Garamond"/>
          <w:sz w:val="24"/>
          <w:szCs w:val="24"/>
        </w:rPr>
        <w:t>José-Manuel González-Irusta</w:t>
      </w:r>
      <w:r w:rsidR="006543DB" w:rsidRPr="00B552FC">
        <w:rPr>
          <w:rFonts w:ascii="Garamond" w:hAnsi="Garamond"/>
          <w:sz w:val="24"/>
          <w:szCs w:val="24"/>
          <w:vertAlign w:val="superscript"/>
        </w:rPr>
        <w:t>1,2</w:t>
      </w:r>
      <w:r w:rsidR="006543DB">
        <w:rPr>
          <w:rFonts w:ascii="Garamond" w:hAnsi="Garamond"/>
          <w:sz w:val="24"/>
          <w:szCs w:val="24"/>
          <w:vertAlign w:val="superscript"/>
        </w:rPr>
        <w:t>,3</w:t>
      </w:r>
      <w:r w:rsidR="006543DB" w:rsidRPr="00334C55">
        <w:rPr>
          <w:rFonts w:ascii="Garamond" w:hAnsi="Garamond"/>
          <w:sz w:val="24"/>
          <w:szCs w:val="24"/>
        </w:rPr>
        <w:t>, Carlos Dominguez-Carrió</w:t>
      </w:r>
      <w:r w:rsidR="006543DB" w:rsidRPr="00B552FC">
        <w:rPr>
          <w:rFonts w:ascii="Garamond" w:hAnsi="Garamond"/>
          <w:sz w:val="24"/>
          <w:szCs w:val="24"/>
          <w:vertAlign w:val="superscript"/>
        </w:rPr>
        <w:t>1,2</w:t>
      </w:r>
      <w:r w:rsidR="006543DB" w:rsidRPr="00334C55">
        <w:rPr>
          <w:rFonts w:ascii="Garamond" w:hAnsi="Garamond"/>
          <w:sz w:val="24"/>
          <w:szCs w:val="24"/>
        </w:rPr>
        <w:t>, Christopher K. Pham</w:t>
      </w:r>
      <w:r w:rsidR="006543DB" w:rsidRPr="00B552FC">
        <w:rPr>
          <w:rFonts w:ascii="Garamond" w:hAnsi="Garamond"/>
          <w:sz w:val="24"/>
          <w:szCs w:val="24"/>
          <w:vertAlign w:val="superscript"/>
        </w:rPr>
        <w:t>1,2</w:t>
      </w:r>
      <w:r w:rsidR="006543DB" w:rsidRPr="00334C55">
        <w:rPr>
          <w:rFonts w:ascii="Garamond" w:hAnsi="Garamond"/>
          <w:sz w:val="24"/>
          <w:szCs w:val="24"/>
        </w:rPr>
        <w:t>, Fernando Tempera</w:t>
      </w:r>
      <w:r w:rsidR="006543DB" w:rsidRPr="00B552FC">
        <w:rPr>
          <w:rFonts w:ascii="Garamond" w:hAnsi="Garamond"/>
          <w:sz w:val="24"/>
          <w:szCs w:val="24"/>
          <w:vertAlign w:val="superscript"/>
        </w:rPr>
        <w:t>1,</w:t>
      </w:r>
      <w:r w:rsidR="006543DB">
        <w:rPr>
          <w:rFonts w:ascii="Garamond" w:hAnsi="Garamond"/>
          <w:sz w:val="24"/>
          <w:szCs w:val="24"/>
          <w:vertAlign w:val="superscript"/>
        </w:rPr>
        <w:t>4</w:t>
      </w:r>
      <w:r w:rsidR="006543DB" w:rsidRPr="00334C55">
        <w:rPr>
          <w:rFonts w:ascii="Garamond" w:hAnsi="Garamond"/>
          <w:sz w:val="24"/>
          <w:szCs w:val="24"/>
        </w:rPr>
        <w:t xml:space="preserve">, </w:t>
      </w:r>
      <w:r w:rsidR="006543DB" w:rsidRPr="00A13135">
        <w:rPr>
          <w:rFonts w:ascii="Garamond" w:hAnsi="Garamond"/>
          <w:sz w:val="24"/>
          <w:szCs w:val="24"/>
        </w:rPr>
        <w:t>Manuela Ramos</w:t>
      </w:r>
      <w:r w:rsidR="006543DB" w:rsidRPr="00B552FC">
        <w:rPr>
          <w:rFonts w:ascii="Garamond" w:hAnsi="Garamond"/>
          <w:sz w:val="24"/>
          <w:szCs w:val="24"/>
          <w:vertAlign w:val="superscript"/>
        </w:rPr>
        <w:t>1,2</w:t>
      </w:r>
      <w:r w:rsidR="006543DB">
        <w:rPr>
          <w:rFonts w:ascii="Garamond" w:hAnsi="Garamond"/>
          <w:sz w:val="24"/>
          <w:szCs w:val="24"/>
        </w:rPr>
        <w:t xml:space="preserve">, </w:t>
      </w:r>
      <w:r w:rsidR="006543DB" w:rsidRPr="00A13135">
        <w:rPr>
          <w:rFonts w:ascii="Garamond" w:hAnsi="Garamond"/>
          <w:sz w:val="24"/>
          <w:szCs w:val="24"/>
        </w:rPr>
        <w:t>Guilherme Gonçalves</w:t>
      </w:r>
      <w:r w:rsidR="006543DB" w:rsidRPr="00B552FC">
        <w:rPr>
          <w:rFonts w:ascii="Garamond" w:hAnsi="Garamond"/>
          <w:sz w:val="24"/>
          <w:szCs w:val="24"/>
          <w:vertAlign w:val="superscript"/>
        </w:rPr>
        <w:t>1,2</w:t>
      </w:r>
      <w:r w:rsidR="006543DB">
        <w:rPr>
          <w:rFonts w:ascii="Garamond" w:hAnsi="Garamond"/>
          <w:sz w:val="24"/>
          <w:szCs w:val="24"/>
        </w:rPr>
        <w:t xml:space="preserve">, </w:t>
      </w:r>
      <w:r w:rsidR="006543DB" w:rsidRPr="00334C55">
        <w:rPr>
          <w:rFonts w:ascii="Garamond" w:hAnsi="Garamond"/>
          <w:sz w:val="24"/>
          <w:szCs w:val="24"/>
        </w:rPr>
        <w:t>Marina Carreiro-Silva</w:t>
      </w:r>
      <w:r w:rsidR="006543DB" w:rsidRPr="00B552FC">
        <w:rPr>
          <w:rFonts w:ascii="Garamond" w:hAnsi="Garamond"/>
          <w:sz w:val="24"/>
          <w:szCs w:val="24"/>
          <w:vertAlign w:val="superscript"/>
        </w:rPr>
        <w:t>1,2</w:t>
      </w:r>
      <w:r w:rsidR="006543DB" w:rsidRPr="00334C55">
        <w:rPr>
          <w:rFonts w:ascii="Garamond" w:hAnsi="Garamond"/>
          <w:sz w:val="24"/>
          <w:szCs w:val="24"/>
        </w:rPr>
        <w:t>, Telmo Morato</w:t>
      </w:r>
      <w:r w:rsidR="006543DB" w:rsidRPr="00B552FC">
        <w:rPr>
          <w:rFonts w:ascii="Garamond" w:hAnsi="Garamond"/>
          <w:sz w:val="24"/>
          <w:szCs w:val="24"/>
          <w:vertAlign w:val="superscript"/>
        </w:rPr>
        <w:t>1,2</w:t>
      </w:r>
      <w:r w:rsidR="006543DB">
        <w:rPr>
          <w:rFonts w:ascii="Garamond" w:hAnsi="Garamond"/>
          <w:sz w:val="24"/>
          <w:szCs w:val="24"/>
        </w:rPr>
        <w:t>.</w:t>
      </w:r>
    </w:p>
    <w:p w14:paraId="142D2113" w14:textId="77777777" w:rsidR="00802BCB" w:rsidRPr="006543DB" w:rsidRDefault="00802BCB" w:rsidP="00802BCB">
      <w:pPr>
        <w:tabs>
          <w:tab w:val="center" w:pos="4513"/>
        </w:tabs>
        <w:rPr>
          <w:rFonts w:ascii="Garamond" w:hAnsi="Garamond"/>
          <w:b/>
          <w:sz w:val="24"/>
          <w:szCs w:val="24"/>
        </w:rPr>
      </w:pPr>
    </w:p>
    <w:p w14:paraId="225AA2DB" w14:textId="77777777" w:rsidR="00802BCB" w:rsidRPr="00661163" w:rsidRDefault="00802BCB" w:rsidP="00802BCB">
      <w:pPr>
        <w:tabs>
          <w:tab w:val="center" w:pos="4513"/>
        </w:tabs>
        <w:rPr>
          <w:rFonts w:ascii="Garamond" w:hAnsi="Garamond"/>
          <w:sz w:val="20"/>
          <w:szCs w:val="20"/>
        </w:rPr>
      </w:pPr>
      <w:r w:rsidRPr="00661163">
        <w:rPr>
          <w:rFonts w:ascii="Garamond" w:hAnsi="Garamond"/>
          <w:sz w:val="20"/>
          <w:szCs w:val="20"/>
        </w:rPr>
        <w:t xml:space="preserve">1 - </w:t>
      </w:r>
      <w:r w:rsidR="0010784F">
        <w:rPr>
          <w:rFonts w:ascii="Garamond" w:hAnsi="Garamond"/>
          <w:sz w:val="20"/>
          <w:szCs w:val="20"/>
        </w:rPr>
        <w:t>Instituto de Investigação em Ciências do Mar - Okeanos</w:t>
      </w:r>
      <w:r w:rsidRPr="00661163">
        <w:rPr>
          <w:rFonts w:ascii="Garamond" w:hAnsi="Garamond"/>
          <w:sz w:val="20"/>
          <w:szCs w:val="20"/>
        </w:rPr>
        <w:t>, Universidade dos Açores, Horta, Portugal</w:t>
      </w:r>
    </w:p>
    <w:p w14:paraId="0A2673F1" w14:textId="77777777" w:rsidR="00802BCB" w:rsidRPr="00661163" w:rsidRDefault="00802BCB" w:rsidP="00802BCB">
      <w:pPr>
        <w:tabs>
          <w:tab w:val="center" w:pos="4513"/>
        </w:tabs>
        <w:rPr>
          <w:rFonts w:ascii="Garamond" w:hAnsi="Garamond"/>
          <w:sz w:val="20"/>
          <w:szCs w:val="20"/>
        </w:rPr>
      </w:pPr>
      <w:r w:rsidRPr="00661163">
        <w:rPr>
          <w:rFonts w:ascii="Garamond" w:hAnsi="Garamond"/>
          <w:sz w:val="20"/>
          <w:szCs w:val="20"/>
        </w:rPr>
        <w:t>2 - IMAR Instituto do Mar, Universidade dos Açores, Horta, Portugal</w:t>
      </w:r>
    </w:p>
    <w:p w14:paraId="003AA9DD" w14:textId="77777777" w:rsidR="00802BCB" w:rsidRDefault="00802BCB" w:rsidP="00802BCB">
      <w:pPr>
        <w:tabs>
          <w:tab w:val="center" w:pos="4513"/>
        </w:tabs>
        <w:rPr>
          <w:rFonts w:ascii="Garamond" w:hAnsi="Garamond"/>
          <w:sz w:val="20"/>
          <w:szCs w:val="20"/>
        </w:rPr>
      </w:pPr>
      <w:r w:rsidRPr="00661163">
        <w:rPr>
          <w:rFonts w:ascii="Garamond" w:hAnsi="Garamond"/>
          <w:sz w:val="20"/>
          <w:szCs w:val="20"/>
        </w:rPr>
        <w:t>3 - Instituto Español de Oceanografía, Centro Oceanográfico de Santander, 39080, Santander, Spain.</w:t>
      </w:r>
    </w:p>
    <w:p w14:paraId="6593376F" w14:textId="77777777" w:rsidR="00802BCB" w:rsidRPr="00052FBF" w:rsidRDefault="00802BCB" w:rsidP="00802BCB">
      <w:pPr>
        <w:tabs>
          <w:tab w:val="center" w:pos="4513"/>
        </w:tabs>
        <w:rPr>
          <w:rFonts w:ascii="Garamond" w:hAnsi="Garamond"/>
          <w:sz w:val="20"/>
          <w:szCs w:val="20"/>
        </w:rPr>
      </w:pPr>
      <w:r w:rsidRPr="00052FBF">
        <w:rPr>
          <w:rFonts w:ascii="Garamond" w:hAnsi="Garamond"/>
          <w:sz w:val="20"/>
          <w:szCs w:val="20"/>
        </w:rPr>
        <w:t>4 - IFREMER, RBE/STH/LBH, Centre de Bretagne, Z.I. de la Pointe du Diable, CS 10070, 29280 Plouzané, France.</w:t>
      </w:r>
    </w:p>
    <w:p w14:paraId="5BC28759" w14:textId="77777777" w:rsidR="00802BCB" w:rsidRPr="00661163" w:rsidRDefault="00802BCB" w:rsidP="00802BCB">
      <w:pPr>
        <w:tabs>
          <w:tab w:val="center" w:pos="4513"/>
        </w:tabs>
        <w:rPr>
          <w:rFonts w:ascii="Garamond" w:hAnsi="Garamond"/>
          <w:sz w:val="20"/>
          <w:szCs w:val="20"/>
        </w:rPr>
      </w:pPr>
    </w:p>
    <w:p w14:paraId="50CF4A61" w14:textId="77777777" w:rsidR="00802BCB" w:rsidRPr="0010784F" w:rsidRDefault="00802BCB" w:rsidP="00802BCB">
      <w:pPr>
        <w:tabs>
          <w:tab w:val="center" w:pos="4513"/>
        </w:tabs>
        <w:rPr>
          <w:rFonts w:ascii="Garamond" w:hAnsi="Garamond"/>
          <w:sz w:val="20"/>
          <w:szCs w:val="20"/>
        </w:rPr>
      </w:pPr>
      <w:r w:rsidRPr="00661163">
        <w:rPr>
          <w:rFonts w:ascii="Garamond" w:hAnsi="Garamond"/>
          <w:sz w:val="20"/>
          <w:szCs w:val="20"/>
        </w:rPr>
        <w:t>*</w:t>
      </w:r>
      <w:r>
        <w:rPr>
          <w:rFonts w:ascii="Garamond" w:hAnsi="Garamond"/>
          <w:sz w:val="20"/>
          <w:szCs w:val="20"/>
        </w:rPr>
        <w:t xml:space="preserve"> </w:t>
      </w:r>
      <w:r w:rsidRPr="00661163">
        <w:rPr>
          <w:rFonts w:ascii="Garamond" w:hAnsi="Garamond"/>
          <w:b/>
          <w:sz w:val="20"/>
          <w:szCs w:val="20"/>
        </w:rPr>
        <w:t>Corresponding author.</w:t>
      </w:r>
      <w:r w:rsidRPr="00661163">
        <w:rPr>
          <w:rFonts w:ascii="Garamond" w:hAnsi="Garamond"/>
          <w:sz w:val="20"/>
          <w:szCs w:val="20"/>
        </w:rPr>
        <w:t xml:space="preserve"> Gerald H. Taranto, </w:t>
      </w:r>
      <w:r w:rsidR="0010784F">
        <w:rPr>
          <w:rFonts w:ascii="Garamond" w:hAnsi="Garamond"/>
          <w:sz w:val="20"/>
          <w:szCs w:val="20"/>
        </w:rPr>
        <w:t>Instituto de Investigação em Ciências do Mar - Okeanos</w:t>
      </w:r>
      <w:r w:rsidRPr="00661163">
        <w:rPr>
          <w:rFonts w:ascii="Garamond" w:hAnsi="Garamond"/>
          <w:sz w:val="20"/>
          <w:szCs w:val="20"/>
        </w:rPr>
        <w:t>, Universidade dos Açores, 9901</w:t>
      </w:r>
      <w:r w:rsidRPr="00661163">
        <w:rPr>
          <w:rFonts w:ascii="Times New Roman" w:hAnsi="Times New Roman" w:cs="Times New Roman"/>
          <w:sz w:val="20"/>
          <w:szCs w:val="20"/>
        </w:rPr>
        <w:t>‐</w:t>
      </w:r>
      <w:r w:rsidRPr="00661163">
        <w:rPr>
          <w:rFonts w:ascii="Garamond" w:hAnsi="Garamond"/>
          <w:sz w:val="20"/>
          <w:szCs w:val="20"/>
        </w:rPr>
        <w:t xml:space="preserve">862 Horta, Portugal. </w:t>
      </w:r>
      <w:r w:rsidRPr="0010784F">
        <w:rPr>
          <w:rFonts w:ascii="Garamond" w:hAnsi="Garamond"/>
          <w:sz w:val="20"/>
          <w:szCs w:val="20"/>
        </w:rPr>
        <w:t xml:space="preserve">Email: </w:t>
      </w:r>
      <w:hyperlink r:id="rId7" w:history="1">
        <w:r w:rsidRPr="0010784F">
          <w:rPr>
            <w:rStyle w:val="Hyperlink"/>
            <w:rFonts w:ascii="Garamond" w:hAnsi="Garamond"/>
            <w:sz w:val="20"/>
            <w:szCs w:val="20"/>
          </w:rPr>
          <w:t>gh.taranto@gmail.com</w:t>
        </w:r>
      </w:hyperlink>
    </w:p>
    <w:p w14:paraId="3B655E67" w14:textId="77777777" w:rsidR="00802BCB" w:rsidRPr="0010784F" w:rsidRDefault="00802BCB" w:rsidP="00802BCB">
      <w:pPr>
        <w:rPr>
          <w:rFonts w:ascii="Garamond" w:hAnsi="Garamond"/>
          <w:b/>
          <w:sz w:val="24"/>
          <w:szCs w:val="24"/>
        </w:rPr>
      </w:pPr>
      <w:r w:rsidRPr="0010784F">
        <w:rPr>
          <w:rFonts w:ascii="Garamond" w:hAnsi="Garamond"/>
          <w:b/>
          <w:sz w:val="24"/>
          <w:szCs w:val="24"/>
        </w:rPr>
        <w:br w:type="page"/>
      </w:r>
    </w:p>
    <w:sdt>
      <w:sdtPr>
        <w:rPr>
          <w:rFonts w:eastAsiaTheme="minorHAnsi" w:cstheme="minorBidi"/>
          <w:sz w:val="20"/>
          <w:szCs w:val="20"/>
          <w:lang w:val="pt-PT"/>
        </w:rPr>
        <w:id w:val="-2099469852"/>
        <w:docPartObj>
          <w:docPartGallery w:val="Table of Contents"/>
          <w:docPartUnique/>
        </w:docPartObj>
      </w:sdtPr>
      <w:sdtEndPr>
        <w:rPr>
          <w:rFonts w:asciiTheme="minorHAnsi" w:hAnsiTheme="minorHAnsi"/>
          <w:b/>
          <w:bCs/>
          <w:noProof/>
        </w:rPr>
      </w:sdtEndPr>
      <w:sdtContent>
        <w:p w14:paraId="3AE3763A" w14:textId="77777777" w:rsidR="00802BCB" w:rsidRPr="002F4D80" w:rsidRDefault="00802BCB" w:rsidP="002F4D80">
          <w:pPr>
            <w:pStyle w:val="TOCHeading"/>
            <w:spacing w:line="276" w:lineRule="auto"/>
            <w:jc w:val="both"/>
            <w:rPr>
              <w:b/>
              <w:sz w:val="20"/>
              <w:szCs w:val="20"/>
              <w:lang w:val="pt-PT"/>
            </w:rPr>
          </w:pPr>
          <w:r w:rsidRPr="002F4D80">
            <w:rPr>
              <w:b/>
              <w:sz w:val="20"/>
              <w:szCs w:val="20"/>
              <w:lang w:val="pt-PT"/>
            </w:rPr>
            <w:t xml:space="preserve">Supporting information </w:t>
          </w:r>
        </w:p>
        <w:p w14:paraId="433B5C9F" w14:textId="7C36AB04" w:rsidR="00802BCB" w:rsidRPr="002F4D80" w:rsidRDefault="00802BCB" w:rsidP="002F4D80">
          <w:pPr>
            <w:spacing w:line="276" w:lineRule="auto"/>
            <w:jc w:val="both"/>
            <w:rPr>
              <w:rFonts w:ascii="Garamond" w:hAnsi="Garamond"/>
              <w:sz w:val="20"/>
              <w:szCs w:val="20"/>
            </w:rPr>
          </w:pPr>
        </w:p>
        <w:p w14:paraId="28C253A8" w14:textId="00C145A6" w:rsidR="002F4D80" w:rsidRPr="002F4D80" w:rsidRDefault="00802BCB" w:rsidP="002F4D80">
          <w:pPr>
            <w:pStyle w:val="TOC1"/>
            <w:tabs>
              <w:tab w:val="right" w:leader="dot" w:pos="9016"/>
            </w:tabs>
            <w:spacing w:line="276" w:lineRule="auto"/>
            <w:jc w:val="both"/>
            <w:rPr>
              <w:rFonts w:ascii="Garamond" w:eastAsiaTheme="minorEastAsia" w:hAnsi="Garamond"/>
              <w:noProof/>
              <w:sz w:val="20"/>
              <w:szCs w:val="20"/>
              <w:lang w:eastAsia="pt-PT"/>
            </w:rPr>
          </w:pPr>
          <w:r w:rsidRPr="002F4D80">
            <w:rPr>
              <w:rFonts w:ascii="Garamond" w:hAnsi="Garamond"/>
              <w:sz w:val="20"/>
              <w:szCs w:val="20"/>
            </w:rPr>
            <w:fldChar w:fldCharType="begin"/>
          </w:r>
          <w:r w:rsidRPr="002F4D80">
            <w:rPr>
              <w:rFonts w:ascii="Garamond" w:hAnsi="Garamond"/>
              <w:sz w:val="20"/>
              <w:szCs w:val="20"/>
            </w:rPr>
            <w:instrText xml:space="preserve"> TOC \o "1-3" \h \z \u </w:instrText>
          </w:r>
          <w:r w:rsidRPr="002F4D80">
            <w:rPr>
              <w:rFonts w:ascii="Garamond" w:hAnsi="Garamond"/>
              <w:sz w:val="20"/>
              <w:szCs w:val="20"/>
            </w:rPr>
            <w:fldChar w:fldCharType="separate"/>
          </w:r>
          <w:hyperlink w:anchor="_Toc129787426" w:history="1">
            <w:r w:rsidR="002F4D80" w:rsidRPr="002F4D80">
              <w:rPr>
                <w:rStyle w:val="Hyperlink"/>
                <w:rFonts w:ascii="Garamond" w:hAnsi="Garamond"/>
                <w:b/>
                <w:noProof/>
                <w:sz w:val="20"/>
                <w:szCs w:val="20"/>
                <w:lang w:val="en-US"/>
              </w:rPr>
              <w:t>Appendix A. Species selection and occurrence data</w:t>
            </w:r>
            <w:r w:rsidR="002F4D80" w:rsidRPr="002F4D80">
              <w:rPr>
                <w:rFonts w:ascii="Garamond" w:hAnsi="Garamond"/>
                <w:noProof/>
                <w:webHidden/>
                <w:sz w:val="20"/>
                <w:szCs w:val="20"/>
              </w:rPr>
              <w:tab/>
            </w:r>
            <w:r w:rsidR="002F4D80" w:rsidRPr="002F4D80">
              <w:rPr>
                <w:rFonts w:ascii="Garamond" w:hAnsi="Garamond"/>
                <w:noProof/>
                <w:webHidden/>
                <w:sz w:val="20"/>
                <w:szCs w:val="20"/>
              </w:rPr>
              <w:fldChar w:fldCharType="begin"/>
            </w:r>
            <w:r w:rsidR="002F4D80" w:rsidRPr="002F4D80">
              <w:rPr>
                <w:rFonts w:ascii="Garamond" w:hAnsi="Garamond"/>
                <w:noProof/>
                <w:webHidden/>
                <w:sz w:val="20"/>
                <w:szCs w:val="20"/>
              </w:rPr>
              <w:instrText xml:space="preserve"> PAGEREF _Toc129787426 \h </w:instrText>
            </w:r>
            <w:r w:rsidR="002F4D80" w:rsidRPr="002F4D80">
              <w:rPr>
                <w:rFonts w:ascii="Garamond" w:hAnsi="Garamond"/>
                <w:noProof/>
                <w:webHidden/>
                <w:sz w:val="20"/>
                <w:szCs w:val="20"/>
              </w:rPr>
            </w:r>
            <w:r w:rsidR="002F4D80" w:rsidRPr="002F4D80">
              <w:rPr>
                <w:rFonts w:ascii="Garamond" w:hAnsi="Garamond"/>
                <w:noProof/>
                <w:webHidden/>
                <w:sz w:val="20"/>
                <w:szCs w:val="20"/>
              </w:rPr>
              <w:fldChar w:fldCharType="separate"/>
            </w:r>
            <w:r w:rsidR="002F4D80" w:rsidRPr="002F4D80">
              <w:rPr>
                <w:rFonts w:ascii="Garamond" w:hAnsi="Garamond"/>
                <w:noProof/>
                <w:webHidden/>
                <w:sz w:val="20"/>
                <w:szCs w:val="20"/>
              </w:rPr>
              <w:t>1</w:t>
            </w:r>
            <w:r w:rsidR="002F4D80" w:rsidRPr="002F4D80">
              <w:rPr>
                <w:rFonts w:ascii="Garamond" w:hAnsi="Garamond"/>
                <w:noProof/>
                <w:webHidden/>
                <w:sz w:val="20"/>
                <w:szCs w:val="20"/>
              </w:rPr>
              <w:fldChar w:fldCharType="end"/>
            </w:r>
          </w:hyperlink>
        </w:p>
        <w:p w14:paraId="42101811" w14:textId="43FFF3D6" w:rsidR="002F4D80" w:rsidRPr="002F4D80" w:rsidRDefault="002F4D80" w:rsidP="002F4D80">
          <w:pPr>
            <w:pStyle w:val="TOC2"/>
            <w:tabs>
              <w:tab w:val="right" w:leader="dot" w:pos="9016"/>
            </w:tabs>
            <w:spacing w:line="276" w:lineRule="auto"/>
            <w:jc w:val="both"/>
            <w:rPr>
              <w:rFonts w:ascii="Garamond" w:eastAsiaTheme="minorEastAsia" w:hAnsi="Garamond"/>
              <w:noProof/>
              <w:sz w:val="20"/>
              <w:szCs w:val="20"/>
              <w:lang w:eastAsia="pt-PT"/>
            </w:rPr>
          </w:pPr>
          <w:hyperlink w:anchor="_Toc129787427" w:history="1">
            <w:r w:rsidRPr="002F4D80">
              <w:rPr>
                <w:rStyle w:val="Hyperlink"/>
                <w:rFonts w:ascii="Garamond" w:hAnsi="Garamond"/>
                <w:b/>
                <w:noProof/>
                <w:sz w:val="20"/>
                <w:szCs w:val="20"/>
                <w:lang w:val="en-US"/>
              </w:rPr>
              <w:t>Table A.1</w:t>
            </w:r>
            <w:r w:rsidRPr="002F4D80">
              <w:rPr>
                <w:rStyle w:val="Hyperlink"/>
                <w:rFonts w:ascii="Garamond" w:hAnsi="Garamond"/>
                <w:noProof/>
                <w:sz w:val="20"/>
                <w:szCs w:val="20"/>
                <w:lang w:val="en-US"/>
              </w:rPr>
              <w:t xml:space="preserve"> – Qualitative criteria adopted to define the relative abundance, structural complexity and vulnerability of CWCs in the Azores.</w:t>
            </w:r>
            <w:r w:rsidRPr="002F4D80">
              <w:rPr>
                <w:rFonts w:ascii="Garamond" w:hAnsi="Garamond"/>
                <w:noProof/>
                <w:webHidden/>
                <w:sz w:val="20"/>
                <w:szCs w:val="20"/>
              </w:rPr>
              <w:tab/>
            </w:r>
            <w:r w:rsidRPr="002F4D80">
              <w:rPr>
                <w:rFonts w:ascii="Garamond" w:hAnsi="Garamond"/>
                <w:noProof/>
                <w:webHidden/>
                <w:sz w:val="20"/>
                <w:szCs w:val="20"/>
              </w:rPr>
              <w:fldChar w:fldCharType="begin"/>
            </w:r>
            <w:r w:rsidRPr="002F4D80">
              <w:rPr>
                <w:rFonts w:ascii="Garamond" w:hAnsi="Garamond"/>
                <w:noProof/>
                <w:webHidden/>
                <w:sz w:val="20"/>
                <w:szCs w:val="20"/>
              </w:rPr>
              <w:instrText xml:space="preserve"> PAGEREF _Toc129787427 \h </w:instrText>
            </w:r>
            <w:r w:rsidRPr="002F4D80">
              <w:rPr>
                <w:rFonts w:ascii="Garamond" w:hAnsi="Garamond"/>
                <w:noProof/>
                <w:webHidden/>
                <w:sz w:val="20"/>
                <w:szCs w:val="20"/>
              </w:rPr>
            </w:r>
            <w:r w:rsidRPr="002F4D80">
              <w:rPr>
                <w:rFonts w:ascii="Garamond" w:hAnsi="Garamond"/>
                <w:noProof/>
                <w:webHidden/>
                <w:sz w:val="20"/>
                <w:szCs w:val="20"/>
              </w:rPr>
              <w:fldChar w:fldCharType="separate"/>
            </w:r>
            <w:r w:rsidRPr="002F4D80">
              <w:rPr>
                <w:rFonts w:ascii="Garamond" w:hAnsi="Garamond"/>
                <w:noProof/>
                <w:webHidden/>
                <w:sz w:val="20"/>
                <w:szCs w:val="20"/>
              </w:rPr>
              <w:t>1</w:t>
            </w:r>
            <w:r w:rsidRPr="002F4D80">
              <w:rPr>
                <w:rFonts w:ascii="Garamond" w:hAnsi="Garamond"/>
                <w:noProof/>
                <w:webHidden/>
                <w:sz w:val="20"/>
                <w:szCs w:val="20"/>
              </w:rPr>
              <w:fldChar w:fldCharType="end"/>
            </w:r>
          </w:hyperlink>
        </w:p>
        <w:p w14:paraId="7E781B50" w14:textId="7377A0CB" w:rsidR="002F4D80" w:rsidRPr="002F4D80" w:rsidRDefault="002F4D80" w:rsidP="002F4D80">
          <w:pPr>
            <w:pStyle w:val="TOC2"/>
            <w:tabs>
              <w:tab w:val="right" w:leader="dot" w:pos="9016"/>
            </w:tabs>
            <w:spacing w:line="276" w:lineRule="auto"/>
            <w:jc w:val="both"/>
            <w:rPr>
              <w:rFonts w:ascii="Garamond" w:eastAsiaTheme="minorEastAsia" w:hAnsi="Garamond"/>
              <w:noProof/>
              <w:sz w:val="20"/>
              <w:szCs w:val="20"/>
              <w:lang w:eastAsia="pt-PT"/>
            </w:rPr>
          </w:pPr>
          <w:hyperlink w:anchor="_Toc129787428" w:history="1">
            <w:r w:rsidRPr="002F4D80">
              <w:rPr>
                <w:rStyle w:val="Hyperlink"/>
                <w:rFonts w:ascii="Garamond" w:hAnsi="Garamond"/>
                <w:b/>
                <w:noProof/>
                <w:sz w:val="20"/>
                <w:szCs w:val="20"/>
                <w:lang w:val="en-US"/>
              </w:rPr>
              <w:t xml:space="preserve">Table A.2 </w:t>
            </w:r>
            <w:r w:rsidRPr="002F4D80">
              <w:rPr>
                <w:rStyle w:val="Hyperlink"/>
                <w:rFonts w:ascii="Garamond" w:hAnsi="Garamond"/>
                <w:noProof/>
                <w:sz w:val="20"/>
                <w:szCs w:val="20"/>
                <w:lang w:val="en-US"/>
              </w:rPr>
              <w:t>– Cold-water coral taxa selected for the habitat suitability modelling exercise. Their relative abundance, structural complexity (i.e. 3D-structure) and vulnerability were assessed and classified in 3 categories through an expert-driven process. Those results were used to select the taxa that show characteristics of foundation species and hence included in the modelling exercise.</w:t>
            </w:r>
            <w:r w:rsidRPr="002F4D80">
              <w:rPr>
                <w:rFonts w:ascii="Garamond" w:hAnsi="Garamond"/>
                <w:noProof/>
                <w:webHidden/>
                <w:sz w:val="20"/>
                <w:szCs w:val="20"/>
              </w:rPr>
              <w:tab/>
            </w:r>
            <w:r w:rsidRPr="002F4D80">
              <w:rPr>
                <w:rFonts w:ascii="Garamond" w:hAnsi="Garamond"/>
                <w:noProof/>
                <w:webHidden/>
                <w:sz w:val="20"/>
                <w:szCs w:val="20"/>
              </w:rPr>
              <w:fldChar w:fldCharType="begin"/>
            </w:r>
            <w:r w:rsidRPr="002F4D80">
              <w:rPr>
                <w:rFonts w:ascii="Garamond" w:hAnsi="Garamond"/>
                <w:noProof/>
                <w:webHidden/>
                <w:sz w:val="20"/>
                <w:szCs w:val="20"/>
              </w:rPr>
              <w:instrText xml:space="preserve"> PAGEREF _Toc129787428 \h </w:instrText>
            </w:r>
            <w:r w:rsidRPr="002F4D80">
              <w:rPr>
                <w:rFonts w:ascii="Garamond" w:hAnsi="Garamond"/>
                <w:noProof/>
                <w:webHidden/>
                <w:sz w:val="20"/>
                <w:szCs w:val="20"/>
              </w:rPr>
            </w:r>
            <w:r w:rsidRPr="002F4D80">
              <w:rPr>
                <w:rFonts w:ascii="Garamond" w:hAnsi="Garamond"/>
                <w:noProof/>
                <w:webHidden/>
                <w:sz w:val="20"/>
                <w:szCs w:val="20"/>
              </w:rPr>
              <w:fldChar w:fldCharType="separate"/>
            </w:r>
            <w:r w:rsidRPr="002F4D80">
              <w:rPr>
                <w:rFonts w:ascii="Garamond" w:hAnsi="Garamond"/>
                <w:noProof/>
                <w:webHidden/>
                <w:sz w:val="20"/>
                <w:szCs w:val="20"/>
              </w:rPr>
              <w:t>2</w:t>
            </w:r>
            <w:r w:rsidRPr="002F4D80">
              <w:rPr>
                <w:rFonts w:ascii="Garamond" w:hAnsi="Garamond"/>
                <w:noProof/>
                <w:webHidden/>
                <w:sz w:val="20"/>
                <w:szCs w:val="20"/>
              </w:rPr>
              <w:fldChar w:fldCharType="end"/>
            </w:r>
          </w:hyperlink>
        </w:p>
        <w:p w14:paraId="60BCD5C7" w14:textId="49454A91" w:rsidR="002F4D80" w:rsidRPr="002F4D80" w:rsidRDefault="002F4D80" w:rsidP="002F4D80">
          <w:pPr>
            <w:pStyle w:val="TOC2"/>
            <w:tabs>
              <w:tab w:val="right" w:leader="dot" w:pos="9016"/>
            </w:tabs>
            <w:spacing w:line="276" w:lineRule="auto"/>
            <w:jc w:val="both"/>
            <w:rPr>
              <w:rFonts w:ascii="Garamond" w:eastAsiaTheme="minorEastAsia" w:hAnsi="Garamond"/>
              <w:noProof/>
              <w:sz w:val="20"/>
              <w:szCs w:val="20"/>
              <w:lang w:eastAsia="pt-PT"/>
            </w:rPr>
          </w:pPr>
          <w:hyperlink w:anchor="_Toc129787429" w:history="1">
            <w:r w:rsidRPr="002F4D80">
              <w:rPr>
                <w:rStyle w:val="Hyperlink"/>
                <w:rFonts w:ascii="Garamond" w:hAnsi="Garamond"/>
                <w:b/>
                <w:noProof/>
                <w:sz w:val="20"/>
                <w:szCs w:val="20"/>
                <w:lang w:val="en-US"/>
              </w:rPr>
              <w:t>Figure A.1</w:t>
            </w:r>
            <w:r w:rsidRPr="002F4D80">
              <w:rPr>
                <w:rStyle w:val="Hyperlink"/>
                <w:rFonts w:ascii="Garamond" w:hAnsi="Garamond"/>
                <w:noProof/>
                <w:sz w:val="20"/>
                <w:szCs w:val="20"/>
                <w:lang w:val="en-US"/>
              </w:rPr>
              <w:t xml:space="preserve"> – Presence records of </w:t>
            </w:r>
            <w:r w:rsidRPr="002F4D80">
              <w:rPr>
                <w:rStyle w:val="Hyperlink"/>
                <w:rFonts w:ascii="Garamond" w:hAnsi="Garamond"/>
                <w:noProof/>
                <w:sz w:val="20"/>
                <w:szCs w:val="20"/>
                <w:lang w:val="en-GB"/>
              </w:rPr>
              <w:t>the selected octocoral (Alcyonacea) taxa</w:t>
            </w:r>
            <w:r w:rsidRPr="002F4D80">
              <w:rPr>
                <w:rStyle w:val="Hyperlink"/>
                <w:rFonts w:ascii="Garamond" w:hAnsi="Garamond"/>
                <w:noProof/>
                <w:sz w:val="20"/>
                <w:szCs w:val="20"/>
                <w:lang w:val="en-US"/>
              </w:rPr>
              <w:t xml:space="preserve">. </w:t>
            </w:r>
            <w:r w:rsidRPr="002F4D80">
              <w:rPr>
                <w:rStyle w:val="Hyperlink"/>
                <w:rFonts w:ascii="Garamond" w:hAnsi="Garamond"/>
                <w:noProof/>
                <w:sz w:val="20"/>
                <w:szCs w:val="20"/>
              </w:rPr>
              <w:t xml:space="preserve">Suborders: </w:t>
            </w:r>
            <w:r w:rsidRPr="002F4D80">
              <w:rPr>
                <w:rStyle w:val="Hyperlink"/>
                <w:rFonts w:ascii="Garamond" w:eastAsia="Times New Roman" w:hAnsi="Garamond" w:cs="Calibri"/>
                <w:noProof/>
                <w:sz w:val="20"/>
                <w:szCs w:val="20"/>
                <w:lang w:eastAsia="pt-PT"/>
              </w:rPr>
              <w:t xml:space="preserve">(a-e) Calcaxonia; (f-g) Holaxonia; (h-i) Scleraxonia. </w:t>
            </w:r>
            <w:r w:rsidRPr="002F4D80">
              <w:rPr>
                <w:rStyle w:val="Hyperlink"/>
                <w:rFonts w:ascii="Garamond" w:eastAsia="Times New Roman" w:hAnsi="Garamond" w:cs="Calibri"/>
                <w:noProof/>
                <w:sz w:val="20"/>
                <w:szCs w:val="20"/>
                <w:lang w:val="en-US" w:eastAsia="pt-PT"/>
              </w:rPr>
              <w:t>In parenthesis the number of records used to develop the habitat suitability models.</w:t>
            </w:r>
            <w:r w:rsidRPr="002F4D80">
              <w:rPr>
                <w:rFonts w:ascii="Garamond" w:hAnsi="Garamond"/>
                <w:noProof/>
                <w:webHidden/>
                <w:sz w:val="20"/>
                <w:szCs w:val="20"/>
              </w:rPr>
              <w:tab/>
            </w:r>
            <w:r w:rsidRPr="002F4D80">
              <w:rPr>
                <w:rFonts w:ascii="Garamond" w:hAnsi="Garamond"/>
                <w:noProof/>
                <w:webHidden/>
                <w:sz w:val="20"/>
                <w:szCs w:val="20"/>
              </w:rPr>
              <w:fldChar w:fldCharType="begin"/>
            </w:r>
            <w:r w:rsidRPr="002F4D80">
              <w:rPr>
                <w:rFonts w:ascii="Garamond" w:hAnsi="Garamond"/>
                <w:noProof/>
                <w:webHidden/>
                <w:sz w:val="20"/>
                <w:szCs w:val="20"/>
              </w:rPr>
              <w:instrText xml:space="preserve"> PAGEREF _Toc129787429 \h </w:instrText>
            </w:r>
            <w:r w:rsidRPr="002F4D80">
              <w:rPr>
                <w:rFonts w:ascii="Garamond" w:hAnsi="Garamond"/>
                <w:noProof/>
                <w:webHidden/>
                <w:sz w:val="20"/>
                <w:szCs w:val="20"/>
              </w:rPr>
            </w:r>
            <w:r w:rsidRPr="002F4D80">
              <w:rPr>
                <w:rFonts w:ascii="Garamond" w:hAnsi="Garamond"/>
                <w:noProof/>
                <w:webHidden/>
                <w:sz w:val="20"/>
                <w:szCs w:val="20"/>
              </w:rPr>
              <w:fldChar w:fldCharType="separate"/>
            </w:r>
            <w:r w:rsidRPr="002F4D80">
              <w:rPr>
                <w:rFonts w:ascii="Garamond" w:hAnsi="Garamond"/>
                <w:noProof/>
                <w:webHidden/>
                <w:sz w:val="20"/>
                <w:szCs w:val="20"/>
              </w:rPr>
              <w:t>3</w:t>
            </w:r>
            <w:r w:rsidRPr="002F4D80">
              <w:rPr>
                <w:rFonts w:ascii="Garamond" w:hAnsi="Garamond"/>
                <w:noProof/>
                <w:webHidden/>
                <w:sz w:val="20"/>
                <w:szCs w:val="20"/>
              </w:rPr>
              <w:fldChar w:fldCharType="end"/>
            </w:r>
          </w:hyperlink>
        </w:p>
        <w:p w14:paraId="47622E1A" w14:textId="1448A7F6" w:rsidR="002F4D80" w:rsidRPr="002F4D80" w:rsidRDefault="002F4D80" w:rsidP="002F4D80">
          <w:pPr>
            <w:pStyle w:val="TOC2"/>
            <w:tabs>
              <w:tab w:val="right" w:leader="dot" w:pos="9016"/>
            </w:tabs>
            <w:spacing w:line="276" w:lineRule="auto"/>
            <w:jc w:val="both"/>
            <w:rPr>
              <w:rFonts w:ascii="Garamond" w:eastAsiaTheme="minorEastAsia" w:hAnsi="Garamond"/>
              <w:noProof/>
              <w:sz w:val="20"/>
              <w:szCs w:val="20"/>
              <w:lang w:eastAsia="pt-PT"/>
            </w:rPr>
          </w:pPr>
          <w:hyperlink w:anchor="_Toc129787430" w:history="1">
            <w:r w:rsidRPr="002F4D80">
              <w:rPr>
                <w:rStyle w:val="Hyperlink"/>
                <w:rFonts w:ascii="Garamond" w:hAnsi="Garamond"/>
                <w:b/>
                <w:noProof/>
                <w:sz w:val="20"/>
                <w:szCs w:val="20"/>
                <w:lang w:val="en-US"/>
              </w:rPr>
              <w:t xml:space="preserve">Figure A.2 </w:t>
            </w:r>
            <w:r w:rsidRPr="002F4D80">
              <w:rPr>
                <w:rStyle w:val="Hyperlink"/>
                <w:rFonts w:ascii="Garamond" w:hAnsi="Garamond"/>
                <w:noProof/>
                <w:sz w:val="20"/>
                <w:szCs w:val="20"/>
                <w:lang w:val="en-US"/>
              </w:rPr>
              <w:t>– Presence records of the selected Scleractinia (a-c), Anthoathecata (Stylasteridae) (d) and Antipatharia (e) species.</w:t>
            </w:r>
            <w:r w:rsidRPr="002F4D80">
              <w:rPr>
                <w:rStyle w:val="Hyperlink"/>
                <w:rFonts w:ascii="Garamond" w:eastAsia="Times New Roman" w:hAnsi="Garamond" w:cs="Calibri"/>
                <w:noProof/>
                <w:sz w:val="20"/>
                <w:szCs w:val="20"/>
                <w:lang w:val="en-US" w:eastAsia="pt-PT"/>
              </w:rPr>
              <w:t xml:space="preserve"> In parenthesis the of number records used to develop the habitat suitability models.</w:t>
            </w:r>
            <w:r w:rsidRPr="002F4D80">
              <w:rPr>
                <w:rFonts w:ascii="Garamond" w:hAnsi="Garamond"/>
                <w:noProof/>
                <w:webHidden/>
                <w:sz w:val="20"/>
                <w:szCs w:val="20"/>
              </w:rPr>
              <w:tab/>
            </w:r>
            <w:r w:rsidRPr="002F4D80">
              <w:rPr>
                <w:rFonts w:ascii="Garamond" w:hAnsi="Garamond"/>
                <w:noProof/>
                <w:webHidden/>
                <w:sz w:val="20"/>
                <w:szCs w:val="20"/>
              </w:rPr>
              <w:fldChar w:fldCharType="begin"/>
            </w:r>
            <w:r w:rsidRPr="002F4D80">
              <w:rPr>
                <w:rFonts w:ascii="Garamond" w:hAnsi="Garamond"/>
                <w:noProof/>
                <w:webHidden/>
                <w:sz w:val="20"/>
                <w:szCs w:val="20"/>
              </w:rPr>
              <w:instrText xml:space="preserve"> PAGEREF _Toc129787430 \h </w:instrText>
            </w:r>
            <w:r w:rsidRPr="002F4D80">
              <w:rPr>
                <w:rFonts w:ascii="Garamond" w:hAnsi="Garamond"/>
                <w:noProof/>
                <w:webHidden/>
                <w:sz w:val="20"/>
                <w:szCs w:val="20"/>
              </w:rPr>
            </w:r>
            <w:r w:rsidRPr="002F4D80">
              <w:rPr>
                <w:rFonts w:ascii="Garamond" w:hAnsi="Garamond"/>
                <w:noProof/>
                <w:webHidden/>
                <w:sz w:val="20"/>
                <w:szCs w:val="20"/>
              </w:rPr>
              <w:fldChar w:fldCharType="separate"/>
            </w:r>
            <w:r w:rsidRPr="002F4D80">
              <w:rPr>
                <w:rFonts w:ascii="Garamond" w:hAnsi="Garamond"/>
                <w:noProof/>
                <w:webHidden/>
                <w:sz w:val="20"/>
                <w:szCs w:val="20"/>
              </w:rPr>
              <w:t>4</w:t>
            </w:r>
            <w:r w:rsidRPr="002F4D80">
              <w:rPr>
                <w:rFonts w:ascii="Garamond" w:hAnsi="Garamond"/>
                <w:noProof/>
                <w:webHidden/>
                <w:sz w:val="20"/>
                <w:szCs w:val="20"/>
              </w:rPr>
              <w:fldChar w:fldCharType="end"/>
            </w:r>
          </w:hyperlink>
        </w:p>
        <w:p w14:paraId="1C8F6A1F" w14:textId="2D2B8346" w:rsidR="002F4D80" w:rsidRPr="002F4D80" w:rsidRDefault="002F4D80" w:rsidP="002F4D80">
          <w:pPr>
            <w:pStyle w:val="TOC1"/>
            <w:tabs>
              <w:tab w:val="right" w:leader="dot" w:pos="9016"/>
            </w:tabs>
            <w:spacing w:line="276" w:lineRule="auto"/>
            <w:jc w:val="both"/>
            <w:rPr>
              <w:rFonts w:ascii="Garamond" w:eastAsiaTheme="minorEastAsia" w:hAnsi="Garamond"/>
              <w:noProof/>
              <w:sz w:val="20"/>
              <w:szCs w:val="20"/>
              <w:lang w:eastAsia="pt-PT"/>
            </w:rPr>
          </w:pPr>
          <w:hyperlink w:anchor="_Toc129787431" w:history="1">
            <w:r w:rsidRPr="002F4D80">
              <w:rPr>
                <w:rStyle w:val="Hyperlink"/>
                <w:rFonts w:ascii="Garamond" w:hAnsi="Garamond"/>
                <w:b/>
                <w:noProof/>
                <w:sz w:val="20"/>
                <w:szCs w:val="20"/>
                <w:lang w:val="en-US"/>
              </w:rPr>
              <w:t>Appendix B. Predictor layers</w:t>
            </w:r>
            <w:r w:rsidRPr="002F4D80">
              <w:rPr>
                <w:rFonts w:ascii="Garamond" w:hAnsi="Garamond"/>
                <w:noProof/>
                <w:webHidden/>
                <w:sz w:val="20"/>
                <w:szCs w:val="20"/>
              </w:rPr>
              <w:tab/>
            </w:r>
            <w:r w:rsidRPr="002F4D80">
              <w:rPr>
                <w:rFonts w:ascii="Garamond" w:hAnsi="Garamond"/>
                <w:noProof/>
                <w:webHidden/>
                <w:sz w:val="20"/>
                <w:szCs w:val="20"/>
              </w:rPr>
              <w:fldChar w:fldCharType="begin"/>
            </w:r>
            <w:r w:rsidRPr="002F4D80">
              <w:rPr>
                <w:rFonts w:ascii="Garamond" w:hAnsi="Garamond"/>
                <w:noProof/>
                <w:webHidden/>
                <w:sz w:val="20"/>
                <w:szCs w:val="20"/>
              </w:rPr>
              <w:instrText xml:space="preserve"> PAGEREF _Toc129787431 \h </w:instrText>
            </w:r>
            <w:r w:rsidRPr="002F4D80">
              <w:rPr>
                <w:rFonts w:ascii="Garamond" w:hAnsi="Garamond"/>
                <w:noProof/>
                <w:webHidden/>
                <w:sz w:val="20"/>
                <w:szCs w:val="20"/>
              </w:rPr>
            </w:r>
            <w:r w:rsidRPr="002F4D80">
              <w:rPr>
                <w:rFonts w:ascii="Garamond" w:hAnsi="Garamond"/>
                <w:noProof/>
                <w:webHidden/>
                <w:sz w:val="20"/>
                <w:szCs w:val="20"/>
              </w:rPr>
              <w:fldChar w:fldCharType="separate"/>
            </w:r>
            <w:r w:rsidRPr="002F4D80">
              <w:rPr>
                <w:rFonts w:ascii="Garamond" w:hAnsi="Garamond"/>
                <w:noProof/>
                <w:webHidden/>
                <w:sz w:val="20"/>
                <w:szCs w:val="20"/>
              </w:rPr>
              <w:t>5</w:t>
            </w:r>
            <w:r w:rsidRPr="002F4D80">
              <w:rPr>
                <w:rFonts w:ascii="Garamond" w:hAnsi="Garamond"/>
                <w:noProof/>
                <w:webHidden/>
                <w:sz w:val="20"/>
                <w:szCs w:val="20"/>
              </w:rPr>
              <w:fldChar w:fldCharType="end"/>
            </w:r>
          </w:hyperlink>
        </w:p>
        <w:p w14:paraId="44E6F676" w14:textId="3561E0E1" w:rsidR="002F4D80" w:rsidRPr="002F4D80" w:rsidRDefault="002F4D80" w:rsidP="002F4D80">
          <w:pPr>
            <w:pStyle w:val="TOC2"/>
            <w:tabs>
              <w:tab w:val="right" w:leader="dot" w:pos="9016"/>
            </w:tabs>
            <w:spacing w:line="276" w:lineRule="auto"/>
            <w:jc w:val="both"/>
            <w:rPr>
              <w:rFonts w:ascii="Garamond" w:eastAsiaTheme="minorEastAsia" w:hAnsi="Garamond"/>
              <w:noProof/>
              <w:sz w:val="20"/>
              <w:szCs w:val="20"/>
              <w:lang w:eastAsia="pt-PT"/>
            </w:rPr>
          </w:pPr>
          <w:hyperlink w:anchor="_Toc129787432" w:history="1">
            <w:r w:rsidRPr="002F4D80">
              <w:rPr>
                <w:rStyle w:val="Hyperlink"/>
                <w:rFonts w:ascii="Garamond" w:hAnsi="Garamond"/>
                <w:b/>
                <w:noProof/>
                <w:sz w:val="20"/>
                <w:szCs w:val="20"/>
                <w:lang w:val="en-US"/>
              </w:rPr>
              <w:t>Table B.1</w:t>
            </w:r>
            <w:r w:rsidRPr="002F4D80">
              <w:rPr>
                <w:rStyle w:val="Hyperlink"/>
                <w:rFonts w:ascii="Garamond" w:hAnsi="Garamond"/>
                <w:noProof/>
                <w:sz w:val="20"/>
                <w:szCs w:val="20"/>
                <w:lang w:val="en-US"/>
              </w:rPr>
              <w:t xml:space="preserve"> – Environmental layers considered in this study. The layers selected to develop habitat suitability models are highlighted in bold. Values of mean and standard deviation (SD) only consider areas shallower than 2000 m. (</w:t>
            </w:r>
            <w:r w:rsidRPr="002F4D80">
              <w:rPr>
                <w:rStyle w:val="Hyperlink"/>
                <w:rFonts w:ascii="Garamond" w:hAnsi="Garamond"/>
                <w:noProof/>
                <w:sz w:val="20"/>
                <w:szCs w:val="20"/>
                <w:vertAlign w:val="superscript"/>
                <w:lang w:val="en-US"/>
              </w:rPr>
              <w:t>‡</w:t>
            </w:r>
            <w:r w:rsidRPr="002F4D80">
              <w:rPr>
                <w:rStyle w:val="Hyperlink"/>
                <w:rFonts w:ascii="Garamond" w:hAnsi="Garamond"/>
                <w:noProof/>
                <w:sz w:val="20"/>
                <w:szCs w:val="20"/>
                <w:lang w:val="en-US"/>
              </w:rPr>
              <w:t>) Depth-derived layers computed in ArcGIS using the Benthic Terrain Modeller toolbox (Walbridge et al., 2018). (</w:t>
            </w:r>
            <w:r w:rsidRPr="002F4D80">
              <w:rPr>
                <w:rStyle w:val="Hyperlink"/>
                <w:rFonts w:ascii="Garamond" w:hAnsi="Garamond"/>
                <w:noProof/>
                <w:sz w:val="20"/>
                <w:szCs w:val="20"/>
                <w:vertAlign w:val="superscript"/>
                <w:lang w:val="en-US"/>
              </w:rPr>
              <w:t>†</w:t>
            </w:r>
            <w:r w:rsidRPr="002F4D80">
              <w:rPr>
                <w:rStyle w:val="Hyperlink"/>
                <w:rFonts w:ascii="Garamond" w:hAnsi="Garamond"/>
                <w:noProof/>
                <w:sz w:val="20"/>
                <w:szCs w:val="20"/>
                <w:lang w:val="en-US"/>
              </w:rPr>
              <w:t xml:space="preserve">) Seafloor conditions derived from the VIKING20 oceanographic model computed as the mean of monthly values for the period 1989-2009 </w:t>
            </w:r>
            <w:r w:rsidRPr="002F4D80">
              <w:rPr>
                <w:rStyle w:val="Hyperlink"/>
                <w:rFonts w:ascii="Garamond" w:hAnsi="Garamond"/>
                <w:noProof/>
                <w:sz w:val="20"/>
                <w:szCs w:val="20"/>
              </w:rPr>
              <w:t xml:space="preserve">(Böning et al., 2016). All layers from Amorim et al. </w:t>
            </w:r>
            <w:r w:rsidRPr="002F4D80">
              <w:rPr>
                <w:rStyle w:val="Hyperlink"/>
                <w:rFonts w:ascii="Garamond" w:hAnsi="Garamond"/>
                <w:noProof/>
                <w:sz w:val="20"/>
                <w:szCs w:val="20"/>
                <w:lang w:val="en-US"/>
              </w:rPr>
              <w:t xml:space="preserve">(2017), Böning et al. (2016) and Wei et al. (2020) refer to seafloor conditions only. </w:t>
            </w:r>
            <w:r w:rsidRPr="002F4D80">
              <w:rPr>
                <w:rStyle w:val="Hyperlink"/>
                <w:rFonts w:ascii="Garamond" w:hAnsi="Garamond"/>
                <w:noProof/>
                <w:sz w:val="20"/>
                <w:szCs w:val="20"/>
              </w:rPr>
              <w:t>BPI: bathymetric position index; POC: particulate organic carbon.</w:t>
            </w:r>
            <w:r w:rsidRPr="002F4D80">
              <w:rPr>
                <w:rFonts w:ascii="Garamond" w:hAnsi="Garamond"/>
                <w:noProof/>
                <w:webHidden/>
                <w:sz w:val="20"/>
                <w:szCs w:val="20"/>
              </w:rPr>
              <w:tab/>
            </w:r>
            <w:r w:rsidRPr="002F4D80">
              <w:rPr>
                <w:rFonts w:ascii="Garamond" w:hAnsi="Garamond"/>
                <w:noProof/>
                <w:webHidden/>
                <w:sz w:val="20"/>
                <w:szCs w:val="20"/>
              </w:rPr>
              <w:fldChar w:fldCharType="begin"/>
            </w:r>
            <w:r w:rsidRPr="002F4D80">
              <w:rPr>
                <w:rFonts w:ascii="Garamond" w:hAnsi="Garamond"/>
                <w:noProof/>
                <w:webHidden/>
                <w:sz w:val="20"/>
                <w:szCs w:val="20"/>
              </w:rPr>
              <w:instrText xml:space="preserve"> PAGEREF _Toc129787432 \h </w:instrText>
            </w:r>
            <w:r w:rsidRPr="002F4D80">
              <w:rPr>
                <w:rFonts w:ascii="Garamond" w:hAnsi="Garamond"/>
                <w:noProof/>
                <w:webHidden/>
                <w:sz w:val="20"/>
                <w:szCs w:val="20"/>
              </w:rPr>
            </w:r>
            <w:r w:rsidRPr="002F4D80">
              <w:rPr>
                <w:rFonts w:ascii="Garamond" w:hAnsi="Garamond"/>
                <w:noProof/>
                <w:webHidden/>
                <w:sz w:val="20"/>
                <w:szCs w:val="20"/>
              </w:rPr>
              <w:fldChar w:fldCharType="separate"/>
            </w:r>
            <w:r w:rsidRPr="002F4D80">
              <w:rPr>
                <w:rFonts w:ascii="Garamond" w:hAnsi="Garamond"/>
                <w:noProof/>
                <w:webHidden/>
                <w:sz w:val="20"/>
                <w:szCs w:val="20"/>
              </w:rPr>
              <w:t>5</w:t>
            </w:r>
            <w:r w:rsidRPr="002F4D80">
              <w:rPr>
                <w:rFonts w:ascii="Garamond" w:hAnsi="Garamond"/>
                <w:noProof/>
                <w:webHidden/>
                <w:sz w:val="20"/>
                <w:szCs w:val="20"/>
              </w:rPr>
              <w:fldChar w:fldCharType="end"/>
            </w:r>
          </w:hyperlink>
        </w:p>
        <w:p w14:paraId="6B89E67B" w14:textId="1029DB34" w:rsidR="002F4D80" w:rsidRPr="002F4D80" w:rsidRDefault="002F4D80" w:rsidP="002F4D80">
          <w:pPr>
            <w:pStyle w:val="TOC2"/>
            <w:tabs>
              <w:tab w:val="right" w:leader="dot" w:pos="9016"/>
            </w:tabs>
            <w:spacing w:line="276" w:lineRule="auto"/>
            <w:jc w:val="both"/>
            <w:rPr>
              <w:rFonts w:ascii="Garamond" w:eastAsiaTheme="minorEastAsia" w:hAnsi="Garamond"/>
              <w:noProof/>
              <w:sz w:val="20"/>
              <w:szCs w:val="20"/>
              <w:lang w:eastAsia="pt-PT"/>
            </w:rPr>
          </w:pPr>
          <w:hyperlink w:anchor="_Toc129787433" w:history="1">
            <w:r w:rsidRPr="002F4D80">
              <w:rPr>
                <w:rStyle w:val="Hyperlink"/>
                <w:rFonts w:ascii="Garamond" w:hAnsi="Garamond"/>
                <w:b/>
                <w:noProof/>
                <w:sz w:val="20"/>
                <w:szCs w:val="20"/>
                <w:lang w:val="en-US"/>
              </w:rPr>
              <w:t>Figure B.1</w:t>
            </w:r>
            <w:r w:rsidRPr="002F4D80">
              <w:rPr>
                <w:rStyle w:val="Hyperlink"/>
                <w:rFonts w:ascii="Garamond" w:hAnsi="Garamond"/>
                <w:noProof/>
                <w:sz w:val="20"/>
                <w:szCs w:val="20"/>
                <w:lang w:val="en-US"/>
              </w:rPr>
              <w:t xml:space="preserve"> – Principal component analysis (PCA) of aragonite, calcite, nitrate, phosphate and silicate. (a-d) Locally weighted scatterplot smoothing (LOWESS) of the unscaled values of silicate, phosphate, nitrate, calcite and aragonite against the first principal component (PC1 – ‘seawater chemistry’). (e) Depths corresponding to aragonite and calcite undersaturation zones (Ω &lt; 1). Panels (a-d) refer to seafloor locations at depths shallower than 2000 m. In order to show undersaturation zones, panel (e) includes locations below 2000 m depth, which are out of the scope of the present study.</w:t>
            </w:r>
            <w:r w:rsidRPr="002F4D80">
              <w:rPr>
                <w:rFonts w:ascii="Garamond" w:hAnsi="Garamond"/>
                <w:noProof/>
                <w:webHidden/>
                <w:sz w:val="20"/>
                <w:szCs w:val="20"/>
              </w:rPr>
              <w:tab/>
            </w:r>
            <w:r w:rsidRPr="002F4D80">
              <w:rPr>
                <w:rFonts w:ascii="Garamond" w:hAnsi="Garamond"/>
                <w:noProof/>
                <w:webHidden/>
                <w:sz w:val="20"/>
                <w:szCs w:val="20"/>
              </w:rPr>
              <w:fldChar w:fldCharType="begin"/>
            </w:r>
            <w:r w:rsidRPr="002F4D80">
              <w:rPr>
                <w:rFonts w:ascii="Garamond" w:hAnsi="Garamond"/>
                <w:noProof/>
                <w:webHidden/>
                <w:sz w:val="20"/>
                <w:szCs w:val="20"/>
              </w:rPr>
              <w:instrText xml:space="preserve"> PAGEREF _Toc129787433 \h </w:instrText>
            </w:r>
            <w:r w:rsidRPr="002F4D80">
              <w:rPr>
                <w:rFonts w:ascii="Garamond" w:hAnsi="Garamond"/>
                <w:noProof/>
                <w:webHidden/>
                <w:sz w:val="20"/>
                <w:szCs w:val="20"/>
              </w:rPr>
            </w:r>
            <w:r w:rsidRPr="002F4D80">
              <w:rPr>
                <w:rFonts w:ascii="Garamond" w:hAnsi="Garamond"/>
                <w:noProof/>
                <w:webHidden/>
                <w:sz w:val="20"/>
                <w:szCs w:val="20"/>
              </w:rPr>
              <w:fldChar w:fldCharType="separate"/>
            </w:r>
            <w:r w:rsidRPr="002F4D80">
              <w:rPr>
                <w:rFonts w:ascii="Garamond" w:hAnsi="Garamond"/>
                <w:noProof/>
                <w:webHidden/>
                <w:sz w:val="20"/>
                <w:szCs w:val="20"/>
              </w:rPr>
              <w:t>6</w:t>
            </w:r>
            <w:r w:rsidRPr="002F4D80">
              <w:rPr>
                <w:rFonts w:ascii="Garamond" w:hAnsi="Garamond"/>
                <w:noProof/>
                <w:webHidden/>
                <w:sz w:val="20"/>
                <w:szCs w:val="20"/>
              </w:rPr>
              <w:fldChar w:fldCharType="end"/>
            </w:r>
          </w:hyperlink>
        </w:p>
        <w:p w14:paraId="245BDFD1" w14:textId="1B42B4B3" w:rsidR="002F4D80" w:rsidRPr="002F4D80" w:rsidRDefault="002F4D80" w:rsidP="002F4D80">
          <w:pPr>
            <w:pStyle w:val="TOC2"/>
            <w:tabs>
              <w:tab w:val="right" w:leader="dot" w:pos="9016"/>
            </w:tabs>
            <w:spacing w:line="276" w:lineRule="auto"/>
            <w:jc w:val="both"/>
            <w:rPr>
              <w:rFonts w:ascii="Garamond" w:eastAsiaTheme="minorEastAsia" w:hAnsi="Garamond"/>
              <w:noProof/>
              <w:sz w:val="20"/>
              <w:szCs w:val="20"/>
              <w:lang w:eastAsia="pt-PT"/>
            </w:rPr>
          </w:pPr>
          <w:hyperlink w:anchor="_Toc129787434" w:history="1">
            <w:r w:rsidRPr="002F4D80">
              <w:rPr>
                <w:rStyle w:val="Hyperlink"/>
                <w:rFonts w:ascii="Garamond" w:hAnsi="Garamond"/>
                <w:b/>
                <w:noProof/>
                <w:sz w:val="20"/>
                <w:szCs w:val="20"/>
                <w:lang w:val="en-US"/>
              </w:rPr>
              <w:t>Figure B.2</w:t>
            </w:r>
            <w:r w:rsidRPr="002F4D80">
              <w:rPr>
                <w:rStyle w:val="Hyperlink"/>
                <w:rFonts w:ascii="Garamond" w:hAnsi="Garamond"/>
                <w:noProof/>
                <w:sz w:val="20"/>
                <w:szCs w:val="20"/>
                <w:lang w:val="en-US"/>
              </w:rPr>
              <w:t xml:space="preserve"> – Environmental layers used to develop the habitat suitability models. POC: particulate organic carbon export. Seawater chemistry (unitless) is the first principal component of the principal component analysis combining nutrient concentrations and aragonite/calcite saturation levels. BPI: bathymetric position index (unitless) computed with two radii (5 and 20 km). With the exception of panel (b), all panels refer to seafloor or near</w:t>
            </w:r>
            <w:r w:rsidRPr="002F4D80">
              <w:rPr>
                <w:rStyle w:val="Hyperlink"/>
                <w:rFonts w:ascii="Garamond" w:hAnsi="Garamond"/>
                <w:noProof/>
                <w:sz w:val="20"/>
                <w:szCs w:val="20"/>
                <w:lang w:val="en-US"/>
              </w:rPr>
              <w:noBreakHyphen/>
              <w:t>seafloor conditions only.</w:t>
            </w:r>
            <w:r w:rsidRPr="002F4D80">
              <w:rPr>
                <w:rFonts w:ascii="Garamond" w:hAnsi="Garamond"/>
                <w:noProof/>
                <w:webHidden/>
                <w:sz w:val="20"/>
                <w:szCs w:val="20"/>
              </w:rPr>
              <w:tab/>
            </w:r>
            <w:r w:rsidRPr="002F4D80">
              <w:rPr>
                <w:rFonts w:ascii="Garamond" w:hAnsi="Garamond"/>
                <w:noProof/>
                <w:webHidden/>
                <w:sz w:val="20"/>
                <w:szCs w:val="20"/>
              </w:rPr>
              <w:fldChar w:fldCharType="begin"/>
            </w:r>
            <w:r w:rsidRPr="002F4D80">
              <w:rPr>
                <w:rFonts w:ascii="Garamond" w:hAnsi="Garamond"/>
                <w:noProof/>
                <w:webHidden/>
                <w:sz w:val="20"/>
                <w:szCs w:val="20"/>
              </w:rPr>
              <w:instrText xml:space="preserve"> PAGEREF _Toc129787434 \h </w:instrText>
            </w:r>
            <w:r w:rsidRPr="002F4D80">
              <w:rPr>
                <w:rFonts w:ascii="Garamond" w:hAnsi="Garamond"/>
                <w:noProof/>
                <w:webHidden/>
                <w:sz w:val="20"/>
                <w:szCs w:val="20"/>
              </w:rPr>
            </w:r>
            <w:r w:rsidRPr="002F4D80">
              <w:rPr>
                <w:rFonts w:ascii="Garamond" w:hAnsi="Garamond"/>
                <w:noProof/>
                <w:webHidden/>
                <w:sz w:val="20"/>
                <w:szCs w:val="20"/>
              </w:rPr>
              <w:fldChar w:fldCharType="separate"/>
            </w:r>
            <w:r w:rsidRPr="002F4D80">
              <w:rPr>
                <w:rFonts w:ascii="Garamond" w:hAnsi="Garamond"/>
                <w:noProof/>
                <w:webHidden/>
                <w:sz w:val="20"/>
                <w:szCs w:val="20"/>
              </w:rPr>
              <w:t>7</w:t>
            </w:r>
            <w:r w:rsidRPr="002F4D80">
              <w:rPr>
                <w:rFonts w:ascii="Garamond" w:hAnsi="Garamond"/>
                <w:noProof/>
                <w:webHidden/>
                <w:sz w:val="20"/>
                <w:szCs w:val="20"/>
              </w:rPr>
              <w:fldChar w:fldCharType="end"/>
            </w:r>
          </w:hyperlink>
        </w:p>
        <w:p w14:paraId="73A61463" w14:textId="70D87C64" w:rsidR="002F4D80" w:rsidRPr="002F4D80" w:rsidRDefault="002F4D80" w:rsidP="002F4D80">
          <w:pPr>
            <w:pStyle w:val="TOC1"/>
            <w:tabs>
              <w:tab w:val="right" w:leader="dot" w:pos="9016"/>
            </w:tabs>
            <w:spacing w:line="276" w:lineRule="auto"/>
            <w:jc w:val="both"/>
            <w:rPr>
              <w:rFonts w:ascii="Garamond" w:eastAsiaTheme="minorEastAsia" w:hAnsi="Garamond"/>
              <w:noProof/>
              <w:sz w:val="20"/>
              <w:szCs w:val="20"/>
              <w:lang w:eastAsia="pt-PT"/>
            </w:rPr>
          </w:pPr>
          <w:hyperlink w:anchor="_Toc129787435" w:history="1">
            <w:r w:rsidRPr="002F4D80">
              <w:rPr>
                <w:rStyle w:val="Hyperlink"/>
                <w:rFonts w:ascii="Garamond" w:hAnsi="Garamond"/>
                <w:b/>
                <w:noProof/>
                <w:sz w:val="20"/>
                <w:szCs w:val="20"/>
              </w:rPr>
              <w:t>Appendix C. Habitat suitability models</w:t>
            </w:r>
            <w:r w:rsidRPr="002F4D80">
              <w:rPr>
                <w:rFonts w:ascii="Garamond" w:hAnsi="Garamond"/>
                <w:noProof/>
                <w:webHidden/>
                <w:sz w:val="20"/>
                <w:szCs w:val="20"/>
              </w:rPr>
              <w:tab/>
            </w:r>
            <w:r w:rsidRPr="002F4D80">
              <w:rPr>
                <w:rFonts w:ascii="Garamond" w:hAnsi="Garamond"/>
                <w:noProof/>
                <w:webHidden/>
                <w:sz w:val="20"/>
                <w:szCs w:val="20"/>
              </w:rPr>
              <w:fldChar w:fldCharType="begin"/>
            </w:r>
            <w:r w:rsidRPr="002F4D80">
              <w:rPr>
                <w:rFonts w:ascii="Garamond" w:hAnsi="Garamond"/>
                <w:noProof/>
                <w:webHidden/>
                <w:sz w:val="20"/>
                <w:szCs w:val="20"/>
              </w:rPr>
              <w:instrText xml:space="preserve"> PAGEREF _Toc129787435 \h </w:instrText>
            </w:r>
            <w:r w:rsidRPr="002F4D80">
              <w:rPr>
                <w:rFonts w:ascii="Garamond" w:hAnsi="Garamond"/>
                <w:noProof/>
                <w:webHidden/>
                <w:sz w:val="20"/>
                <w:szCs w:val="20"/>
              </w:rPr>
            </w:r>
            <w:r w:rsidRPr="002F4D80">
              <w:rPr>
                <w:rFonts w:ascii="Garamond" w:hAnsi="Garamond"/>
                <w:noProof/>
                <w:webHidden/>
                <w:sz w:val="20"/>
                <w:szCs w:val="20"/>
              </w:rPr>
              <w:fldChar w:fldCharType="separate"/>
            </w:r>
            <w:r w:rsidRPr="002F4D80">
              <w:rPr>
                <w:rFonts w:ascii="Garamond" w:hAnsi="Garamond"/>
                <w:noProof/>
                <w:webHidden/>
                <w:sz w:val="20"/>
                <w:szCs w:val="20"/>
              </w:rPr>
              <w:t>8</w:t>
            </w:r>
            <w:r w:rsidRPr="002F4D80">
              <w:rPr>
                <w:rFonts w:ascii="Garamond" w:hAnsi="Garamond"/>
                <w:noProof/>
                <w:webHidden/>
                <w:sz w:val="20"/>
                <w:szCs w:val="20"/>
              </w:rPr>
              <w:fldChar w:fldCharType="end"/>
            </w:r>
          </w:hyperlink>
        </w:p>
        <w:p w14:paraId="45691466" w14:textId="71DEA665" w:rsidR="002F4D80" w:rsidRPr="002F4D80" w:rsidRDefault="002F4D80" w:rsidP="002F4D80">
          <w:pPr>
            <w:pStyle w:val="TOC2"/>
            <w:tabs>
              <w:tab w:val="right" w:leader="dot" w:pos="9016"/>
            </w:tabs>
            <w:spacing w:line="276" w:lineRule="auto"/>
            <w:jc w:val="both"/>
            <w:rPr>
              <w:rFonts w:ascii="Garamond" w:eastAsiaTheme="minorEastAsia" w:hAnsi="Garamond"/>
              <w:noProof/>
              <w:sz w:val="20"/>
              <w:szCs w:val="20"/>
              <w:lang w:eastAsia="pt-PT"/>
            </w:rPr>
          </w:pPr>
          <w:hyperlink w:anchor="_Toc129787436" w:history="1">
            <w:r w:rsidRPr="002F4D80">
              <w:rPr>
                <w:rStyle w:val="Hyperlink"/>
                <w:rFonts w:ascii="Garamond" w:hAnsi="Garamond"/>
                <w:b/>
                <w:noProof/>
                <w:sz w:val="20"/>
                <w:szCs w:val="20"/>
                <w:lang w:val="en-US"/>
              </w:rPr>
              <w:t>Figure C.1</w:t>
            </w:r>
            <w:r w:rsidRPr="002F4D80">
              <w:rPr>
                <w:rStyle w:val="Hyperlink"/>
                <w:rFonts w:ascii="Garamond" w:hAnsi="Garamond"/>
                <w:noProof/>
                <w:sz w:val="20"/>
                <w:szCs w:val="20"/>
                <w:lang w:val="en-US"/>
              </w:rPr>
              <w:t xml:space="preserve"> – Workflow for the design and evaluation of habitat suitability models and niche analyses. CWC: cold-water coral; AUC: Area under the curve; TSS: true skill statistics; F</w:t>
            </w:r>
            <w:r w:rsidRPr="002F4D80">
              <w:rPr>
                <w:rStyle w:val="Hyperlink"/>
                <w:rFonts w:ascii="Garamond" w:hAnsi="Garamond"/>
                <w:noProof/>
                <w:sz w:val="20"/>
                <w:szCs w:val="20"/>
                <w:vertAlign w:val="subscript"/>
                <w:lang w:val="en-US"/>
              </w:rPr>
              <w:t>kHC</w:t>
            </w:r>
            <w:r w:rsidRPr="002F4D80">
              <w:rPr>
                <w:rStyle w:val="Hyperlink"/>
                <w:rFonts w:ascii="Garamond" w:hAnsi="Garamond"/>
                <w:noProof/>
                <w:sz w:val="20"/>
                <w:szCs w:val="20"/>
                <w:lang w:val="en-US"/>
              </w:rPr>
              <w:t>: improved Fuzzy Kappa for high-confidence suitable cells.</w:t>
            </w:r>
            <w:r w:rsidRPr="002F4D80">
              <w:rPr>
                <w:rFonts w:ascii="Garamond" w:hAnsi="Garamond"/>
                <w:noProof/>
                <w:webHidden/>
                <w:sz w:val="20"/>
                <w:szCs w:val="20"/>
              </w:rPr>
              <w:tab/>
            </w:r>
            <w:r w:rsidRPr="002F4D80">
              <w:rPr>
                <w:rFonts w:ascii="Garamond" w:hAnsi="Garamond"/>
                <w:noProof/>
                <w:webHidden/>
                <w:sz w:val="20"/>
                <w:szCs w:val="20"/>
              </w:rPr>
              <w:fldChar w:fldCharType="begin"/>
            </w:r>
            <w:r w:rsidRPr="002F4D80">
              <w:rPr>
                <w:rFonts w:ascii="Garamond" w:hAnsi="Garamond"/>
                <w:noProof/>
                <w:webHidden/>
                <w:sz w:val="20"/>
                <w:szCs w:val="20"/>
              </w:rPr>
              <w:instrText xml:space="preserve"> PAGEREF _Toc129787436 \h </w:instrText>
            </w:r>
            <w:r w:rsidRPr="002F4D80">
              <w:rPr>
                <w:rFonts w:ascii="Garamond" w:hAnsi="Garamond"/>
                <w:noProof/>
                <w:webHidden/>
                <w:sz w:val="20"/>
                <w:szCs w:val="20"/>
              </w:rPr>
            </w:r>
            <w:r w:rsidRPr="002F4D80">
              <w:rPr>
                <w:rFonts w:ascii="Garamond" w:hAnsi="Garamond"/>
                <w:noProof/>
                <w:webHidden/>
                <w:sz w:val="20"/>
                <w:szCs w:val="20"/>
              </w:rPr>
              <w:fldChar w:fldCharType="separate"/>
            </w:r>
            <w:r w:rsidRPr="002F4D80">
              <w:rPr>
                <w:rFonts w:ascii="Garamond" w:hAnsi="Garamond"/>
                <w:noProof/>
                <w:webHidden/>
                <w:sz w:val="20"/>
                <w:szCs w:val="20"/>
              </w:rPr>
              <w:t>8</w:t>
            </w:r>
            <w:r w:rsidRPr="002F4D80">
              <w:rPr>
                <w:rFonts w:ascii="Garamond" w:hAnsi="Garamond"/>
                <w:noProof/>
                <w:webHidden/>
                <w:sz w:val="20"/>
                <w:szCs w:val="20"/>
              </w:rPr>
              <w:fldChar w:fldCharType="end"/>
            </w:r>
          </w:hyperlink>
        </w:p>
        <w:p w14:paraId="6B405F66" w14:textId="35BD7708" w:rsidR="002F4D80" w:rsidRPr="002F4D80" w:rsidRDefault="002F4D80" w:rsidP="002F4D80">
          <w:pPr>
            <w:pStyle w:val="TOC2"/>
            <w:tabs>
              <w:tab w:val="right" w:leader="dot" w:pos="9016"/>
            </w:tabs>
            <w:spacing w:line="276" w:lineRule="auto"/>
            <w:jc w:val="both"/>
            <w:rPr>
              <w:rFonts w:ascii="Garamond" w:eastAsiaTheme="minorEastAsia" w:hAnsi="Garamond"/>
              <w:noProof/>
              <w:sz w:val="20"/>
              <w:szCs w:val="20"/>
              <w:lang w:eastAsia="pt-PT"/>
            </w:rPr>
          </w:pPr>
          <w:hyperlink w:anchor="_Toc129787437" w:history="1">
            <w:r w:rsidRPr="002F4D80">
              <w:rPr>
                <w:rStyle w:val="Hyperlink"/>
                <w:rFonts w:ascii="Garamond" w:hAnsi="Garamond"/>
                <w:b/>
                <w:noProof/>
                <w:sz w:val="20"/>
                <w:szCs w:val="20"/>
              </w:rPr>
              <w:t>Table C.1</w:t>
            </w:r>
            <w:r w:rsidRPr="002F4D80">
              <w:rPr>
                <w:rStyle w:val="Hyperlink"/>
                <w:rFonts w:ascii="Garamond" w:hAnsi="Garamond"/>
                <w:noProof/>
                <w:sz w:val="20"/>
                <w:szCs w:val="20"/>
              </w:rPr>
              <w:t xml:space="preserve"> – Category similarity matrix. Values of 1 mean that two categories are identical and values of zero that they are totally different. US: unsuitable cells; LC: low-confidence suitable cells; MC: medium-confidence suitable cells; HC: high-confidence suitable cells.</w:t>
            </w:r>
            <w:r w:rsidRPr="002F4D80">
              <w:rPr>
                <w:rFonts w:ascii="Garamond" w:hAnsi="Garamond"/>
                <w:noProof/>
                <w:webHidden/>
                <w:sz w:val="20"/>
                <w:szCs w:val="20"/>
              </w:rPr>
              <w:tab/>
            </w:r>
            <w:r w:rsidRPr="002F4D80">
              <w:rPr>
                <w:rFonts w:ascii="Garamond" w:hAnsi="Garamond"/>
                <w:noProof/>
                <w:webHidden/>
                <w:sz w:val="20"/>
                <w:szCs w:val="20"/>
              </w:rPr>
              <w:fldChar w:fldCharType="begin"/>
            </w:r>
            <w:r w:rsidRPr="002F4D80">
              <w:rPr>
                <w:rFonts w:ascii="Garamond" w:hAnsi="Garamond"/>
                <w:noProof/>
                <w:webHidden/>
                <w:sz w:val="20"/>
                <w:szCs w:val="20"/>
              </w:rPr>
              <w:instrText xml:space="preserve"> PAGEREF _Toc129787437 \h </w:instrText>
            </w:r>
            <w:r w:rsidRPr="002F4D80">
              <w:rPr>
                <w:rFonts w:ascii="Garamond" w:hAnsi="Garamond"/>
                <w:noProof/>
                <w:webHidden/>
                <w:sz w:val="20"/>
                <w:szCs w:val="20"/>
              </w:rPr>
            </w:r>
            <w:r w:rsidRPr="002F4D80">
              <w:rPr>
                <w:rFonts w:ascii="Garamond" w:hAnsi="Garamond"/>
                <w:noProof/>
                <w:webHidden/>
                <w:sz w:val="20"/>
                <w:szCs w:val="20"/>
              </w:rPr>
              <w:fldChar w:fldCharType="separate"/>
            </w:r>
            <w:r w:rsidRPr="002F4D80">
              <w:rPr>
                <w:rFonts w:ascii="Garamond" w:hAnsi="Garamond"/>
                <w:noProof/>
                <w:webHidden/>
                <w:sz w:val="20"/>
                <w:szCs w:val="20"/>
              </w:rPr>
              <w:t>9</w:t>
            </w:r>
            <w:r w:rsidRPr="002F4D80">
              <w:rPr>
                <w:rFonts w:ascii="Garamond" w:hAnsi="Garamond"/>
                <w:noProof/>
                <w:webHidden/>
                <w:sz w:val="20"/>
                <w:szCs w:val="20"/>
              </w:rPr>
              <w:fldChar w:fldCharType="end"/>
            </w:r>
          </w:hyperlink>
        </w:p>
        <w:p w14:paraId="1F98BDCC" w14:textId="0714CD98" w:rsidR="002F4D80" w:rsidRPr="002F4D80" w:rsidRDefault="002F4D80" w:rsidP="002F4D80">
          <w:pPr>
            <w:pStyle w:val="TOC1"/>
            <w:tabs>
              <w:tab w:val="right" w:leader="dot" w:pos="9016"/>
            </w:tabs>
            <w:spacing w:line="276" w:lineRule="auto"/>
            <w:jc w:val="both"/>
            <w:rPr>
              <w:rFonts w:ascii="Garamond" w:eastAsiaTheme="minorEastAsia" w:hAnsi="Garamond"/>
              <w:noProof/>
              <w:sz w:val="20"/>
              <w:szCs w:val="20"/>
              <w:lang w:eastAsia="pt-PT"/>
            </w:rPr>
          </w:pPr>
          <w:hyperlink w:anchor="_Toc129787438" w:history="1">
            <w:r w:rsidRPr="002F4D80">
              <w:rPr>
                <w:rStyle w:val="Hyperlink"/>
                <w:rFonts w:ascii="Garamond" w:hAnsi="Garamond"/>
                <w:b/>
                <w:noProof/>
                <w:sz w:val="20"/>
                <w:szCs w:val="20"/>
                <w:lang w:val="en-US"/>
              </w:rPr>
              <w:t>Appendix D. Model outputs</w:t>
            </w:r>
            <w:r w:rsidRPr="002F4D80">
              <w:rPr>
                <w:rFonts w:ascii="Garamond" w:hAnsi="Garamond"/>
                <w:noProof/>
                <w:webHidden/>
                <w:sz w:val="20"/>
                <w:szCs w:val="20"/>
              </w:rPr>
              <w:tab/>
            </w:r>
            <w:r w:rsidRPr="002F4D80">
              <w:rPr>
                <w:rFonts w:ascii="Garamond" w:hAnsi="Garamond"/>
                <w:noProof/>
                <w:webHidden/>
                <w:sz w:val="20"/>
                <w:szCs w:val="20"/>
              </w:rPr>
              <w:fldChar w:fldCharType="begin"/>
            </w:r>
            <w:r w:rsidRPr="002F4D80">
              <w:rPr>
                <w:rFonts w:ascii="Garamond" w:hAnsi="Garamond"/>
                <w:noProof/>
                <w:webHidden/>
                <w:sz w:val="20"/>
                <w:szCs w:val="20"/>
              </w:rPr>
              <w:instrText xml:space="preserve"> PAGEREF _Toc129787438 \h </w:instrText>
            </w:r>
            <w:r w:rsidRPr="002F4D80">
              <w:rPr>
                <w:rFonts w:ascii="Garamond" w:hAnsi="Garamond"/>
                <w:noProof/>
                <w:webHidden/>
                <w:sz w:val="20"/>
                <w:szCs w:val="20"/>
              </w:rPr>
            </w:r>
            <w:r w:rsidRPr="002F4D80">
              <w:rPr>
                <w:rFonts w:ascii="Garamond" w:hAnsi="Garamond"/>
                <w:noProof/>
                <w:webHidden/>
                <w:sz w:val="20"/>
                <w:szCs w:val="20"/>
              </w:rPr>
              <w:fldChar w:fldCharType="separate"/>
            </w:r>
            <w:r w:rsidRPr="002F4D80">
              <w:rPr>
                <w:rFonts w:ascii="Garamond" w:hAnsi="Garamond"/>
                <w:noProof/>
                <w:webHidden/>
                <w:sz w:val="20"/>
                <w:szCs w:val="20"/>
              </w:rPr>
              <w:t>10</w:t>
            </w:r>
            <w:r w:rsidRPr="002F4D80">
              <w:rPr>
                <w:rFonts w:ascii="Garamond" w:hAnsi="Garamond"/>
                <w:noProof/>
                <w:webHidden/>
                <w:sz w:val="20"/>
                <w:szCs w:val="20"/>
              </w:rPr>
              <w:fldChar w:fldCharType="end"/>
            </w:r>
          </w:hyperlink>
        </w:p>
        <w:p w14:paraId="41B60AC2" w14:textId="4DBD9BF8" w:rsidR="002F4D80" w:rsidRPr="002F4D80" w:rsidRDefault="002F4D80" w:rsidP="002F4D80">
          <w:pPr>
            <w:pStyle w:val="TOC2"/>
            <w:tabs>
              <w:tab w:val="right" w:leader="dot" w:pos="9016"/>
            </w:tabs>
            <w:spacing w:line="276" w:lineRule="auto"/>
            <w:jc w:val="both"/>
            <w:rPr>
              <w:rFonts w:ascii="Garamond" w:eastAsiaTheme="minorEastAsia" w:hAnsi="Garamond"/>
              <w:noProof/>
              <w:sz w:val="20"/>
              <w:szCs w:val="20"/>
              <w:lang w:eastAsia="pt-PT"/>
            </w:rPr>
          </w:pPr>
          <w:hyperlink w:anchor="_Toc129787439" w:history="1">
            <w:r w:rsidRPr="002F4D80">
              <w:rPr>
                <w:rStyle w:val="Hyperlink"/>
                <w:rFonts w:ascii="Garamond" w:hAnsi="Garamond"/>
                <w:b/>
                <w:noProof/>
                <w:sz w:val="20"/>
                <w:szCs w:val="20"/>
                <w:lang w:val="en-US"/>
              </w:rPr>
              <w:t>Figure D.1</w:t>
            </w:r>
            <w:r w:rsidRPr="002F4D80">
              <w:rPr>
                <w:rStyle w:val="Hyperlink"/>
                <w:rFonts w:ascii="Garamond" w:hAnsi="Garamond"/>
                <w:noProof/>
                <w:sz w:val="20"/>
                <w:szCs w:val="20"/>
                <w:lang w:val="en-US"/>
              </w:rPr>
              <w:t xml:space="preserve"> – Standard deviations of (a) true skill statistics (</w:t>
            </w:r>
            <w:r w:rsidRPr="002F4D80">
              <w:rPr>
                <w:rStyle w:val="Hyperlink"/>
                <w:rFonts w:ascii="Garamond" w:hAnsi="Garamond"/>
                <w:noProof/>
                <w:sz w:val="20"/>
                <w:szCs w:val="20"/>
              </w:rPr>
              <w:t>Δ</w:t>
            </w:r>
            <w:r w:rsidRPr="002F4D80">
              <w:rPr>
                <w:rStyle w:val="Hyperlink"/>
                <w:rFonts w:ascii="Garamond" w:hAnsi="Garamond"/>
                <w:noProof/>
                <w:sz w:val="20"/>
                <w:szCs w:val="20"/>
                <w:lang w:val="en-US"/>
              </w:rPr>
              <w:t>TSS) and (b) area under the curve (</w:t>
            </w:r>
            <w:r w:rsidRPr="002F4D80">
              <w:rPr>
                <w:rStyle w:val="Hyperlink"/>
                <w:rFonts w:ascii="Garamond" w:hAnsi="Garamond"/>
                <w:noProof/>
                <w:sz w:val="20"/>
                <w:szCs w:val="20"/>
              </w:rPr>
              <w:t>Δ</w:t>
            </w:r>
            <w:r w:rsidRPr="002F4D80">
              <w:rPr>
                <w:rStyle w:val="Hyperlink"/>
                <w:rFonts w:ascii="Garamond" w:hAnsi="Garamond"/>
                <w:noProof/>
                <w:sz w:val="20"/>
                <w:szCs w:val="20"/>
                <w:lang w:val="en-US"/>
              </w:rPr>
              <w:t>AUC) scores plotted against the number of presence records used to develop habitat-suitability models (HSMs). (c) Improved fuzzy kappa scores for high quality cells (F</w:t>
            </w:r>
            <w:r w:rsidRPr="002F4D80">
              <w:rPr>
                <w:rStyle w:val="Hyperlink"/>
                <w:rFonts w:ascii="Garamond" w:hAnsi="Garamond"/>
                <w:noProof/>
                <w:sz w:val="20"/>
                <w:szCs w:val="20"/>
                <w:vertAlign w:val="subscript"/>
                <w:lang w:val="en-US"/>
              </w:rPr>
              <w:t>kHC</w:t>
            </w:r>
            <w:r w:rsidRPr="002F4D80">
              <w:rPr>
                <w:rStyle w:val="Hyperlink"/>
                <w:rFonts w:ascii="Garamond" w:hAnsi="Garamond"/>
                <w:noProof/>
                <w:sz w:val="20"/>
                <w:szCs w:val="20"/>
                <w:lang w:val="en-US"/>
              </w:rPr>
              <w:t>) plotted against the number of presence records used to develop HSMs. In panels (a, b), filled circles are GAM and empty circles are Maxent models.</w:t>
            </w:r>
            <w:r w:rsidRPr="002F4D80">
              <w:rPr>
                <w:rFonts w:ascii="Garamond" w:hAnsi="Garamond"/>
                <w:noProof/>
                <w:webHidden/>
                <w:sz w:val="20"/>
                <w:szCs w:val="20"/>
              </w:rPr>
              <w:tab/>
            </w:r>
            <w:r w:rsidRPr="002F4D80">
              <w:rPr>
                <w:rFonts w:ascii="Garamond" w:hAnsi="Garamond"/>
                <w:noProof/>
                <w:webHidden/>
                <w:sz w:val="20"/>
                <w:szCs w:val="20"/>
              </w:rPr>
              <w:fldChar w:fldCharType="begin"/>
            </w:r>
            <w:r w:rsidRPr="002F4D80">
              <w:rPr>
                <w:rFonts w:ascii="Garamond" w:hAnsi="Garamond"/>
                <w:noProof/>
                <w:webHidden/>
                <w:sz w:val="20"/>
                <w:szCs w:val="20"/>
              </w:rPr>
              <w:instrText xml:space="preserve"> PAGEREF _Toc129787439 \h </w:instrText>
            </w:r>
            <w:r w:rsidRPr="002F4D80">
              <w:rPr>
                <w:rFonts w:ascii="Garamond" w:hAnsi="Garamond"/>
                <w:noProof/>
                <w:webHidden/>
                <w:sz w:val="20"/>
                <w:szCs w:val="20"/>
              </w:rPr>
            </w:r>
            <w:r w:rsidRPr="002F4D80">
              <w:rPr>
                <w:rFonts w:ascii="Garamond" w:hAnsi="Garamond"/>
                <w:noProof/>
                <w:webHidden/>
                <w:sz w:val="20"/>
                <w:szCs w:val="20"/>
              </w:rPr>
              <w:fldChar w:fldCharType="separate"/>
            </w:r>
            <w:r w:rsidRPr="002F4D80">
              <w:rPr>
                <w:rFonts w:ascii="Garamond" w:hAnsi="Garamond"/>
                <w:noProof/>
                <w:webHidden/>
                <w:sz w:val="20"/>
                <w:szCs w:val="20"/>
              </w:rPr>
              <w:t>10</w:t>
            </w:r>
            <w:r w:rsidRPr="002F4D80">
              <w:rPr>
                <w:rFonts w:ascii="Garamond" w:hAnsi="Garamond"/>
                <w:noProof/>
                <w:webHidden/>
                <w:sz w:val="20"/>
                <w:szCs w:val="20"/>
              </w:rPr>
              <w:fldChar w:fldCharType="end"/>
            </w:r>
          </w:hyperlink>
        </w:p>
        <w:p w14:paraId="7FC79189" w14:textId="4C9C11B1" w:rsidR="002F4D80" w:rsidRPr="002F4D80" w:rsidRDefault="002F4D80" w:rsidP="002F4D80">
          <w:pPr>
            <w:pStyle w:val="TOC2"/>
            <w:tabs>
              <w:tab w:val="right" w:leader="dot" w:pos="9016"/>
            </w:tabs>
            <w:spacing w:line="276" w:lineRule="auto"/>
            <w:jc w:val="both"/>
            <w:rPr>
              <w:rFonts w:ascii="Garamond" w:eastAsiaTheme="minorEastAsia" w:hAnsi="Garamond"/>
              <w:noProof/>
              <w:sz w:val="20"/>
              <w:szCs w:val="20"/>
              <w:lang w:eastAsia="pt-PT"/>
            </w:rPr>
          </w:pPr>
          <w:hyperlink w:anchor="_Toc129787440" w:history="1">
            <w:r w:rsidRPr="002F4D80">
              <w:rPr>
                <w:rStyle w:val="Hyperlink"/>
                <w:rFonts w:ascii="Garamond" w:hAnsi="Garamond"/>
                <w:b/>
                <w:noProof/>
                <w:sz w:val="20"/>
                <w:szCs w:val="20"/>
                <w:lang w:val="en-US"/>
              </w:rPr>
              <w:t>Figure D.2</w:t>
            </w:r>
            <w:r w:rsidRPr="002F4D80">
              <w:rPr>
                <w:rStyle w:val="Hyperlink"/>
                <w:rFonts w:ascii="Garamond" w:hAnsi="Garamond"/>
                <w:noProof/>
                <w:sz w:val="20"/>
                <w:szCs w:val="20"/>
                <w:lang w:val="en-US"/>
              </w:rPr>
              <w:t xml:space="preserve"> – Habitat suitability maps produced by GAMs for Octocorallia (Alcyonacea). Local confidence (LC): the percentage of times a cell is classified as suitable when models are fitted with resampled input data. Overall confidence (OC): determined by the lowest score among AUC</w:t>
            </w:r>
            <w:r w:rsidRPr="002F4D80">
              <w:rPr>
                <w:rStyle w:val="Hyperlink"/>
                <w:rFonts w:ascii="Garamond" w:hAnsi="Garamond"/>
                <w:noProof/>
                <w:sz w:val="20"/>
                <w:szCs w:val="20"/>
                <w:vertAlign w:val="subscript"/>
                <w:lang w:val="en-US"/>
              </w:rPr>
              <w:t>GAM</w:t>
            </w:r>
            <w:r w:rsidRPr="002F4D80">
              <w:rPr>
                <w:rStyle w:val="Hyperlink"/>
                <w:rFonts w:ascii="Garamond" w:hAnsi="Garamond"/>
                <w:noProof/>
                <w:sz w:val="20"/>
                <w:szCs w:val="20"/>
                <w:lang w:val="en-US"/>
              </w:rPr>
              <w:t xml:space="preserve"> and TSS</w:t>
            </w:r>
            <w:r w:rsidRPr="002F4D80">
              <w:rPr>
                <w:rStyle w:val="Hyperlink"/>
                <w:rFonts w:ascii="Garamond" w:hAnsi="Garamond"/>
                <w:noProof/>
                <w:sz w:val="20"/>
                <w:szCs w:val="20"/>
                <w:vertAlign w:val="subscript"/>
                <w:lang w:val="en-US"/>
              </w:rPr>
              <w:t>GAM</w:t>
            </w:r>
            <w:r w:rsidRPr="002F4D80">
              <w:rPr>
                <w:rStyle w:val="Hyperlink"/>
                <w:rFonts w:ascii="Garamond" w:hAnsi="Garamond"/>
                <w:noProof/>
                <w:sz w:val="20"/>
                <w:szCs w:val="20"/>
                <w:lang w:val="en-US"/>
              </w:rPr>
              <w:t xml:space="preserve">. AUC: area under the curve; TSS: true skill statistics. </w:t>
            </w:r>
            <w:r w:rsidRPr="002F4D80">
              <w:rPr>
                <w:rStyle w:val="Hyperlink"/>
                <w:rFonts w:ascii="Garamond" w:eastAsia="Times New Roman" w:hAnsi="Garamond" w:cs="Calibri"/>
                <w:noProof/>
                <w:sz w:val="20"/>
                <w:szCs w:val="20"/>
                <w:lang w:val="en-US" w:eastAsia="pt-PT"/>
              </w:rPr>
              <w:t>In parenthesis, the number of records used to train the models.</w:t>
            </w:r>
            <w:r w:rsidRPr="002F4D80">
              <w:rPr>
                <w:rFonts w:ascii="Garamond" w:hAnsi="Garamond"/>
                <w:noProof/>
                <w:webHidden/>
                <w:sz w:val="20"/>
                <w:szCs w:val="20"/>
              </w:rPr>
              <w:tab/>
            </w:r>
            <w:r w:rsidRPr="002F4D80">
              <w:rPr>
                <w:rFonts w:ascii="Garamond" w:hAnsi="Garamond"/>
                <w:noProof/>
                <w:webHidden/>
                <w:sz w:val="20"/>
                <w:szCs w:val="20"/>
              </w:rPr>
              <w:fldChar w:fldCharType="begin"/>
            </w:r>
            <w:r w:rsidRPr="002F4D80">
              <w:rPr>
                <w:rFonts w:ascii="Garamond" w:hAnsi="Garamond"/>
                <w:noProof/>
                <w:webHidden/>
                <w:sz w:val="20"/>
                <w:szCs w:val="20"/>
              </w:rPr>
              <w:instrText xml:space="preserve"> PAGEREF _Toc129787440 \h </w:instrText>
            </w:r>
            <w:r w:rsidRPr="002F4D80">
              <w:rPr>
                <w:rFonts w:ascii="Garamond" w:hAnsi="Garamond"/>
                <w:noProof/>
                <w:webHidden/>
                <w:sz w:val="20"/>
                <w:szCs w:val="20"/>
              </w:rPr>
            </w:r>
            <w:r w:rsidRPr="002F4D80">
              <w:rPr>
                <w:rFonts w:ascii="Garamond" w:hAnsi="Garamond"/>
                <w:noProof/>
                <w:webHidden/>
                <w:sz w:val="20"/>
                <w:szCs w:val="20"/>
              </w:rPr>
              <w:fldChar w:fldCharType="separate"/>
            </w:r>
            <w:r w:rsidRPr="002F4D80">
              <w:rPr>
                <w:rFonts w:ascii="Garamond" w:hAnsi="Garamond"/>
                <w:noProof/>
                <w:webHidden/>
                <w:sz w:val="20"/>
                <w:szCs w:val="20"/>
              </w:rPr>
              <w:t>11</w:t>
            </w:r>
            <w:r w:rsidRPr="002F4D80">
              <w:rPr>
                <w:rFonts w:ascii="Garamond" w:hAnsi="Garamond"/>
                <w:noProof/>
                <w:webHidden/>
                <w:sz w:val="20"/>
                <w:szCs w:val="20"/>
              </w:rPr>
              <w:fldChar w:fldCharType="end"/>
            </w:r>
          </w:hyperlink>
        </w:p>
        <w:p w14:paraId="2627258A" w14:textId="30532EB5" w:rsidR="002F4D80" w:rsidRPr="002F4D80" w:rsidRDefault="002F4D80" w:rsidP="002F4D80">
          <w:pPr>
            <w:pStyle w:val="TOC2"/>
            <w:tabs>
              <w:tab w:val="right" w:leader="dot" w:pos="9016"/>
            </w:tabs>
            <w:spacing w:line="276" w:lineRule="auto"/>
            <w:jc w:val="both"/>
            <w:rPr>
              <w:rFonts w:ascii="Garamond" w:eastAsiaTheme="minorEastAsia" w:hAnsi="Garamond"/>
              <w:noProof/>
              <w:sz w:val="20"/>
              <w:szCs w:val="20"/>
              <w:lang w:eastAsia="pt-PT"/>
            </w:rPr>
          </w:pPr>
          <w:hyperlink w:anchor="_Toc129787441" w:history="1">
            <w:r w:rsidRPr="002F4D80">
              <w:rPr>
                <w:rStyle w:val="Hyperlink"/>
                <w:rFonts w:ascii="Garamond" w:hAnsi="Garamond"/>
                <w:b/>
                <w:noProof/>
                <w:sz w:val="20"/>
                <w:szCs w:val="20"/>
                <w:lang w:val="en-US"/>
              </w:rPr>
              <w:t>Figure D.3</w:t>
            </w:r>
            <w:r w:rsidRPr="002F4D80">
              <w:rPr>
                <w:rStyle w:val="Hyperlink"/>
                <w:rFonts w:ascii="Garamond" w:hAnsi="Garamond"/>
                <w:noProof/>
                <w:sz w:val="20"/>
                <w:szCs w:val="20"/>
                <w:lang w:val="en-US"/>
              </w:rPr>
              <w:t xml:space="preserve"> – Habitat suitability maps produced by Maxent models for Octocorallia (Alcyonacea). Local confidence (LC): the percentage of times a cell is classified as suitable when models are fitted with resampled input data. Overall confidence (OC): determined by the lowest score among AUC</w:t>
            </w:r>
            <w:r w:rsidRPr="002F4D80">
              <w:rPr>
                <w:rStyle w:val="Hyperlink"/>
                <w:rFonts w:ascii="Garamond" w:hAnsi="Garamond"/>
                <w:noProof/>
                <w:sz w:val="20"/>
                <w:szCs w:val="20"/>
                <w:vertAlign w:val="subscript"/>
                <w:lang w:val="en-US"/>
              </w:rPr>
              <w:t>Maxent</w:t>
            </w:r>
            <w:r w:rsidRPr="002F4D80">
              <w:rPr>
                <w:rStyle w:val="Hyperlink"/>
                <w:rFonts w:ascii="Garamond" w:hAnsi="Garamond"/>
                <w:noProof/>
                <w:sz w:val="20"/>
                <w:szCs w:val="20"/>
                <w:lang w:val="en-US"/>
              </w:rPr>
              <w:t xml:space="preserve"> and TSS</w:t>
            </w:r>
            <w:r w:rsidRPr="002F4D80">
              <w:rPr>
                <w:rStyle w:val="Hyperlink"/>
                <w:rFonts w:ascii="Garamond" w:hAnsi="Garamond"/>
                <w:noProof/>
                <w:sz w:val="20"/>
                <w:szCs w:val="20"/>
                <w:vertAlign w:val="subscript"/>
                <w:lang w:val="en-US"/>
              </w:rPr>
              <w:t>Maxent</w:t>
            </w:r>
            <w:r w:rsidRPr="002F4D80">
              <w:rPr>
                <w:rStyle w:val="Hyperlink"/>
                <w:rFonts w:ascii="Garamond" w:hAnsi="Garamond"/>
                <w:noProof/>
                <w:sz w:val="20"/>
                <w:szCs w:val="20"/>
                <w:lang w:val="en-US"/>
              </w:rPr>
              <w:t>. AUC: area under the curve; TSS: true skill statistics. In parenthesis, the number of records used to train the models.</w:t>
            </w:r>
            <w:r w:rsidRPr="002F4D80">
              <w:rPr>
                <w:rFonts w:ascii="Garamond" w:hAnsi="Garamond"/>
                <w:noProof/>
                <w:webHidden/>
                <w:sz w:val="20"/>
                <w:szCs w:val="20"/>
              </w:rPr>
              <w:tab/>
            </w:r>
            <w:r w:rsidRPr="002F4D80">
              <w:rPr>
                <w:rFonts w:ascii="Garamond" w:hAnsi="Garamond"/>
                <w:noProof/>
                <w:webHidden/>
                <w:sz w:val="20"/>
                <w:szCs w:val="20"/>
              </w:rPr>
              <w:fldChar w:fldCharType="begin"/>
            </w:r>
            <w:r w:rsidRPr="002F4D80">
              <w:rPr>
                <w:rFonts w:ascii="Garamond" w:hAnsi="Garamond"/>
                <w:noProof/>
                <w:webHidden/>
                <w:sz w:val="20"/>
                <w:szCs w:val="20"/>
              </w:rPr>
              <w:instrText xml:space="preserve"> PAGEREF _Toc129787441 \h </w:instrText>
            </w:r>
            <w:r w:rsidRPr="002F4D80">
              <w:rPr>
                <w:rFonts w:ascii="Garamond" w:hAnsi="Garamond"/>
                <w:noProof/>
                <w:webHidden/>
                <w:sz w:val="20"/>
                <w:szCs w:val="20"/>
              </w:rPr>
            </w:r>
            <w:r w:rsidRPr="002F4D80">
              <w:rPr>
                <w:rFonts w:ascii="Garamond" w:hAnsi="Garamond"/>
                <w:noProof/>
                <w:webHidden/>
                <w:sz w:val="20"/>
                <w:szCs w:val="20"/>
              </w:rPr>
              <w:fldChar w:fldCharType="separate"/>
            </w:r>
            <w:r w:rsidRPr="002F4D80">
              <w:rPr>
                <w:rFonts w:ascii="Garamond" w:hAnsi="Garamond"/>
                <w:noProof/>
                <w:webHidden/>
                <w:sz w:val="20"/>
                <w:szCs w:val="20"/>
              </w:rPr>
              <w:t>12</w:t>
            </w:r>
            <w:r w:rsidRPr="002F4D80">
              <w:rPr>
                <w:rFonts w:ascii="Garamond" w:hAnsi="Garamond"/>
                <w:noProof/>
                <w:webHidden/>
                <w:sz w:val="20"/>
                <w:szCs w:val="20"/>
              </w:rPr>
              <w:fldChar w:fldCharType="end"/>
            </w:r>
          </w:hyperlink>
        </w:p>
        <w:p w14:paraId="46D7E0D8" w14:textId="661392F4" w:rsidR="002F4D80" w:rsidRPr="002F4D80" w:rsidRDefault="002F4D80" w:rsidP="002F4D80">
          <w:pPr>
            <w:pStyle w:val="TOC2"/>
            <w:tabs>
              <w:tab w:val="right" w:leader="dot" w:pos="9016"/>
            </w:tabs>
            <w:spacing w:line="276" w:lineRule="auto"/>
            <w:jc w:val="both"/>
            <w:rPr>
              <w:rFonts w:ascii="Garamond" w:eastAsiaTheme="minorEastAsia" w:hAnsi="Garamond"/>
              <w:noProof/>
              <w:sz w:val="20"/>
              <w:szCs w:val="20"/>
              <w:lang w:eastAsia="pt-PT"/>
            </w:rPr>
          </w:pPr>
          <w:hyperlink w:anchor="_Toc129787442" w:history="1">
            <w:r w:rsidRPr="002F4D80">
              <w:rPr>
                <w:rStyle w:val="Hyperlink"/>
                <w:rFonts w:ascii="Garamond" w:hAnsi="Garamond"/>
                <w:b/>
                <w:noProof/>
                <w:sz w:val="20"/>
                <w:szCs w:val="20"/>
                <w:lang w:val="en-US"/>
              </w:rPr>
              <w:t>Figure D.4</w:t>
            </w:r>
            <w:r w:rsidRPr="002F4D80">
              <w:rPr>
                <w:rStyle w:val="Hyperlink"/>
                <w:rFonts w:ascii="Garamond" w:hAnsi="Garamond"/>
                <w:noProof/>
                <w:sz w:val="20"/>
                <w:szCs w:val="20"/>
                <w:lang w:val="en-US"/>
              </w:rPr>
              <w:t xml:space="preserve"> – Fuzzy similarity of the habitat suitability maps produced by GAM and Maxent models for Octocorallia (Alcyonacea). Local fuzzy matching (LF): computes the fuzzy matching of GAM and Maxent suitable cells using two membership functions (i) category similarity and (ii) distance decay. Fuzzy matching values greater than 0.5 means that the two cells are more similar than different. Overall similarity (OS): determined by the improved fuzzy kappa score for high quality cells (F</w:t>
            </w:r>
            <w:r w:rsidRPr="002F4D80">
              <w:rPr>
                <w:rStyle w:val="Hyperlink"/>
                <w:rFonts w:ascii="Garamond" w:hAnsi="Garamond"/>
                <w:noProof/>
                <w:sz w:val="20"/>
                <w:szCs w:val="20"/>
                <w:vertAlign w:val="subscript"/>
                <w:lang w:val="en-US"/>
              </w:rPr>
              <w:t>kHC</w:t>
            </w:r>
            <w:r w:rsidRPr="002F4D80">
              <w:rPr>
                <w:rStyle w:val="Hyperlink"/>
                <w:rFonts w:ascii="Garamond" w:hAnsi="Garamond"/>
                <w:noProof/>
                <w:sz w:val="20"/>
                <w:szCs w:val="20"/>
                <w:lang w:val="en-US"/>
              </w:rPr>
              <w:t>). The score measures the degree of overlap of GAM and Maxent high confidence cells.</w:t>
            </w:r>
            <w:r w:rsidRPr="002F4D80">
              <w:rPr>
                <w:rFonts w:ascii="Garamond" w:hAnsi="Garamond"/>
                <w:noProof/>
                <w:webHidden/>
                <w:sz w:val="20"/>
                <w:szCs w:val="20"/>
              </w:rPr>
              <w:tab/>
            </w:r>
            <w:r w:rsidRPr="002F4D80">
              <w:rPr>
                <w:rFonts w:ascii="Garamond" w:hAnsi="Garamond"/>
                <w:noProof/>
                <w:webHidden/>
                <w:sz w:val="20"/>
                <w:szCs w:val="20"/>
              </w:rPr>
              <w:fldChar w:fldCharType="begin"/>
            </w:r>
            <w:r w:rsidRPr="002F4D80">
              <w:rPr>
                <w:rFonts w:ascii="Garamond" w:hAnsi="Garamond"/>
                <w:noProof/>
                <w:webHidden/>
                <w:sz w:val="20"/>
                <w:szCs w:val="20"/>
              </w:rPr>
              <w:instrText xml:space="preserve"> PAGEREF _Toc129787442 \h </w:instrText>
            </w:r>
            <w:r w:rsidRPr="002F4D80">
              <w:rPr>
                <w:rFonts w:ascii="Garamond" w:hAnsi="Garamond"/>
                <w:noProof/>
                <w:webHidden/>
                <w:sz w:val="20"/>
                <w:szCs w:val="20"/>
              </w:rPr>
            </w:r>
            <w:r w:rsidRPr="002F4D80">
              <w:rPr>
                <w:rFonts w:ascii="Garamond" w:hAnsi="Garamond"/>
                <w:noProof/>
                <w:webHidden/>
                <w:sz w:val="20"/>
                <w:szCs w:val="20"/>
              </w:rPr>
              <w:fldChar w:fldCharType="separate"/>
            </w:r>
            <w:r w:rsidRPr="002F4D80">
              <w:rPr>
                <w:rFonts w:ascii="Garamond" w:hAnsi="Garamond"/>
                <w:noProof/>
                <w:webHidden/>
                <w:sz w:val="20"/>
                <w:szCs w:val="20"/>
              </w:rPr>
              <w:t>13</w:t>
            </w:r>
            <w:r w:rsidRPr="002F4D80">
              <w:rPr>
                <w:rFonts w:ascii="Garamond" w:hAnsi="Garamond"/>
                <w:noProof/>
                <w:webHidden/>
                <w:sz w:val="20"/>
                <w:szCs w:val="20"/>
              </w:rPr>
              <w:fldChar w:fldCharType="end"/>
            </w:r>
          </w:hyperlink>
        </w:p>
        <w:p w14:paraId="62D9A3C5" w14:textId="54C8F8CD" w:rsidR="002F4D80" w:rsidRPr="002F4D80" w:rsidRDefault="002F4D80" w:rsidP="002F4D80">
          <w:pPr>
            <w:pStyle w:val="TOC2"/>
            <w:tabs>
              <w:tab w:val="right" w:leader="dot" w:pos="9016"/>
            </w:tabs>
            <w:spacing w:line="276" w:lineRule="auto"/>
            <w:jc w:val="both"/>
            <w:rPr>
              <w:rFonts w:ascii="Garamond" w:eastAsiaTheme="minorEastAsia" w:hAnsi="Garamond"/>
              <w:noProof/>
              <w:sz w:val="20"/>
              <w:szCs w:val="20"/>
              <w:lang w:eastAsia="pt-PT"/>
            </w:rPr>
          </w:pPr>
          <w:hyperlink w:anchor="_Toc129787443" w:history="1">
            <w:r w:rsidRPr="002F4D80">
              <w:rPr>
                <w:rStyle w:val="Hyperlink"/>
                <w:rFonts w:ascii="Garamond" w:hAnsi="Garamond"/>
                <w:b/>
                <w:noProof/>
                <w:sz w:val="20"/>
                <w:szCs w:val="20"/>
                <w:lang w:val="en-US"/>
              </w:rPr>
              <w:t>Figure D.5</w:t>
            </w:r>
            <w:r w:rsidRPr="002F4D80">
              <w:rPr>
                <w:rStyle w:val="Hyperlink"/>
                <w:rFonts w:ascii="Garamond" w:hAnsi="Garamond"/>
                <w:noProof/>
                <w:sz w:val="20"/>
                <w:szCs w:val="20"/>
                <w:lang w:val="en-US"/>
              </w:rPr>
              <w:t xml:space="preserve"> – Habitat suitability maps produced by GAMs for Scleractinia (a-c), Anthoathecata (c) and Antipatharia (e). Local confidence (LC): the percentage of times a cell is classified as suitable when models are fitted with resampled input data. Overall confidence (OC): determined by the lowest score among AUC</w:t>
            </w:r>
            <w:r w:rsidRPr="002F4D80">
              <w:rPr>
                <w:rStyle w:val="Hyperlink"/>
                <w:rFonts w:ascii="Garamond" w:hAnsi="Garamond"/>
                <w:noProof/>
                <w:sz w:val="20"/>
                <w:szCs w:val="20"/>
                <w:vertAlign w:val="subscript"/>
                <w:lang w:val="en-US"/>
              </w:rPr>
              <w:t>GAM</w:t>
            </w:r>
            <w:r w:rsidRPr="002F4D80">
              <w:rPr>
                <w:rStyle w:val="Hyperlink"/>
                <w:rFonts w:ascii="Garamond" w:hAnsi="Garamond"/>
                <w:noProof/>
                <w:sz w:val="20"/>
                <w:szCs w:val="20"/>
                <w:lang w:val="en-US"/>
              </w:rPr>
              <w:t xml:space="preserve"> and TSS</w:t>
            </w:r>
            <w:r w:rsidRPr="002F4D80">
              <w:rPr>
                <w:rStyle w:val="Hyperlink"/>
                <w:rFonts w:ascii="Garamond" w:hAnsi="Garamond"/>
                <w:noProof/>
                <w:sz w:val="20"/>
                <w:szCs w:val="20"/>
                <w:vertAlign w:val="subscript"/>
                <w:lang w:val="en-US"/>
              </w:rPr>
              <w:t>GAM</w:t>
            </w:r>
            <w:r w:rsidRPr="002F4D80">
              <w:rPr>
                <w:rStyle w:val="Hyperlink"/>
                <w:rFonts w:ascii="Garamond" w:hAnsi="Garamond"/>
                <w:noProof/>
                <w:sz w:val="20"/>
                <w:szCs w:val="20"/>
                <w:lang w:val="en-US"/>
              </w:rPr>
              <w:t xml:space="preserve">. AUC: area under the curve; TSS: true skill statistics. </w:t>
            </w:r>
            <w:r w:rsidRPr="002F4D80">
              <w:rPr>
                <w:rStyle w:val="Hyperlink"/>
                <w:rFonts w:ascii="Garamond" w:eastAsia="Times New Roman" w:hAnsi="Garamond" w:cs="Calibri"/>
                <w:noProof/>
                <w:sz w:val="20"/>
                <w:szCs w:val="20"/>
                <w:lang w:val="en-US" w:eastAsia="pt-PT"/>
              </w:rPr>
              <w:t>In parenthesis, the number of records used to train the models.</w:t>
            </w:r>
            <w:r w:rsidRPr="002F4D80">
              <w:rPr>
                <w:rFonts w:ascii="Garamond" w:hAnsi="Garamond"/>
                <w:noProof/>
                <w:webHidden/>
                <w:sz w:val="20"/>
                <w:szCs w:val="20"/>
              </w:rPr>
              <w:tab/>
            </w:r>
            <w:r w:rsidRPr="002F4D80">
              <w:rPr>
                <w:rFonts w:ascii="Garamond" w:hAnsi="Garamond"/>
                <w:noProof/>
                <w:webHidden/>
                <w:sz w:val="20"/>
                <w:szCs w:val="20"/>
              </w:rPr>
              <w:fldChar w:fldCharType="begin"/>
            </w:r>
            <w:r w:rsidRPr="002F4D80">
              <w:rPr>
                <w:rFonts w:ascii="Garamond" w:hAnsi="Garamond"/>
                <w:noProof/>
                <w:webHidden/>
                <w:sz w:val="20"/>
                <w:szCs w:val="20"/>
              </w:rPr>
              <w:instrText xml:space="preserve"> PAGEREF _Toc129787443 \h </w:instrText>
            </w:r>
            <w:r w:rsidRPr="002F4D80">
              <w:rPr>
                <w:rFonts w:ascii="Garamond" w:hAnsi="Garamond"/>
                <w:noProof/>
                <w:webHidden/>
                <w:sz w:val="20"/>
                <w:szCs w:val="20"/>
              </w:rPr>
            </w:r>
            <w:r w:rsidRPr="002F4D80">
              <w:rPr>
                <w:rFonts w:ascii="Garamond" w:hAnsi="Garamond"/>
                <w:noProof/>
                <w:webHidden/>
                <w:sz w:val="20"/>
                <w:szCs w:val="20"/>
              </w:rPr>
              <w:fldChar w:fldCharType="separate"/>
            </w:r>
            <w:r w:rsidRPr="002F4D80">
              <w:rPr>
                <w:rFonts w:ascii="Garamond" w:hAnsi="Garamond"/>
                <w:noProof/>
                <w:webHidden/>
                <w:sz w:val="20"/>
                <w:szCs w:val="20"/>
              </w:rPr>
              <w:t>14</w:t>
            </w:r>
            <w:r w:rsidRPr="002F4D80">
              <w:rPr>
                <w:rFonts w:ascii="Garamond" w:hAnsi="Garamond"/>
                <w:noProof/>
                <w:webHidden/>
                <w:sz w:val="20"/>
                <w:szCs w:val="20"/>
              </w:rPr>
              <w:fldChar w:fldCharType="end"/>
            </w:r>
          </w:hyperlink>
        </w:p>
        <w:p w14:paraId="526CAC95" w14:textId="6B591129" w:rsidR="002F4D80" w:rsidRPr="002F4D80" w:rsidRDefault="002F4D80" w:rsidP="002F4D80">
          <w:pPr>
            <w:pStyle w:val="TOC2"/>
            <w:tabs>
              <w:tab w:val="right" w:leader="dot" w:pos="9016"/>
            </w:tabs>
            <w:spacing w:line="276" w:lineRule="auto"/>
            <w:jc w:val="both"/>
            <w:rPr>
              <w:rFonts w:ascii="Garamond" w:eastAsiaTheme="minorEastAsia" w:hAnsi="Garamond"/>
              <w:noProof/>
              <w:sz w:val="20"/>
              <w:szCs w:val="20"/>
              <w:lang w:eastAsia="pt-PT"/>
            </w:rPr>
          </w:pPr>
          <w:hyperlink w:anchor="_Toc129787444" w:history="1">
            <w:r w:rsidRPr="002F4D80">
              <w:rPr>
                <w:rStyle w:val="Hyperlink"/>
                <w:rFonts w:ascii="Garamond" w:hAnsi="Garamond"/>
                <w:b/>
                <w:noProof/>
                <w:sz w:val="20"/>
                <w:szCs w:val="20"/>
                <w:lang w:val="en-US"/>
              </w:rPr>
              <w:t>Figure D.6</w:t>
            </w:r>
            <w:r w:rsidRPr="002F4D80">
              <w:rPr>
                <w:rStyle w:val="Hyperlink"/>
                <w:rFonts w:ascii="Garamond" w:hAnsi="Garamond"/>
                <w:noProof/>
                <w:sz w:val="20"/>
                <w:szCs w:val="20"/>
                <w:lang w:val="en-US"/>
              </w:rPr>
              <w:t xml:space="preserve"> – Habitat suitability maps produced by Maxent models for Scleractinia (a-c), Anthoathecata (c) and Antipatharia (e). Local confidence (LC): the percentage of times a cell is classified as suitable when models are fitted with resampled input data. Overall confidence (OC): determined by the lowest score among AUC</w:t>
            </w:r>
            <w:r w:rsidRPr="002F4D80">
              <w:rPr>
                <w:rStyle w:val="Hyperlink"/>
                <w:rFonts w:ascii="Garamond" w:hAnsi="Garamond"/>
                <w:noProof/>
                <w:sz w:val="20"/>
                <w:szCs w:val="20"/>
                <w:vertAlign w:val="subscript"/>
                <w:lang w:val="en-US"/>
              </w:rPr>
              <w:t>Maxent</w:t>
            </w:r>
            <w:r w:rsidRPr="002F4D80">
              <w:rPr>
                <w:rStyle w:val="Hyperlink"/>
                <w:rFonts w:ascii="Garamond" w:hAnsi="Garamond"/>
                <w:noProof/>
                <w:sz w:val="20"/>
                <w:szCs w:val="20"/>
                <w:lang w:val="en-US"/>
              </w:rPr>
              <w:t xml:space="preserve"> and TSS</w:t>
            </w:r>
            <w:r w:rsidRPr="002F4D80">
              <w:rPr>
                <w:rStyle w:val="Hyperlink"/>
                <w:rFonts w:ascii="Garamond" w:hAnsi="Garamond"/>
                <w:noProof/>
                <w:sz w:val="20"/>
                <w:szCs w:val="20"/>
                <w:vertAlign w:val="subscript"/>
                <w:lang w:val="en-US"/>
              </w:rPr>
              <w:t>Maxent</w:t>
            </w:r>
            <w:r w:rsidRPr="002F4D80">
              <w:rPr>
                <w:rStyle w:val="Hyperlink"/>
                <w:rFonts w:ascii="Garamond" w:hAnsi="Garamond"/>
                <w:noProof/>
                <w:sz w:val="20"/>
                <w:szCs w:val="20"/>
                <w:lang w:val="en-US"/>
              </w:rPr>
              <w:t>. AUC: area under the curve; TSS: true skill statistics. In parenthesis, the number of records used to train the models.</w:t>
            </w:r>
            <w:r w:rsidRPr="002F4D80">
              <w:rPr>
                <w:rFonts w:ascii="Garamond" w:hAnsi="Garamond"/>
                <w:noProof/>
                <w:webHidden/>
                <w:sz w:val="20"/>
                <w:szCs w:val="20"/>
              </w:rPr>
              <w:tab/>
            </w:r>
            <w:r w:rsidRPr="002F4D80">
              <w:rPr>
                <w:rFonts w:ascii="Garamond" w:hAnsi="Garamond"/>
                <w:noProof/>
                <w:webHidden/>
                <w:sz w:val="20"/>
                <w:szCs w:val="20"/>
              </w:rPr>
              <w:fldChar w:fldCharType="begin"/>
            </w:r>
            <w:r w:rsidRPr="002F4D80">
              <w:rPr>
                <w:rFonts w:ascii="Garamond" w:hAnsi="Garamond"/>
                <w:noProof/>
                <w:webHidden/>
                <w:sz w:val="20"/>
                <w:szCs w:val="20"/>
              </w:rPr>
              <w:instrText xml:space="preserve"> PAGEREF _Toc129787444 \h </w:instrText>
            </w:r>
            <w:r w:rsidRPr="002F4D80">
              <w:rPr>
                <w:rFonts w:ascii="Garamond" w:hAnsi="Garamond"/>
                <w:noProof/>
                <w:webHidden/>
                <w:sz w:val="20"/>
                <w:szCs w:val="20"/>
              </w:rPr>
            </w:r>
            <w:r w:rsidRPr="002F4D80">
              <w:rPr>
                <w:rFonts w:ascii="Garamond" w:hAnsi="Garamond"/>
                <w:noProof/>
                <w:webHidden/>
                <w:sz w:val="20"/>
                <w:szCs w:val="20"/>
              </w:rPr>
              <w:fldChar w:fldCharType="separate"/>
            </w:r>
            <w:r w:rsidRPr="002F4D80">
              <w:rPr>
                <w:rFonts w:ascii="Garamond" w:hAnsi="Garamond"/>
                <w:noProof/>
                <w:webHidden/>
                <w:sz w:val="20"/>
                <w:szCs w:val="20"/>
              </w:rPr>
              <w:t>15</w:t>
            </w:r>
            <w:r w:rsidRPr="002F4D80">
              <w:rPr>
                <w:rFonts w:ascii="Garamond" w:hAnsi="Garamond"/>
                <w:noProof/>
                <w:webHidden/>
                <w:sz w:val="20"/>
                <w:szCs w:val="20"/>
              </w:rPr>
              <w:fldChar w:fldCharType="end"/>
            </w:r>
          </w:hyperlink>
        </w:p>
        <w:p w14:paraId="2E25BF2D" w14:textId="331C65DC" w:rsidR="002F4D80" w:rsidRPr="002F4D80" w:rsidRDefault="002F4D80" w:rsidP="002F4D80">
          <w:pPr>
            <w:pStyle w:val="TOC2"/>
            <w:tabs>
              <w:tab w:val="right" w:leader="dot" w:pos="9016"/>
            </w:tabs>
            <w:spacing w:line="276" w:lineRule="auto"/>
            <w:jc w:val="both"/>
            <w:rPr>
              <w:rFonts w:ascii="Garamond" w:eastAsiaTheme="minorEastAsia" w:hAnsi="Garamond"/>
              <w:noProof/>
              <w:sz w:val="20"/>
              <w:szCs w:val="20"/>
              <w:lang w:eastAsia="pt-PT"/>
            </w:rPr>
          </w:pPr>
          <w:hyperlink w:anchor="_Toc129787445" w:history="1">
            <w:r w:rsidRPr="002F4D80">
              <w:rPr>
                <w:rStyle w:val="Hyperlink"/>
                <w:rFonts w:ascii="Garamond" w:hAnsi="Garamond"/>
                <w:b/>
                <w:noProof/>
                <w:sz w:val="20"/>
                <w:szCs w:val="20"/>
                <w:lang w:val="en-US"/>
              </w:rPr>
              <w:t>Figure D.7</w:t>
            </w:r>
            <w:r w:rsidRPr="002F4D80">
              <w:rPr>
                <w:rStyle w:val="Hyperlink"/>
                <w:rFonts w:ascii="Garamond" w:hAnsi="Garamond"/>
                <w:noProof/>
                <w:sz w:val="20"/>
                <w:szCs w:val="20"/>
                <w:lang w:val="en-US"/>
              </w:rPr>
              <w:t xml:space="preserve"> – Local fuzzy matching of GAM and Maxent habitat suitability. Scleractinia (a-c), Anthoathecata (c) and Antipatharia (e).</w:t>
            </w:r>
            <w:r w:rsidRPr="002F4D80">
              <w:rPr>
                <w:rStyle w:val="Hyperlink"/>
                <w:rFonts w:ascii="Garamond" w:hAnsi="Garamond"/>
                <w:b/>
                <w:noProof/>
                <w:sz w:val="20"/>
                <w:szCs w:val="20"/>
                <w:lang w:val="en-US"/>
              </w:rPr>
              <w:t xml:space="preserve"> </w:t>
            </w:r>
            <w:r w:rsidRPr="002F4D80">
              <w:rPr>
                <w:rStyle w:val="Hyperlink"/>
                <w:rFonts w:ascii="Garamond" w:hAnsi="Garamond"/>
                <w:noProof/>
                <w:sz w:val="20"/>
                <w:szCs w:val="20"/>
                <w:lang w:val="en-US"/>
              </w:rPr>
              <w:t>Local fuzzy matching (LF): computes the fuzzy matching of GAM and Maxent suitable cells using two membership functions (i) category similarity and (ii) distance decay. Fuzzy matching values greater than 0.5 means that the two cells are more similar than different. Overall similarity (OS): determined by the improved fuzzy kappa score for high quality cells (F</w:t>
            </w:r>
            <w:r w:rsidRPr="002F4D80">
              <w:rPr>
                <w:rStyle w:val="Hyperlink"/>
                <w:rFonts w:ascii="Garamond" w:hAnsi="Garamond"/>
                <w:noProof/>
                <w:sz w:val="20"/>
                <w:szCs w:val="20"/>
                <w:vertAlign w:val="subscript"/>
                <w:lang w:val="en-US"/>
              </w:rPr>
              <w:t>kHC</w:t>
            </w:r>
            <w:r w:rsidRPr="002F4D80">
              <w:rPr>
                <w:rStyle w:val="Hyperlink"/>
                <w:rFonts w:ascii="Garamond" w:hAnsi="Garamond"/>
                <w:noProof/>
                <w:sz w:val="20"/>
                <w:szCs w:val="20"/>
                <w:lang w:val="en-US"/>
              </w:rPr>
              <w:t>). The score measures the degree of overlap of GAM and Maxent high confidence cells.</w:t>
            </w:r>
            <w:r w:rsidRPr="002F4D80">
              <w:rPr>
                <w:rFonts w:ascii="Garamond" w:hAnsi="Garamond"/>
                <w:noProof/>
                <w:webHidden/>
                <w:sz w:val="20"/>
                <w:szCs w:val="20"/>
              </w:rPr>
              <w:tab/>
            </w:r>
            <w:r w:rsidRPr="002F4D80">
              <w:rPr>
                <w:rFonts w:ascii="Garamond" w:hAnsi="Garamond"/>
                <w:noProof/>
                <w:webHidden/>
                <w:sz w:val="20"/>
                <w:szCs w:val="20"/>
              </w:rPr>
              <w:fldChar w:fldCharType="begin"/>
            </w:r>
            <w:r w:rsidRPr="002F4D80">
              <w:rPr>
                <w:rFonts w:ascii="Garamond" w:hAnsi="Garamond"/>
                <w:noProof/>
                <w:webHidden/>
                <w:sz w:val="20"/>
                <w:szCs w:val="20"/>
              </w:rPr>
              <w:instrText xml:space="preserve"> PAGEREF _Toc129787445 \h </w:instrText>
            </w:r>
            <w:r w:rsidRPr="002F4D80">
              <w:rPr>
                <w:rFonts w:ascii="Garamond" w:hAnsi="Garamond"/>
                <w:noProof/>
                <w:webHidden/>
                <w:sz w:val="20"/>
                <w:szCs w:val="20"/>
              </w:rPr>
            </w:r>
            <w:r w:rsidRPr="002F4D80">
              <w:rPr>
                <w:rFonts w:ascii="Garamond" w:hAnsi="Garamond"/>
                <w:noProof/>
                <w:webHidden/>
                <w:sz w:val="20"/>
                <w:szCs w:val="20"/>
              </w:rPr>
              <w:fldChar w:fldCharType="separate"/>
            </w:r>
            <w:r w:rsidRPr="002F4D80">
              <w:rPr>
                <w:rFonts w:ascii="Garamond" w:hAnsi="Garamond"/>
                <w:noProof/>
                <w:webHidden/>
                <w:sz w:val="20"/>
                <w:szCs w:val="20"/>
              </w:rPr>
              <w:t>16</w:t>
            </w:r>
            <w:r w:rsidRPr="002F4D80">
              <w:rPr>
                <w:rFonts w:ascii="Garamond" w:hAnsi="Garamond"/>
                <w:noProof/>
                <w:webHidden/>
                <w:sz w:val="20"/>
                <w:szCs w:val="20"/>
              </w:rPr>
              <w:fldChar w:fldCharType="end"/>
            </w:r>
          </w:hyperlink>
        </w:p>
        <w:p w14:paraId="7923DC2A" w14:textId="192C8D21" w:rsidR="002F4D80" w:rsidRPr="002F4D80" w:rsidRDefault="002F4D80" w:rsidP="002F4D80">
          <w:pPr>
            <w:pStyle w:val="TOC2"/>
            <w:tabs>
              <w:tab w:val="right" w:leader="dot" w:pos="9016"/>
            </w:tabs>
            <w:spacing w:line="276" w:lineRule="auto"/>
            <w:jc w:val="both"/>
            <w:rPr>
              <w:rFonts w:ascii="Garamond" w:eastAsiaTheme="minorEastAsia" w:hAnsi="Garamond"/>
              <w:noProof/>
              <w:sz w:val="20"/>
              <w:szCs w:val="20"/>
              <w:lang w:eastAsia="pt-PT"/>
            </w:rPr>
          </w:pPr>
          <w:hyperlink w:anchor="_Toc129787446" w:history="1">
            <w:r w:rsidRPr="002F4D80">
              <w:rPr>
                <w:rStyle w:val="Hyperlink"/>
                <w:rFonts w:ascii="Garamond" w:hAnsi="Garamond"/>
                <w:b/>
                <w:noProof/>
                <w:sz w:val="20"/>
                <w:szCs w:val="20"/>
                <w:lang w:val="en-US"/>
              </w:rPr>
              <w:t>Figure D.8</w:t>
            </w:r>
            <w:r w:rsidRPr="002F4D80">
              <w:rPr>
                <w:rStyle w:val="Hyperlink"/>
                <w:rFonts w:ascii="Garamond" w:hAnsi="Garamond"/>
                <w:noProof/>
                <w:sz w:val="20"/>
                <w:szCs w:val="20"/>
                <w:lang w:val="en-US"/>
              </w:rPr>
              <w:t xml:space="preserve"> – Response curves for GAM (solid lines) and Maxent (dashed lines) models regarding the predictor </w:t>
            </w:r>
            <w:r w:rsidRPr="002F4D80">
              <w:rPr>
                <w:rStyle w:val="Hyperlink"/>
                <w:rFonts w:ascii="Garamond" w:hAnsi="Garamond"/>
                <w:i/>
                <w:noProof/>
                <w:sz w:val="20"/>
                <w:szCs w:val="20"/>
                <w:lang w:val="en-US"/>
              </w:rPr>
              <w:t>seawater chemistry</w:t>
            </w:r>
            <w:r w:rsidRPr="002F4D80">
              <w:rPr>
                <w:rStyle w:val="Hyperlink"/>
                <w:rFonts w:ascii="Garamond" w:hAnsi="Garamond"/>
                <w:noProof/>
                <w:sz w:val="20"/>
                <w:szCs w:val="20"/>
                <w:lang w:val="en-US"/>
              </w:rPr>
              <w:t>. Percentage values represent the permutation variable importance (in bold values &gt; 10 %). Shared important variables are colored in red. Species are ordered according to the mean depth of their estimated suitable habitat.</w:t>
            </w:r>
            <w:r w:rsidRPr="002F4D80">
              <w:rPr>
                <w:rStyle w:val="Hyperlink"/>
                <w:rFonts w:ascii="Garamond" w:hAnsi="Garamond"/>
                <w:i/>
                <w:noProof/>
                <w:sz w:val="20"/>
                <w:szCs w:val="20"/>
                <w:lang w:val="en-US"/>
              </w:rPr>
              <w:t xml:space="preserve"> </w:t>
            </w:r>
            <w:r w:rsidRPr="002F4D80">
              <w:rPr>
                <w:rStyle w:val="Hyperlink"/>
                <w:rFonts w:ascii="Garamond" w:eastAsia="Times New Roman" w:hAnsi="Garamond" w:cs="Calibri"/>
                <w:noProof/>
                <w:sz w:val="20"/>
                <w:szCs w:val="20"/>
                <w:lang w:val="en-US" w:eastAsia="pt-PT"/>
              </w:rPr>
              <w:t>HSI: Habitat Suitability Index.</w:t>
            </w:r>
            <w:r w:rsidRPr="002F4D80">
              <w:rPr>
                <w:rFonts w:ascii="Garamond" w:hAnsi="Garamond"/>
                <w:noProof/>
                <w:webHidden/>
                <w:sz w:val="20"/>
                <w:szCs w:val="20"/>
              </w:rPr>
              <w:tab/>
            </w:r>
            <w:r w:rsidRPr="002F4D80">
              <w:rPr>
                <w:rFonts w:ascii="Garamond" w:hAnsi="Garamond"/>
                <w:noProof/>
                <w:webHidden/>
                <w:sz w:val="20"/>
                <w:szCs w:val="20"/>
              </w:rPr>
              <w:fldChar w:fldCharType="begin"/>
            </w:r>
            <w:r w:rsidRPr="002F4D80">
              <w:rPr>
                <w:rFonts w:ascii="Garamond" w:hAnsi="Garamond"/>
                <w:noProof/>
                <w:webHidden/>
                <w:sz w:val="20"/>
                <w:szCs w:val="20"/>
              </w:rPr>
              <w:instrText xml:space="preserve"> PAGEREF _Toc129787446 \h </w:instrText>
            </w:r>
            <w:r w:rsidRPr="002F4D80">
              <w:rPr>
                <w:rFonts w:ascii="Garamond" w:hAnsi="Garamond"/>
                <w:noProof/>
                <w:webHidden/>
                <w:sz w:val="20"/>
                <w:szCs w:val="20"/>
              </w:rPr>
            </w:r>
            <w:r w:rsidRPr="002F4D80">
              <w:rPr>
                <w:rFonts w:ascii="Garamond" w:hAnsi="Garamond"/>
                <w:noProof/>
                <w:webHidden/>
                <w:sz w:val="20"/>
                <w:szCs w:val="20"/>
              </w:rPr>
              <w:fldChar w:fldCharType="separate"/>
            </w:r>
            <w:r w:rsidRPr="002F4D80">
              <w:rPr>
                <w:rFonts w:ascii="Garamond" w:hAnsi="Garamond"/>
                <w:noProof/>
                <w:webHidden/>
                <w:sz w:val="20"/>
                <w:szCs w:val="20"/>
              </w:rPr>
              <w:t>17</w:t>
            </w:r>
            <w:r w:rsidRPr="002F4D80">
              <w:rPr>
                <w:rFonts w:ascii="Garamond" w:hAnsi="Garamond"/>
                <w:noProof/>
                <w:webHidden/>
                <w:sz w:val="20"/>
                <w:szCs w:val="20"/>
              </w:rPr>
              <w:fldChar w:fldCharType="end"/>
            </w:r>
          </w:hyperlink>
        </w:p>
        <w:p w14:paraId="6FC227A6" w14:textId="3E88340F" w:rsidR="002F4D80" w:rsidRPr="002F4D80" w:rsidRDefault="002F4D80" w:rsidP="002F4D80">
          <w:pPr>
            <w:pStyle w:val="TOC2"/>
            <w:tabs>
              <w:tab w:val="right" w:leader="dot" w:pos="9016"/>
            </w:tabs>
            <w:spacing w:line="276" w:lineRule="auto"/>
            <w:jc w:val="both"/>
            <w:rPr>
              <w:rFonts w:ascii="Garamond" w:eastAsiaTheme="minorEastAsia" w:hAnsi="Garamond"/>
              <w:noProof/>
              <w:sz w:val="20"/>
              <w:szCs w:val="20"/>
              <w:lang w:eastAsia="pt-PT"/>
            </w:rPr>
          </w:pPr>
          <w:hyperlink w:anchor="_Toc129787447" w:history="1">
            <w:r w:rsidRPr="002F4D80">
              <w:rPr>
                <w:rStyle w:val="Hyperlink"/>
                <w:rFonts w:ascii="Garamond" w:hAnsi="Garamond"/>
                <w:b/>
                <w:noProof/>
                <w:sz w:val="20"/>
                <w:szCs w:val="20"/>
                <w:lang w:val="en-US"/>
              </w:rPr>
              <w:t>Figure D.9</w:t>
            </w:r>
            <w:r w:rsidRPr="002F4D80">
              <w:rPr>
                <w:rStyle w:val="Hyperlink"/>
                <w:rFonts w:ascii="Garamond" w:hAnsi="Garamond"/>
                <w:noProof/>
                <w:sz w:val="20"/>
                <w:szCs w:val="20"/>
                <w:lang w:val="en-US"/>
              </w:rPr>
              <w:t xml:space="preserve"> – Response curves for GAM (solid lines) and Maxent (dashed lines) models regarding the predictor </w:t>
            </w:r>
            <w:r w:rsidRPr="002F4D80">
              <w:rPr>
                <w:rStyle w:val="Hyperlink"/>
                <w:rFonts w:ascii="Garamond" w:hAnsi="Garamond"/>
                <w:i/>
                <w:noProof/>
                <w:sz w:val="20"/>
                <w:szCs w:val="20"/>
                <w:lang w:val="en-US"/>
              </w:rPr>
              <w:t>seafloor temperature</w:t>
            </w:r>
            <w:r w:rsidRPr="002F4D80">
              <w:rPr>
                <w:rStyle w:val="Hyperlink"/>
                <w:rFonts w:ascii="Garamond" w:hAnsi="Garamond"/>
                <w:noProof/>
                <w:sz w:val="20"/>
                <w:szCs w:val="20"/>
                <w:lang w:val="en-US"/>
              </w:rPr>
              <w:t>. Percentage values represent the permutation variable importance (in bold values &gt; 10 %). Shared important variables are colored in red. Species are ordered according to the mean depth of their estimated suitable habitat.</w:t>
            </w:r>
            <w:r w:rsidRPr="002F4D80">
              <w:rPr>
                <w:rStyle w:val="Hyperlink"/>
                <w:rFonts w:ascii="Garamond" w:hAnsi="Garamond"/>
                <w:i/>
                <w:noProof/>
                <w:sz w:val="20"/>
                <w:szCs w:val="20"/>
                <w:lang w:val="en-US"/>
              </w:rPr>
              <w:t xml:space="preserve"> </w:t>
            </w:r>
            <w:r w:rsidRPr="002F4D80">
              <w:rPr>
                <w:rStyle w:val="Hyperlink"/>
                <w:rFonts w:ascii="Garamond" w:eastAsia="Times New Roman" w:hAnsi="Garamond" w:cs="Calibri"/>
                <w:noProof/>
                <w:sz w:val="20"/>
                <w:szCs w:val="20"/>
                <w:lang w:val="en-US" w:eastAsia="pt-PT"/>
              </w:rPr>
              <w:t>HSI: Habitat Suitability Index.</w:t>
            </w:r>
            <w:r w:rsidRPr="002F4D80">
              <w:rPr>
                <w:rFonts w:ascii="Garamond" w:hAnsi="Garamond"/>
                <w:noProof/>
                <w:webHidden/>
                <w:sz w:val="20"/>
                <w:szCs w:val="20"/>
              </w:rPr>
              <w:tab/>
            </w:r>
            <w:r w:rsidRPr="002F4D80">
              <w:rPr>
                <w:rFonts w:ascii="Garamond" w:hAnsi="Garamond"/>
                <w:noProof/>
                <w:webHidden/>
                <w:sz w:val="20"/>
                <w:szCs w:val="20"/>
              </w:rPr>
              <w:fldChar w:fldCharType="begin"/>
            </w:r>
            <w:r w:rsidRPr="002F4D80">
              <w:rPr>
                <w:rFonts w:ascii="Garamond" w:hAnsi="Garamond"/>
                <w:noProof/>
                <w:webHidden/>
                <w:sz w:val="20"/>
                <w:szCs w:val="20"/>
              </w:rPr>
              <w:instrText xml:space="preserve"> PAGEREF _Toc129787447 \h </w:instrText>
            </w:r>
            <w:r w:rsidRPr="002F4D80">
              <w:rPr>
                <w:rFonts w:ascii="Garamond" w:hAnsi="Garamond"/>
                <w:noProof/>
                <w:webHidden/>
                <w:sz w:val="20"/>
                <w:szCs w:val="20"/>
              </w:rPr>
            </w:r>
            <w:r w:rsidRPr="002F4D80">
              <w:rPr>
                <w:rFonts w:ascii="Garamond" w:hAnsi="Garamond"/>
                <w:noProof/>
                <w:webHidden/>
                <w:sz w:val="20"/>
                <w:szCs w:val="20"/>
              </w:rPr>
              <w:fldChar w:fldCharType="separate"/>
            </w:r>
            <w:r w:rsidRPr="002F4D80">
              <w:rPr>
                <w:rFonts w:ascii="Garamond" w:hAnsi="Garamond"/>
                <w:noProof/>
                <w:webHidden/>
                <w:sz w:val="20"/>
                <w:szCs w:val="20"/>
              </w:rPr>
              <w:t>18</w:t>
            </w:r>
            <w:r w:rsidRPr="002F4D80">
              <w:rPr>
                <w:rFonts w:ascii="Garamond" w:hAnsi="Garamond"/>
                <w:noProof/>
                <w:webHidden/>
                <w:sz w:val="20"/>
                <w:szCs w:val="20"/>
              </w:rPr>
              <w:fldChar w:fldCharType="end"/>
            </w:r>
          </w:hyperlink>
        </w:p>
        <w:p w14:paraId="0677F6D5" w14:textId="606DD167" w:rsidR="002F4D80" w:rsidRPr="002F4D80" w:rsidRDefault="002F4D80" w:rsidP="002F4D80">
          <w:pPr>
            <w:pStyle w:val="TOC2"/>
            <w:tabs>
              <w:tab w:val="right" w:leader="dot" w:pos="9016"/>
            </w:tabs>
            <w:spacing w:line="276" w:lineRule="auto"/>
            <w:jc w:val="both"/>
            <w:rPr>
              <w:rFonts w:ascii="Garamond" w:eastAsiaTheme="minorEastAsia" w:hAnsi="Garamond"/>
              <w:noProof/>
              <w:sz w:val="20"/>
              <w:szCs w:val="20"/>
              <w:lang w:eastAsia="pt-PT"/>
            </w:rPr>
          </w:pPr>
          <w:hyperlink w:anchor="_Toc129787448" w:history="1">
            <w:r w:rsidRPr="002F4D80">
              <w:rPr>
                <w:rStyle w:val="Hyperlink"/>
                <w:rFonts w:ascii="Garamond" w:hAnsi="Garamond"/>
                <w:b/>
                <w:noProof/>
                <w:sz w:val="20"/>
                <w:szCs w:val="20"/>
                <w:lang w:val="en-US"/>
              </w:rPr>
              <w:t>Figure D.10</w:t>
            </w:r>
            <w:r w:rsidRPr="002F4D80">
              <w:rPr>
                <w:rStyle w:val="Hyperlink"/>
                <w:rFonts w:ascii="Garamond" w:hAnsi="Garamond"/>
                <w:noProof/>
                <w:sz w:val="20"/>
                <w:szCs w:val="20"/>
                <w:lang w:val="en-US"/>
              </w:rPr>
              <w:t xml:space="preserve"> – Response curves for GAM (solid lines) and Maxent (dashed lines) models regarding the predictor </w:t>
            </w:r>
            <w:r w:rsidRPr="002F4D80">
              <w:rPr>
                <w:rStyle w:val="Hyperlink"/>
                <w:rFonts w:ascii="Garamond" w:hAnsi="Garamond"/>
                <w:i/>
                <w:noProof/>
                <w:sz w:val="20"/>
                <w:szCs w:val="20"/>
                <w:lang w:val="en-US"/>
              </w:rPr>
              <w:t xml:space="preserve">POC flux </w:t>
            </w:r>
            <w:r w:rsidRPr="002F4D80">
              <w:rPr>
                <w:rStyle w:val="Hyperlink"/>
                <w:rFonts w:ascii="Garamond" w:hAnsi="Garamond"/>
                <w:noProof/>
                <w:sz w:val="20"/>
                <w:szCs w:val="20"/>
                <w:lang w:val="en-US"/>
              </w:rPr>
              <w:t>(Particulate Organic Carbon flux). Percentage values represent the permutation variable importance (in bold values &gt; 10 %). Shared important variables are colored in red. Species are ordered according to the mean depth of their estimated suitable habitat.</w:t>
            </w:r>
            <w:r w:rsidRPr="002F4D80">
              <w:rPr>
                <w:rStyle w:val="Hyperlink"/>
                <w:rFonts w:ascii="Garamond" w:hAnsi="Garamond"/>
                <w:i/>
                <w:noProof/>
                <w:sz w:val="20"/>
                <w:szCs w:val="20"/>
                <w:lang w:val="en-US"/>
              </w:rPr>
              <w:t xml:space="preserve"> </w:t>
            </w:r>
            <w:r w:rsidRPr="002F4D80">
              <w:rPr>
                <w:rStyle w:val="Hyperlink"/>
                <w:rFonts w:ascii="Garamond" w:eastAsia="Times New Roman" w:hAnsi="Garamond" w:cs="Calibri"/>
                <w:noProof/>
                <w:sz w:val="20"/>
                <w:szCs w:val="20"/>
                <w:lang w:val="en-US" w:eastAsia="pt-PT"/>
              </w:rPr>
              <w:t>HSI: Habitat Suitability Index.</w:t>
            </w:r>
            <w:r w:rsidRPr="002F4D80">
              <w:rPr>
                <w:rFonts w:ascii="Garamond" w:hAnsi="Garamond"/>
                <w:noProof/>
                <w:webHidden/>
                <w:sz w:val="20"/>
                <w:szCs w:val="20"/>
              </w:rPr>
              <w:tab/>
            </w:r>
            <w:r w:rsidRPr="002F4D80">
              <w:rPr>
                <w:rFonts w:ascii="Garamond" w:hAnsi="Garamond"/>
                <w:noProof/>
                <w:webHidden/>
                <w:sz w:val="20"/>
                <w:szCs w:val="20"/>
              </w:rPr>
              <w:fldChar w:fldCharType="begin"/>
            </w:r>
            <w:r w:rsidRPr="002F4D80">
              <w:rPr>
                <w:rFonts w:ascii="Garamond" w:hAnsi="Garamond"/>
                <w:noProof/>
                <w:webHidden/>
                <w:sz w:val="20"/>
                <w:szCs w:val="20"/>
              </w:rPr>
              <w:instrText xml:space="preserve"> PAGEREF _Toc129787448 \h </w:instrText>
            </w:r>
            <w:r w:rsidRPr="002F4D80">
              <w:rPr>
                <w:rFonts w:ascii="Garamond" w:hAnsi="Garamond"/>
                <w:noProof/>
                <w:webHidden/>
                <w:sz w:val="20"/>
                <w:szCs w:val="20"/>
              </w:rPr>
            </w:r>
            <w:r w:rsidRPr="002F4D80">
              <w:rPr>
                <w:rFonts w:ascii="Garamond" w:hAnsi="Garamond"/>
                <w:noProof/>
                <w:webHidden/>
                <w:sz w:val="20"/>
                <w:szCs w:val="20"/>
              </w:rPr>
              <w:fldChar w:fldCharType="separate"/>
            </w:r>
            <w:r w:rsidRPr="002F4D80">
              <w:rPr>
                <w:rFonts w:ascii="Garamond" w:hAnsi="Garamond"/>
                <w:noProof/>
                <w:webHidden/>
                <w:sz w:val="20"/>
                <w:szCs w:val="20"/>
              </w:rPr>
              <w:t>19</w:t>
            </w:r>
            <w:r w:rsidRPr="002F4D80">
              <w:rPr>
                <w:rFonts w:ascii="Garamond" w:hAnsi="Garamond"/>
                <w:noProof/>
                <w:webHidden/>
                <w:sz w:val="20"/>
                <w:szCs w:val="20"/>
              </w:rPr>
              <w:fldChar w:fldCharType="end"/>
            </w:r>
          </w:hyperlink>
        </w:p>
        <w:p w14:paraId="4344EFAB" w14:textId="2359ECF2" w:rsidR="002F4D80" w:rsidRPr="002F4D80" w:rsidRDefault="002F4D80" w:rsidP="002F4D80">
          <w:pPr>
            <w:pStyle w:val="TOC2"/>
            <w:tabs>
              <w:tab w:val="right" w:leader="dot" w:pos="9016"/>
            </w:tabs>
            <w:spacing w:line="276" w:lineRule="auto"/>
            <w:jc w:val="both"/>
            <w:rPr>
              <w:rFonts w:ascii="Garamond" w:eastAsiaTheme="minorEastAsia" w:hAnsi="Garamond"/>
              <w:noProof/>
              <w:sz w:val="20"/>
              <w:szCs w:val="20"/>
              <w:lang w:eastAsia="pt-PT"/>
            </w:rPr>
          </w:pPr>
          <w:hyperlink w:anchor="_Toc129787449" w:history="1">
            <w:r w:rsidRPr="002F4D80">
              <w:rPr>
                <w:rStyle w:val="Hyperlink"/>
                <w:rFonts w:ascii="Garamond" w:hAnsi="Garamond"/>
                <w:b/>
                <w:noProof/>
                <w:sz w:val="20"/>
                <w:szCs w:val="20"/>
                <w:lang w:val="en-US"/>
              </w:rPr>
              <w:t>Figure D.11</w:t>
            </w:r>
            <w:r w:rsidRPr="002F4D80">
              <w:rPr>
                <w:rStyle w:val="Hyperlink"/>
                <w:rFonts w:ascii="Garamond" w:hAnsi="Garamond"/>
                <w:noProof/>
                <w:sz w:val="20"/>
                <w:szCs w:val="20"/>
                <w:lang w:val="en-US"/>
              </w:rPr>
              <w:t xml:space="preserve"> – Response curves for GAM (solid lines) and Maxent (dashed lines) models regarding the predictor </w:t>
            </w:r>
            <w:r w:rsidRPr="002F4D80">
              <w:rPr>
                <w:rStyle w:val="Hyperlink"/>
                <w:rFonts w:ascii="Garamond" w:hAnsi="Garamond"/>
                <w:i/>
                <w:noProof/>
                <w:sz w:val="20"/>
                <w:szCs w:val="20"/>
                <w:lang w:val="en-US"/>
              </w:rPr>
              <w:t>oxygen saturation</w:t>
            </w:r>
            <w:r w:rsidRPr="002F4D80">
              <w:rPr>
                <w:rStyle w:val="Hyperlink"/>
                <w:rFonts w:ascii="Garamond" w:hAnsi="Garamond"/>
                <w:noProof/>
                <w:sz w:val="20"/>
                <w:szCs w:val="20"/>
                <w:lang w:val="en-US"/>
              </w:rPr>
              <w:t>. Percentage values represent the permutation variable importance (in bold values &gt; 10 %). Shared important variables are colored in red. Species are ordered according to the mean depth of their estimated suitable habitat.</w:t>
            </w:r>
            <w:r w:rsidRPr="002F4D80">
              <w:rPr>
                <w:rStyle w:val="Hyperlink"/>
                <w:rFonts w:ascii="Garamond" w:hAnsi="Garamond"/>
                <w:i/>
                <w:noProof/>
                <w:sz w:val="20"/>
                <w:szCs w:val="20"/>
                <w:lang w:val="en-US"/>
              </w:rPr>
              <w:t xml:space="preserve"> </w:t>
            </w:r>
            <w:r w:rsidRPr="002F4D80">
              <w:rPr>
                <w:rStyle w:val="Hyperlink"/>
                <w:rFonts w:ascii="Garamond" w:eastAsia="Times New Roman" w:hAnsi="Garamond" w:cs="Calibri"/>
                <w:noProof/>
                <w:sz w:val="20"/>
                <w:szCs w:val="20"/>
                <w:lang w:val="en-US" w:eastAsia="pt-PT"/>
              </w:rPr>
              <w:t>HSI: Habitat Suitability Index.</w:t>
            </w:r>
            <w:r w:rsidRPr="002F4D80">
              <w:rPr>
                <w:rFonts w:ascii="Garamond" w:hAnsi="Garamond"/>
                <w:noProof/>
                <w:webHidden/>
                <w:sz w:val="20"/>
                <w:szCs w:val="20"/>
              </w:rPr>
              <w:tab/>
            </w:r>
            <w:r w:rsidRPr="002F4D80">
              <w:rPr>
                <w:rFonts w:ascii="Garamond" w:hAnsi="Garamond"/>
                <w:noProof/>
                <w:webHidden/>
                <w:sz w:val="20"/>
                <w:szCs w:val="20"/>
              </w:rPr>
              <w:fldChar w:fldCharType="begin"/>
            </w:r>
            <w:r w:rsidRPr="002F4D80">
              <w:rPr>
                <w:rFonts w:ascii="Garamond" w:hAnsi="Garamond"/>
                <w:noProof/>
                <w:webHidden/>
                <w:sz w:val="20"/>
                <w:szCs w:val="20"/>
              </w:rPr>
              <w:instrText xml:space="preserve"> PAGEREF _Toc129787449 \h </w:instrText>
            </w:r>
            <w:r w:rsidRPr="002F4D80">
              <w:rPr>
                <w:rFonts w:ascii="Garamond" w:hAnsi="Garamond"/>
                <w:noProof/>
                <w:webHidden/>
                <w:sz w:val="20"/>
                <w:szCs w:val="20"/>
              </w:rPr>
            </w:r>
            <w:r w:rsidRPr="002F4D80">
              <w:rPr>
                <w:rFonts w:ascii="Garamond" w:hAnsi="Garamond"/>
                <w:noProof/>
                <w:webHidden/>
                <w:sz w:val="20"/>
                <w:szCs w:val="20"/>
              </w:rPr>
              <w:fldChar w:fldCharType="separate"/>
            </w:r>
            <w:r w:rsidRPr="002F4D80">
              <w:rPr>
                <w:rFonts w:ascii="Garamond" w:hAnsi="Garamond"/>
                <w:noProof/>
                <w:webHidden/>
                <w:sz w:val="20"/>
                <w:szCs w:val="20"/>
              </w:rPr>
              <w:t>20</w:t>
            </w:r>
            <w:r w:rsidRPr="002F4D80">
              <w:rPr>
                <w:rFonts w:ascii="Garamond" w:hAnsi="Garamond"/>
                <w:noProof/>
                <w:webHidden/>
                <w:sz w:val="20"/>
                <w:szCs w:val="20"/>
              </w:rPr>
              <w:fldChar w:fldCharType="end"/>
            </w:r>
          </w:hyperlink>
        </w:p>
        <w:p w14:paraId="46AB45FE" w14:textId="325D5691" w:rsidR="002F4D80" w:rsidRPr="002F4D80" w:rsidRDefault="002F4D80" w:rsidP="002F4D80">
          <w:pPr>
            <w:pStyle w:val="TOC2"/>
            <w:tabs>
              <w:tab w:val="right" w:leader="dot" w:pos="9016"/>
            </w:tabs>
            <w:spacing w:line="276" w:lineRule="auto"/>
            <w:jc w:val="both"/>
            <w:rPr>
              <w:rFonts w:ascii="Garamond" w:eastAsiaTheme="minorEastAsia" w:hAnsi="Garamond"/>
              <w:noProof/>
              <w:sz w:val="20"/>
              <w:szCs w:val="20"/>
              <w:lang w:eastAsia="pt-PT"/>
            </w:rPr>
          </w:pPr>
          <w:hyperlink w:anchor="_Toc129787450" w:history="1">
            <w:r w:rsidRPr="002F4D80">
              <w:rPr>
                <w:rStyle w:val="Hyperlink"/>
                <w:rFonts w:ascii="Garamond" w:hAnsi="Garamond"/>
                <w:b/>
                <w:noProof/>
                <w:sz w:val="20"/>
                <w:szCs w:val="20"/>
                <w:lang w:val="en-US"/>
              </w:rPr>
              <w:t xml:space="preserve">Figure D.12 </w:t>
            </w:r>
            <w:r w:rsidRPr="002F4D80">
              <w:rPr>
                <w:rStyle w:val="Hyperlink"/>
                <w:rFonts w:ascii="Garamond" w:hAnsi="Garamond"/>
                <w:noProof/>
                <w:sz w:val="20"/>
                <w:szCs w:val="20"/>
                <w:lang w:val="en-US"/>
              </w:rPr>
              <w:t xml:space="preserve">– Response curves for GAM (solid lines) and Maxent (dashed lines) models regarding the predictor </w:t>
            </w:r>
            <w:r w:rsidRPr="002F4D80">
              <w:rPr>
                <w:rStyle w:val="Hyperlink"/>
                <w:rFonts w:ascii="Garamond" w:hAnsi="Garamond"/>
                <w:i/>
                <w:noProof/>
                <w:sz w:val="20"/>
                <w:szCs w:val="20"/>
                <w:lang w:val="en-US"/>
              </w:rPr>
              <w:t>slope</w:t>
            </w:r>
            <w:r w:rsidRPr="002F4D80">
              <w:rPr>
                <w:rStyle w:val="Hyperlink"/>
                <w:rFonts w:ascii="Garamond" w:hAnsi="Garamond"/>
                <w:noProof/>
                <w:sz w:val="20"/>
                <w:szCs w:val="20"/>
                <w:lang w:val="en-US"/>
              </w:rPr>
              <w:t>. Percentage values represent the permutation variable importance (in bold values &gt; 10 %). Shared important variables are colored in red. Species are ordered according to the mean depth of their estimated suitable habitat.</w:t>
            </w:r>
            <w:r w:rsidRPr="002F4D80">
              <w:rPr>
                <w:rStyle w:val="Hyperlink"/>
                <w:rFonts w:ascii="Garamond" w:hAnsi="Garamond"/>
                <w:i/>
                <w:noProof/>
                <w:sz w:val="20"/>
                <w:szCs w:val="20"/>
                <w:lang w:val="en-US"/>
              </w:rPr>
              <w:t xml:space="preserve"> </w:t>
            </w:r>
            <w:r w:rsidRPr="002F4D80">
              <w:rPr>
                <w:rStyle w:val="Hyperlink"/>
                <w:rFonts w:ascii="Garamond" w:eastAsia="Times New Roman" w:hAnsi="Garamond" w:cs="Calibri"/>
                <w:noProof/>
                <w:sz w:val="20"/>
                <w:szCs w:val="20"/>
                <w:lang w:val="en-US" w:eastAsia="pt-PT"/>
              </w:rPr>
              <w:t>HSI: Habitat Suitability Index.</w:t>
            </w:r>
            <w:r w:rsidRPr="002F4D80">
              <w:rPr>
                <w:rFonts w:ascii="Garamond" w:hAnsi="Garamond"/>
                <w:noProof/>
                <w:webHidden/>
                <w:sz w:val="20"/>
                <w:szCs w:val="20"/>
              </w:rPr>
              <w:tab/>
            </w:r>
            <w:r w:rsidRPr="002F4D80">
              <w:rPr>
                <w:rFonts w:ascii="Garamond" w:hAnsi="Garamond"/>
                <w:noProof/>
                <w:webHidden/>
                <w:sz w:val="20"/>
                <w:szCs w:val="20"/>
              </w:rPr>
              <w:fldChar w:fldCharType="begin"/>
            </w:r>
            <w:r w:rsidRPr="002F4D80">
              <w:rPr>
                <w:rFonts w:ascii="Garamond" w:hAnsi="Garamond"/>
                <w:noProof/>
                <w:webHidden/>
                <w:sz w:val="20"/>
                <w:szCs w:val="20"/>
              </w:rPr>
              <w:instrText xml:space="preserve"> PAGEREF _Toc129787450 \h </w:instrText>
            </w:r>
            <w:r w:rsidRPr="002F4D80">
              <w:rPr>
                <w:rFonts w:ascii="Garamond" w:hAnsi="Garamond"/>
                <w:noProof/>
                <w:webHidden/>
                <w:sz w:val="20"/>
                <w:szCs w:val="20"/>
              </w:rPr>
            </w:r>
            <w:r w:rsidRPr="002F4D80">
              <w:rPr>
                <w:rFonts w:ascii="Garamond" w:hAnsi="Garamond"/>
                <w:noProof/>
                <w:webHidden/>
                <w:sz w:val="20"/>
                <w:szCs w:val="20"/>
              </w:rPr>
              <w:fldChar w:fldCharType="separate"/>
            </w:r>
            <w:r w:rsidRPr="002F4D80">
              <w:rPr>
                <w:rFonts w:ascii="Garamond" w:hAnsi="Garamond"/>
                <w:noProof/>
                <w:webHidden/>
                <w:sz w:val="20"/>
                <w:szCs w:val="20"/>
              </w:rPr>
              <w:t>21</w:t>
            </w:r>
            <w:r w:rsidRPr="002F4D80">
              <w:rPr>
                <w:rFonts w:ascii="Garamond" w:hAnsi="Garamond"/>
                <w:noProof/>
                <w:webHidden/>
                <w:sz w:val="20"/>
                <w:szCs w:val="20"/>
              </w:rPr>
              <w:fldChar w:fldCharType="end"/>
            </w:r>
          </w:hyperlink>
        </w:p>
        <w:p w14:paraId="33A8F711" w14:textId="2810C4DE" w:rsidR="002F4D80" w:rsidRPr="002F4D80" w:rsidRDefault="002F4D80" w:rsidP="002F4D80">
          <w:pPr>
            <w:pStyle w:val="TOC2"/>
            <w:tabs>
              <w:tab w:val="right" w:leader="dot" w:pos="9016"/>
            </w:tabs>
            <w:spacing w:line="276" w:lineRule="auto"/>
            <w:jc w:val="both"/>
            <w:rPr>
              <w:rFonts w:ascii="Garamond" w:eastAsiaTheme="minorEastAsia" w:hAnsi="Garamond"/>
              <w:noProof/>
              <w:sz w:val="20"/>
              <w:szCs w:val="20"/>
              <w:lang w:eastAsia="pt-PT"/>
            </w:rPr>
          </w:pPr>
          <w:hyperlink w:anchor="_Toc129787451" w:history="1">
            <w:r w:rsidRPr="002F4D80">
              <w:rPr>
                <w:rStyle w:val="Hyperlink"/>
                <w:rFonts w:ascii="Garamond" w:hAnsi="Garamond"/>
                <w:b/>
                <w:noProof/>
                <w:sz w:val="20"/>
                <w:szCs w:val="20"/>
                <w:lang w:val="en-US"/>
              </w:rPr>
              <w:t>Figure D.13</w:t>
            </w:r>
            <w:r w:rsidRPr="002F4D80">
              <w:rPr>
                <w:rStyle w:val="Hyperlink"/>
                <w:rFonts w:ascii="Garamond" w:hAnsi="Garamond"/>
                <w:noProof/>
                <w:sz w:val="20"/>
                <w:szCs w:val="20"/>
                <w:lang w:val="en-US"/>
              </w:rPr>
              <w:t xml:space="preserve"> – Response curves for GAM (solid lines) and Maxent (dashed lines) models regarding the predictor </w:t>
            </w:r>
            <w:r w:rsidRPr="002F4D80">
              <w:rPr>
                <w:rStyle w:val="Hyperlink"/>
                <w:rFonts w:ascii="Garamond" w:hAnsi="Garamond"/>
                <w:i/>
                <w:noProof/>
                <w:sz w:val="20"/>
                <w:szCs w:val="20"/>
                <w:lang w:val="en-US"/>
              </w:rPr>
              <w:t xml:space="preserve">BPI_5km </w:t>
            </w:r>
            <w:r w:rsidRPr="002F4D80">
              <w:rPr>
                <w:rStyle w:val="Hyperlink"/>
                <w:rFonts w:ascii="Garamond" w:hAnsi="Garamond"/>
                <w:noProof/>
                <w:sz w:val="20"/>
                <w:szCs w:val="20"/>
                <w:lang w:val="en-US"/>
              </w:rPr>
              <w:t>(bathymetric position index computed on a 5 km radius). Percentage values represent the permutation variable importance (in bold values &gt; 10 %). Shared important variables are colored in red. Species are ordered according to the mean depth of their estimated suitable habitat.</w:t>
            </w:r>
            <w:r w:rsidRPr="002F4D80">
              <w:rPr>
                <w:rStyle w:val="Hyperlink"/>
                <w:rFonts w:ascii="Garamond" w:hAnsi="Garamond"/>
                <w:i/>
                <w:noProof/>
                <w:sz w:val="20"/>
                <w:szCs w:val="20"/>
                <w:lang w:val="en-US"/>
              </w:rPr>
              <w:t xml:space="preserve"> </w:t>
            </w:r>
            <w:r w:rsidRPr="002F4D80">
              <w:rPr>
                <w:rStyle w:val="Hyperlink"/>
                <w:rFonts w:ascii="Garamond" w:eastAsia="Times New Roman" w:hAnsi="Garamond" w:cs="Calibri"/>
                <w:noProof/>
                <w:sz w:val="20"/>
                <w:szCs w:val="20"/>
                <w:lang w:val="en-US" w:eastAsia="pt-PT"/>
              </w:rPr>
              <w:t>HSI: Habitat Suitability Index.</w:t>
            </w:r>
            <w:r w:rsidRPr="002F4D80">
              <w:rPr>
                <w:rFonts w:ascii="Garamond" w:hAnsi="Garamond"/>
                <w:noProof/>
                <w:webHidden/>
                <w:sz w:val="20"/>
                <w:szCs w:val="20"/>
              </w:rPr>
              <w:tab/>
            </w:r>
            <w:r w:rsidRPr="002F4D80">
              <w:rPr>
                <w:rFonts w:ascii="Garamond" w:hAnsi="Garamond"/>
                <w:noProof/>
                <w:webHidden/>
                <w:sz w:val="20"/>
                <w:szCs w:val="20"/>
              </w:rPr>
              <w:fldChar w:fldCharType="begin"/>
            </w:r>
            <w:r w:rsidRPr="002F4D80">
              <w:rPr>
                <w:rFonts w:ascii="Garamond" w:hAnsi="Garamond"/>
                <w:noProof/>
                <w:webHidden/>
                <w:sz w:val="20"/>
                <w:szCs w:val="20"/>
              </w:rPr>
              <w:instrText xml:space="preserve"> PAGEREF _Toc129787451 \h </w:instrText>
            </w:r>
            <w:r w:rsidRPr="002F4D80">
              <w:rPr>
                <w:rFonts w:ascii="Garamond" w:hAnsi="Garamond"/>
                <w:noProof/>
                <w:webHidden/>
                <w:sz w:val="20"/>
                <w:szCs w:val="20"/>
              </w:rPr>
            </w:r>
            <w:r w:rsidRPr="002F4D80">
              <w:rPr>
                <w:rFonts w:ascii="Garamond" w:hAnsi="Garamond"/>
                <w:noProof/>
                <w:webHidden/>
                <w:sz w:val="20"/>
                <w:szCs w:val="20"/>
              </w:rPr>
              <w:fldChar w:fldCharType="separate"/>
            </w:r>
            <w:r w:rsidRPr="002F4D80">
              <w:rPr>
                <w:rFonts w:ascii="Garamond" w:hAnsi="Garamond"/>
                <w:noProof/>
                <w:webHidden/>
                <w:sz w:val="20"/>
                <w:szCs w:val="20"/>
              </w:rPr>
              <w:t>22</w:t>
            </w:r>
            <w:r w:rsidRPr="002F4D80">
              <w:rPr>
                <w:rFonts w:ascii="Garamond" w:hAnsi="Garamond"/>
                <w:noProof/>
                <w:webHidden/>
                <w:sz w:val="20"/>
                <w:szCs w:val="20"/>
              </w:rPr>
              <w:fldChar w:fldCharType="end"/>
            </w:r>
          </w:hyperlink>
        </w:p>
        <w:p w14:paraId="741B2030" w14:textId="685600F6" w:rsidR="002F4D80" w:rsidRPr="002F4D80" w:rsidRDefault="002F4D80" w:rsidP="002F4D80">
          <w:pPr>
            <w:pStyle w:val="TOC2"/>
            <w:tabs>
              <w:tab w:val="right" w:leader="dot" w:pos="9016"/>
            </w:tabs>
            <w:spacing w:line="276" w:lineRule="auto"/>
            <w:jc w:val="both"/>
            <w:rPr>
              <w:rFonts w:ascii="Garamond" w:eastAsiaTheme="minorEastAsia" w:hAnsi="Garamond"/>
              <w:noProof/>
              <w:sz w:val="20"/>
              <w:szCs w:val="20"/>
              <w:lang w:eastAsia="pt-PT"/>
            </w:rPr>
          </w:pPr>
          <w:hyperlink w:anchor="_Toc129787452" w:history="1">
            <w:r w:rsidRPr="002F4D80">
              <w:rPr>
                <w:rStyle w:val="Hyperlink"/>
                <w:rFonts w:ascii="Garamond" w:hAnsi="Garamond"/>
                <w:b/>
                <w:noProof/>
                <w:sz w:val="20"/>
                <w:szCs w:val="20"/>
                <w:lang w:val="en-US"/>
              </w:rPr>
              <w:t>Figure D.14</w:t>
            </w:r>
            <w:r w:rsidRPr="002F4D80">
              <w:rPr>
                <w:rStyle w:val="Hyperlink"/>
                <w:rFonts w:ascii="Garamond" w:hAnsi="Garamond"/>
                <w:noProof/>
                <w:sz w:val="20"/>
                <w:szCs w:val="20"/>
                <w:lang w:val="en-US"/>
              </w:rPr>
              <w:t xml:space="preserve"> – Response curves for GAM (solid lines) and Maxent (dashed lines) models regarding the predictor </w:t>
            </w:r>
            <w:r w:rsidRPr="002F4D80">
              <w:rPr>
                <w:rStyle w:val="Hyperlink"/>
                <w:rFonts w:ascii="Garamond" w:hAnsi="Garamond"/>
                <w:i/>
                <w:noProof/>
                <w:sz w:val="20"/>
                <w:szCs w:val="20"/>
                <w:lang w:val="en-US"/>
              </w:rPr>
              <w:t xml:space="preserve">BPI_20km </w:t>
            </w:r>
            <w:r w:rsidRPr="002F4D80">
              <w:rPr>
                <w:rStyle w:val="Hyperlink"/>
                <w:rFonts w:ascii="Garamond" w:hAnsi="Garamond"/>
                <w:noProof/>
                <w:sz w:val="20"/>
                <w:szCs w:val="20"/>
                <w:lang w:val="en-US"/>
              </w:rPr>
              <w:t>(bathymetric position index computed on a 20 km radius). Percentage values represent the permutation variable importance (in bold values &gt; 10 %). Shared important variables are colored in red. Species are ordered according to the mean depth of their estimated suitable habitat.</w:t>
            </w:r>
            <w:r w:rsidRPr="002F4D80">
              <w:rPr>
                <w:rStyle w:val="Hyperlink"/>
                <w:rFonts w:ascii="Garamond" w:hAnsi="Garamond"/>
                <w:i/>
                <w:noProof/>
                <w:sz w:val="20"/>
                <w:szCs w:val="20"/>
                <w:lang w:val="en-US"/>
              </w:rPr>
              <w:t xml:space="preserve"> </w:t>
            </w:r>
            <w:r w:rsidRPr="002F4D80">
              <w:rPr>
                <w:rStyle w:val="Hyperlink"/>
                <w:rFonts w:ascii="Garamond" w:eastAsia="Times New Roman" w:hAnsi="Garamond" w:cs="Calibri"/>
                <w:noProof/>
                <w:sz w:val="20"/>
                <w:szCs w:val="20"/>
                <w:lang w:val="en-US" w:eastAsia="pt-PT"/>
              </w:rPr>
              <w:t>HSI: Habitat Suitability Index.</w:t>
            </w:r>
            <w:r w:rsidRPr="002F4D80">
              <w:rPr>
                <w:rFonts w:ascii="Garamond" w:hAnsi="Garamond"/>
                <w:noProof/>
                <w:webHidden/>
                <w:sz w:val="20"/>
                <w:szCs w:val="20"/>
              </w:rPr>
              <w:tab/>
            </w:r>
            <w:r w:rsidRPr="002F4D80">
              <w:rPr>
                <w:rFonts w:ascii="Garamond" w:hAnsi="Garamond"/>
                <w:noProof/>
                <w:webHidden/>
                <w:sz w:val="20"/>
                <w:szCs w:val="20"/>
              </w:rPr>
              <w:fldChar w:fldCharType="begin"/>
            </w:r>
            <w:r w:rsidRPr="002F4D80">
              <w:rPr>
                <w:rFonts w:ascii="Garamond" w:hAnsi="Garamond"/>
                <w:noProof/>
                <w:webHidden/>
                <w:sz w:val="20"/>
                <w:szCs w:val="20"/>
              </w:rPr>
              <w:instrText xml:space="preserve"> PAGEREF _Toc129787452 \h </w:instrText>
            </w:r>
            <w:r w:rsidRPr="002F4D80">
              <w:rPr>
                <w:rFonts w:ascii="Garamond" w:hAnsi="Garamond"/>
                <w:noProof/>
                <w:webHidden/>
                <w:sz w:val="20"/>
                <w:szCs w:val="20"/>
              </w:rPr>
            </w:r>
            <w:r w:rsidRPr="002F4D80">
              <w:rPr>
                <w:rFonts w:ascii="Garamond" w:hAnsi="Garamond"/>
                <w:noProof/>
                <w:webHidden/>
                <w:sz w:val="20"/>
                <w:szCs w:val="20"/>
              </w:rPr>
              <w:fldChar w:fldCharType="separate"/>
            </w:r>
            <w:r w:rsidRPr="002F4D80">
              <w:rPr>
                <w:rFonts w:ascii="Garamond" w:hAnsi="Garamond"/>
                <w:noProof/>
                <w:webHidden/>
                <w:sz w:val="20"/>
                <w:szCs w:val="20"/>
              </w:rPr>
              <w:t>23</w:t>
            </w:r>
            <w:r w:rsidRPr="002F4D80">
              <w:rPr>
                <w:rFonts w:ascii="Garamond" w:hAnsi="Garamond"/>
                <w:noProof/>
                <w:webHidden/>
                <w:sz w:val="20"/>
                <w:szCs w:val="20"/>
              </w:rPr>
              <w:fldChar w:fldCharType="end"/>
            </w:r>
          </w:hyperlink>
        </w:p>
        <w:p w14:paraId="4FAEC98C" w14:textId="7F83D876" w:rsidR="002F4D80" w:rsidRPr="002F4D80" w:rsidRDefault="002F4D80" w:rsidP="002F4D80">
          <w:pPr>
            <w:pStyle w:val="TOC2"/>
            <w:tabs>
              <w:tab w:val="right" w:leader="dot" w:pos="9016"/>
            </w:tabs>
            <w:spacing w:line="276" w:lineRule="auto"/>
            <w:jc w:val="both"/>
            <w:rPr>
              <w:rFonts w:ascii="Garamond" w:eastAsiaTheme="minorEastAsia" w:hAnsi="Garamond"/>
              <w:noProof/>
              <w:sz w:val="20"/>
              <w:szCs w:val="20"/>
              <w:lang w:eastAsia="pt-PT"/>
            </w:rPr>
          </w:pPr>
          <w:hyperlink w:anchor="_Toc129787453" w:history="1">
            <w:r w:rsidRPr="002F4D80">
              <w:rPr>
                <w:rStyle w:val="Hyperlink"/>
                <w:rFonts w:ascii="Garamond" w:hAnsi="Garamond"/>
                <w:b/>
                <w:noProof/>
                <w:sz w:val="20"/>
                <w:szCs w:val="20"/>
                <w:lang w:val="en-US"/>
              </w:rPr>
              <w:t>Figure D.15</w:t>
            </w:r>
            <w:r w:rsidRPr="002F4D80">
              <w:rPr>
                <w:rStyle w:val="Hyperlink"/>
                <w:rFonts w:ascii="Garamond" w:hAnsi="Garamond"/>
                <w:noProof/>
                <w:sz w:val="20"/>
                <w:szCs w:val="20"/>
                <w:lang w:val="en-US"/>
              </w:rPr>
              <w:t xml:space="preserve"> – Response curves for GAM (solid lines) and Maxent (dashed lines) models regarding the predictor </w:t>
            </w:r>
            <w:r w:rsidRPr="002F4D80">
              <w:rPr>
                <w:rStyle w:val="Hyperlink"/>
                <w:rFonts w:ascii="Garamond" w:hAnsi="Garamond"/>
                <w:i/>
                <w:noProof/>
                <w:sz w:val="20"/>
                <w:szCs w:val="20"/>
                <w:lang w:val="en-US"/>
              </w:rPr>
              <w:t>bottom current speed</w:t>
            </w:r>
            <w:r w:rsidRPr="002F4D80">
              <w:rPr>
                <w:rStyle w:val="Hyperlink"/>
                <w:rFonts w:ascii="Garamond" w:hAnsi="Garamond"/>
                <w:noProof/>
                <w:sz w:val="20"/>
                <w:szCs w:val="20"/>
                <w:lang w:val="en-US"/>
              </w:rPr>
              <w:t>. Percentage values represent the permutation variable importance (in bold values &gt; 10 %). Shared important variables are colored in red. Species are ordered according to the mean depth of their estimated suitable habitat.</w:t>
            </w:r>
            <w:r w:rsidRPr="002F4D80">
              <w:rPr>
                <w:rStyle w:val="Hyperlink"/>
                <w:rFonts w:ascii="Garamond" w:hAnsi="Garamond"/>
                <w:i/>
                <w:noProof/>
                <w:sz w:val="20"/>
                <w:szCs w:val="20"/>
                <w:lang w:val="en-US"/>
              </w:rPr>
              <w:t xml:space="preserve"> </w:t>
            </w:r>
            <w:r w:rsidRPr="002F4D80">
              <w:rPr>
                <w:rStyle w:val="Hyperlink"/>
                <w:rFonts w:ascii="Garamond" w:eastAsia="Times New Roman" w:hAnsi="Garamond" w:cs="Calibri"/>
                <w:noProof/>
                <w:sz w:val="20"/>
                <w:szCs w:val="20"/>
                <w:lang w:val="en-US" w:eastAsia="pt-PT"/>
              </w:rPr>
              <w:t>HSI: Habitat Suitability Index.</w:t>
            </w:r>
            <w:r w:rsidRPr="002F4D80">
              <w:rPr>
                <w:rFonts w:ascii="Garamond" w:hAnsi="Garamond"/>
                <w:noProof/>
                <w:webHidden/>
                <w:sz w:val="20"/>
                <w:szCs w:val="20"/>
              </w:rPr>
              <w:tab/>
            </w:r>
            <w:r w:rsidRPr="002F4D80">
              <w:rPr>
                <w:rFonts w:ascii="Garamond" w:hAnsi="Garamond"/>
                <w:noProof/>
                <w:webHidden/>
                <w:sz w:val="20"/>
                <w:szCs w:val="20"/>
              </w:rPr>
              <w:fldChar w:fldCharType="begin"/>
            </w:r>
            <w:r w:rsidRPr="002F4D80">
              <w:rPr>
                <w:rFonts w:ascii="Garamond" w:hAnsi="Garamond"/>
                <w:noProof/>
                <w:webHidden/>
                <w:sz w:val="20"/>
                <w:szCs w:val="20"/>
              </w:rPr>
              <w:instrText xml:space="preserve"> PAGEREF _Toc129787453 \h </w:instrText>
            </w:r>
            <w:r w:rsidRPr="002F4D80">
              <w:rPr>
                <w:rFonts w:ascii="Garamond" w:hAnsi="Garamond"/>
                <w:noProof/>
                <w:webHidden/>
                <w:sz w:val="20"/>
                <w:szCs w:val="20"/>
              </w:rPr>
            </w:r>
            <w:r w:rsidRPr="002F4D80">
              <w:rPr>
                <w:rFonts w:ascii="Garamond" w:hAnsi="Garamond"/>
                <w:noProof/>
                <w:webHidden/>
                <w:sz w:val="20"/>
                <w:szCs w:val="20"/>
              </w:rPr>
              <w:fldChar w:fldCharType="separate"/>
            </w:r>
            <w:r w:rsidRPr="002F4D80">
              <w:rPr>
                <w:rFonts w:ascii="Garamond" w:hAnsi="Garamond"/>
                <w:noProof/>
                <w:webHidden/>
                <w:sz w:val="20"/>
                <w:szCs w:val="20"/>
              </w:rPr>
              <w:t>24</w:t>
            </w:r>
            <w:r w:rsidRPr="002F4D80">
              <w:rPr>
                <w:rFonts w:ascii="Garamond" w:hAnsi="Garamond"/>
                <w:noProof/>
                <w:webHidden/>
                <w:sz w:val="20"/>
                <w:szCs w:val="20"/>
              </w:rPr>
              <w:fldChar w:fldCharType="end"/>
            </w:r>
          </w:hyperlink>
        </w:p>
        <w:p w14:paraId="7F76E04A" w14:textId="10BCEF4C" w:rsidR="002F4D80" w:rsidRPr="002F4D80" w:rsidRDefault="002F4D80" w:rsidP="002F4D80">
          <w:pPr>
            <w:pStyle w:val="TOC1"/>
            <w:tabs>
              <w:tab w:val="right" w:leader="dot" w:pos="9016"/>
            </w:tabs>
            <w:spacing w:line="276" w:lineRule="auto"/>
            <w:jc w:val="both"/>
            <w:rPr>
              <w:rFonts w:ascii="Garamond" w:eastAsiaTheme="minorEastAsia" w:hAnsi="Garamond"/>
              <w:noProof/>
              <w:sz w:val="20"/>
              <w:szCs w:val="20"/>
              <w:lang w:eastAsia="pt-PT"/>
            </w:rPr>
          </w:pPr>
          <w:hyperlink w:anchor="_Toc129787454" w:history="1">
            <w:r w:rsidRPr="002F4D80">
              <w:rPr>
                <w:rStyle w:val="Hyperlink"/>
                <w:rFonts w:ascii="Garamond" w:hAnsi="Garamond"/>
                <w:b/>
                <w:noProof/>
                <w:sz w:val="20"/>
                <w:szCs w:val="20"/>
              </w:rPr>
              <w:t>References</w:t>
            </w:r>
            <w:r w:rsidRPr="002F4D80">
              <w:rPr>
                <w:rFonts w:ascii="Garamond" w:hAnsi="Garamond"/>
                <w:noProof/>
                <w:webHidden/>
                <w:sz w:val="20"/>
                <w:szCs w:val="20"/>
              </w:rPr>
              <w:tab/>
            </w:r>
            <w:r w:rsidRPr="002F4D80">
              <w:rPr>
                <w:rFonts w:ascii="Garamond" w:hAnsi="Garamond"/>
                <w:noProof/>
                <w:webHidden/>
                <w:sz w:val="20"/>
                <w:szCs w:val="20"/>
              </w:rPr>
              <w:fldChar w:fldCharType="begin"/>
            </w:r>
            <w:r w:rsidRPr="002F4D80">
              <w:rPr>
                <w:rFonts w:ascii="Garamond" w:hAnsi="Garamond"/>
                <w:noProof/>
                <w:webHidden/>
                <w:sz w:val="20"/>
                <w:szCs w:val="20"/>
              </w:rPr>
              <w:instrText xml:space="preserve"> PAGEREF _Toc129787454 \h </w:instrText>
            </w:r>
            <w:r w:rsidRPr="002F4D80">
              <w:rPr>
                <w:rFonts w:ascii="Garamond" w:hAnsi="Garamond"/>
                <w:noProof/>
                <w:webHidden/>
                <w:sz w:val="20"/>
                <w:szCs w:val="20"/>
              </w:rPr>
            </w:r>
            <w:r w:rsidRPr="002F4D80">
              <w:rPr>
                <w:rFonts w:ascii="Garamond" w:hAnsi="Garamond"/>
                <w:noProof/>
                <w:webHidden/>
                <w:sz w:val="20"/>
                <w:szCs w:val="20"/>
              </w:rPr>
              <w:fldChar w:fldCharType="separate"/>
            </w:r>
            <w:r w:rsidRPr="002F4D80">
              <w:rPr>
                <w:rFonts w:ascii="Garamond" w:hAnsi="Garamond"/>
                <w:noProof/>
                <w:webHidden/>
                <w:sz w:val="20"/>
                <w:szCs w:val="20"/>
              </w:rPr>
              <w:t>25</w:t>
            </w:r>
            <w:r w:rsidRPr="002F4D80">
              <w:rPr>
                <w:rFonts w:ascii="Garamond" w:hAnsi="Garamond"/>
                <w:noProof/>
                <w:webHidden/>
                <w:sz w:val="20"/>
                <w:szCs w:val="20"/>
              </w:rPr>
              <w:fldChar w:fldCharType="end"/>
            </w:r>
          </w:hyperlink>
        </w:p>
        <w:p w14:paraId="0957489B" w14:textId="1CB6B820" w:rsidR="00802BCB" w:rsidRPr="00AA5DD7" w:rsidRDefault="00802BCB" w:rsidP="002F4D80">
          <w:pPr>
            <w:spacing w:line="276" w:lineRule="auto"/>
            <w:jc w:val="both"/>
            <w:rPr>
              <w:rFonts w:ascii="Garamond" w:hAnsi="Garamond"/>
              <w:sz w:val="20"/>
              <w:szCs w:val="20"/>
            </w:rPr>
          </w:pPr>
          <w:r w:rsidRPr="002F4D80">
            <w:rPr>
              <w:rFonts w:ascii="Garamond" w:hAnsi="Garamond"/>
              <w:b/>
              <w:bCs/>
              <w:noProof/>
              <w:sz w:val="20"/>
              <w:szCs w:val="20"/>
            </w:rPr>
            <w:fldChar w:fldCharType="end"/>
          </w:r>
        </w:p>
      </w:sdtContent>
    </w:sdt>
    <w:p w14:paraId="748928E3" w14:textId="77777777" w:rsidR="00D949C5" w:rsidRPr="00A82855" w:rsidRDefault="00D949C5" w:rsidP="00802BCB">
      <w:pPr>
        <w:sectPr w:rsidR="00D949C5" w:rsidRPr="00A82855" w:rsidSect="00C454C9">
          <w:footerReference w:type="default" r:id="rId8"/>
          <w:pgSz w:w="11906" w:h="16838"/>
          <w:pgMar w:top="1440" w:right="1440" w:bottom="1440" w:left="1440" w:header="720" w:footer="720" w:gutter="0"/>
          <w:pgNumType w:fmt="lowerRoman" w:start="1"/>
          <w:cols w:space="720"/>
          <w:titlePg/>
          <w:docGrid w:linePitch="360"/>
        </w:sectPr>
      </w:pPr>
    </w:p>
    <w:p w14:paraId="596B8031" w14:textId="149DBA82" w:rsidR="00802BCB" w:rsidRPr="00A715DB" w:rsidRDefault="00F415FF" w:rsidP="00AD1382">
      <w:pPr>
        <w:pStyle w:val="Heading1"/>
        <w:spacing w:after="240"/>
        <w:rPr>
          <w:b/>
          <w:sz w:val="28"/>
          <w:szCs w:val="28"/>
          <w:lang w:val="en-US"/>
        </w:rPr>
      </w:pPr>
      <w:bookmarkStart w:id="0" w:name="_Toc54969973"/>
      <w:bookmarkStart w:id="1" w:name="_Toc129787426"/>
      <w:bookmarkStart w:id="2" w:name="_GoBack"/>
      <w:bookmarkEnd w:id="2"/>
      <w:r w:rsidRPr="00A715DB">
        <w:rPr>
          <w:b/>
          <w:sz w:val="28"/>
          <w:szCs w:val="28"/>
          <w:lang w:val="en-US"/>
        </w:rPr>
        <w:lastRenderedPageBreak/>
        <w:t xml:space="preserve">Appendix </w:t>
      </w:r>
      <w:r w:rsidR="005F43F2">
        <w:rPr>
          <w:b/>
          <w:sz w:val="28"/>
          <w:szCs w:val="28"/>
          <w:lang w:val="en-US"/>
        </w:rPr>
        <w:t>A</w:t>
      </w:r>
      <w:r w:rsidRPr="00A715DB">
        <w:rPr>
          <w:b/>
          <w:sz w:val="28"/>
          <w:szCs w:val="28"/>
          <w:lang w:val="en-US"/>
        </w:rPr>
        <w:t>.</w:t>
      </w:r>
      <w:r w:rsidR="00802BCB" w:rsidRPr="00A715DB">
        <w:rPr>
          <w:b/>
          <w:sz w:val="28"/>
          <w:szCs w:val="28"/>
          <w:lang w:val="en-US"/>
        </w:rPr>
        <w:t xml:space="preserve"> Species selection</w:t>
      </w:r>
      <w:bookmarkEnd w:id="0"/>
      <w:r w:rsidR="00893932" w:rsidRPr="00A715DB">
        <w:rPr>
          <w:b/>
          <w:sz w:val="28"/>
          <w:szCs w:val="28"/>
          <w:lang w:val="en-US"/>
        </w:rPr>
        <w:t xml:space="preserve"> and occurrence data</w:t>
      </w:r>
      <w:bookmarkEnd w:id="1"/>
    </w:p>
    <w:p w14:paraId="0460A9FA" w14:textId="0B88B419" w:rsidR="00E71B07" w:rsidRPr="00E758EF" w:rsidRDefault="00802BCB" w:rsidP="00AD1382">
      <w:pPr>
        <w:spacing w:line="360" w:lineRule="auto"/>
        <w:jc w:val="both"/>
        <w:rPr>
          <w:rFonts w:ascii="Garamond" w:hAnsi="Garamond"/>
          <w:sz w:val="24"/>
          <w:szCs w:val="20"/>
          <w:lang w:val="en-US"/>
        </w:rPr>
      </w:pPr>
      <w:r w:rsidRPr="00E758EF">
        <w:rPr>
          <w:rFonts w:ascii="Garamond" w:hAnsi="Garamond"/>
          <w:sz w:val="24"/>
          <w:szCs w:val="20"/>
          <w:lang w:val="en-US"/>
        </w:rPr>
        <w:t>A list of CWCs particularly vulnerable to human activities and with the characteristics of foundation species</w:t>
      </w:r>
      <w:r w:rsidR="006122DE" w:rsidRPr="00E758EF">
        <w:rPr>
          <w:rFonts w:ascii="Garamond" w:hAnsi="Garamond"/>
          <w:sz w:val="24"/>
          <w:szCs w:val="20"/>
          <w:lang w:val="en-US"/>
        </w:rPr>
        <w:t xml:space="preserve"> </w:t>
      </w:r>
      <w:r w:rsidR="004F4AAD" w:rsidRPr="00E758EF">
        <w:rPr>
          <w:rFonts w:ascii="Garamond" w:hAnsi="Garamond"/>
          <w:sz w:val="24"/>
          <w:szCs w:val="20"/>
          <w:lang w:val="en-US"/>
        </w:rPr>
        <w:fldChar w:fldCharType="begin" w:fldLock="1"/>
      </w:r>
      <w:r w:rsidR="00155081" w:rsidRPr="00E758EF">
        <w:rPr>
          <w:rFonts w:ascii="Garamond" w:hAnsi="Garamond"/>
          <w:sz w:val="24"/>
          <w:szCs w:val="20"/>
          <w:lang w:val="en-US"/>
        </w:rPr>
        <w:instrText>ADDIN CSL_CITATION {"citationItems":[{"id":"ITEM-1","itemData":{"DOI":"10.3389/fmars.2019.00238","ISSN":"2296-7745","abstract":"Ecology is a young discipline that needs to develop into a predictive science to confront the challenges of human population pressure and habitat degradation. Basic ecology has disproportionately focused on undisturbed, charismatic ecosystems, species and academic questions, leaving gaps in its ability to inform the conservation and management of degraded, threatened ecosystems. Foundation species-dependent organisms have been studied at the expense of the habitat-forming species that build and maintain communities. We use cobble beaches as a model system to discuss the consequences of this disparity on translational ecology. We suggest that the historic development of ecology has led to an academic discipline ill suited for proactive conservation. We propose that the incorporation of foundation species and hierarchical organization theory into the conceptual framework of ecology will improve its predictive ability and successful application to conservation and the restoration of degraded ecosystems.","author":[{"dropping-particle":"","family":"Crotty","given":"Sinead M.","non-dropping-particle":"","parse-names":false,"suffix":""},{"dropping-particle":"","family":"Altieri","given":"Andrew H.","non-dropping-particle":"","parse-names":false,"suffix":""},{"dropping-particle":"","family":"Bruno","given":"John F.","non-dropping-particle":"","parse-names":false,"suffix":""},{"dropping-particle":"","family":"Fischman","given":"Hallie","non-dropping-particle":"","parse-names":false,"suffix":""},{"dropping-particle":"","family":"Bertness","given":"Mark D.","non-dropping-particle":"","parse-names":false,"suffix":""}],"container-title":"Frontiers in Marine Science","id":"ITEM-1","issue":"May","issued":{"date-parts":[["2019","5","31"]]},"page":"1-8","title":"The Foundation for Building the Conservation Capacity of Community Ecology","type":"article-journal","volume":"6"},"prefix":"e.g. ","uris":["http://www.mendeley.com/documents/?uuid=b89e5aac-1071-45d9-ae4a-b90b247df5b0"]}],"mendeley":{"formattedCitation":"(e.g. Crotty et al., 2019)","manualFormatting":"(sensu Crotty et al., 2019)","plainTextFormattedCitation":"(e.g. Crotty et al., 2019)","previouslyFormattedCitation":"(e.g. Crotty et al., 2019)"},"properties":{"noteIndex":0},"schema":"https://github.com/citation-style-language/schema/raw/master/csl-citation.json"}</w:instrText>
      </w:r>
      <w:r w:rsidR="004F4AAD" w:rsidRPr="00E758EF">
        <w:rPr>
          <w:rFonts w:ascii="Garamond" w:hAnsi="Garamond"/>
          <w:sz w:val="24"/>
          <w:szCs w:val="20"/>
          <w:lang w:val="en-US"/>
        </w:rPr>
        <w:fldChar w:fldCharType="separate"/>
      </w:r>
      <w:r w:rsidR="004F4AAD" w:rsidRPr="00E758EF">
        <w:rPr>
          <w:rFonts w:ascii="Garamond" w:hAnsi="Garamond"/>
          <w:noProof/>
          <w:sz w:val="24"/>
          <w:szCs w:val="20"/>
          <w:lang w:val="en-US"/>
        </w:rPr>
        <w:t>(</w:t>
      </w:r>
      <w:r w:rsidR="00155081" w:rsidRPr="00E758EF">
        <w:rPr>
          <w:rFonts w:ascii="Garamond" w:hAnsi="Garamond"/>
          <w:i/>
          <w:noProof/>
          <w:sz w:val="24"/>
          <w:szCs w:val="20"/>
          <w:lang w:val="en-US"/>
        </w:rPr>
        <w:t>sensu</w:t>
      </w:r>
      <w:r w:rsidR="004F4AAD" w:rsidRPr="00E758EF">
        <w:rPr>
          <w:rFonts w:ascii="Garamond" w:hAnsi="Garamond"/>
          <w:noProof/>
          <w:sz w:val="24"/>
          <w:szCs w:val="20"/>
          <w:lang w:val="en-US"/>
        </w:rPr>
        <w:t xml:space="preserve"> Crotty et al., 2019)</w:t>
      </w:r>
      <w:r w:rsidR="004F4AAD" w:rsidRPr="00E758EF">
        <w:rPr>
          <w:rFonts w:ascii="Garamond" w:hAnsi="Garamond"/>
          <w:sz w:val="24"/>
          <w:szCs w:val="20"/>
          <w:lang w:val="en-US"/>
        </w:rPr>
        <w:fldChar w:fldCharType="end"/>
      </w:r>
      <w:r w:rsidRPr="00E758EF">
        <w:rPr>
          <w:rFonts w:ascii="Garamond" w:hAnsi="Garamond"/>
          <w:sz w:val="24"/>
          <w:szCs w:val="20"/>
          <w:lang w:val="en-US"/>
        </w:rPr>
        <w:t xml:space="preserve"> in the Azores was defined considering three</w:t>
      </w:r>
      <w:r w:rsidR="006122DE" w:rsidRPr="00E758EF">
        <w:rPr>
          <w:rFonts w:ascii="Garamond" w:hAnsi="Garamond"/>
          <w:sz w:val="24"/>
          <w:szCs w:val="20"/>
          <w:lang w:val="en-US"/>
        </w:rPr>
        <w:t xml:space="preserve"> ecological</w:t>
      </w:r>
      <w:r w:rsidRPr="00E758EF">
        <w:rPr>
          <w:rFonts w:ascii="Garamond" w:hAnsi="Garamond"/>
          <w:sz w:val="24"/>
          <w:szCs w:val="20"/>
          <w:lang w:val="en-US"/>
        </w:rPr>
        <w:t xml:space="preserve"> traits: relative abundance, structural complexity and vulnerability to bottom longline and handline fishing, the main benthic extractive activities in the region. Traits </w:t>
      </w:r>
      <w:r w:rsidR="003E200B" w:rsidRPr="00E758EF">
        <w:rPr>
          <w:rFonts w:ascii="Garamond" w:hAnsi="Garamond"/>
          <w:sz w:val="24"/>
          <w:szCs w:val="20"/>
          <w:lang w:val="en-US"/>
        </w:rPr>
        <w:t xml:space="preserve">were </w:t>
      </w:r>
      <w:r w:rsidRPr="00E758EF">
        <w:rPr>
          <w:rFonts w:ascii="Garamond" w:hAnsi="Garamond"/>
          <w:sz w:val="24"/>
          <w:szCs w:val="20"/>
          <w:lang w:val="en-US"/>
        </w:rPr>
        <w:t xml:space="preserve">scored qualitatively </w:t>
      </w:r>
      <w:r w:rsidR="003E200B" w:rsidRPr="00E758EF">
        <w:rPr>
          <w:rFonts w:ascii="Garamond" w:hAnsi="Garamond"/>
          <w:sz w:val="24"/>
          <w:szCs w:val="20"/>
          <w:lang w:val="en-US"/>
        </w:rPr>
        <w:t xml:space="preserve">after </w:t>
      </w:r>
      <w:r w:rsidRPr="00E758EF">
        <w:rPr>
          <w:rFonts w:ascii="Garamond" w:hAnsi="Garamond"/>
          <w:sz w:val="24"/>
          <w:szCs w:val="20"/>
          <w:lang w:val="en-US"/>
        </w:rPr>
        <w:t xml:space="preserve">an expert-driven process, </w:t>
      </w:r>
      <w:r w:rsidR="003E200B" w:rsidRPr="00E758EF">
        <w:rPr>
          <w:rFonts w:ascii="Garamond" w:hAnsi="Garamond"/>
          <w:sz w:val="24"/>
          <w:szCs w:val="20"/>
          <w:lang w:val="en-US"/>
        </w:rPr>
        <w:t xml:space="preserve">and </w:t>
      </w:r>
      <w:r w:rsidRPr="00E758EF">
        <w:rPr>
          <w:rFonts w:ascii="Garamond" w:hAnsi="Garamond"/>
          <w:sz w:val="24"/>
          <w:szCs w:val="20"/>
          <w:lang w:val="en-US"/>
        </w:rPr>
        <w:t xml:space="preserve">refer only to </w:t>
      </w:r>
      <w:r w:rsidR="003E200B" w:rsidRPr="00E758EF">
        <w:rPr>
          <w:rFonts w:ascii="Garamond" w:hAnsi="Garamond"/>
          <w:sz w:val="24"/>
          <w:szCs w:val="20"/>
          <w:lang w:val="en-US"/>
        </w:rPr>
        <w:t>the morphology that colonies form in the Azores</w:t>
      </w:r>
      <w:r w:rsidRPr="00E758EF">
        <w:rPr>
          <w:rFonts w:ascii="Garamond" w:hAnsi="Garamond"/>
          <w:sz w:val="24"/>
          <w:szCs w:val="20"/>
          <w:lang w:val="en-US"/>
        </w:rPr>
        <w:t xml:space="preserve">. Underwater videos and collected specimens informed the expert driven classification of CWC with respect to the three </w:t>
      </w:r>
      <w:r w:rsidR="00666717">
        <w:rPr>
          <w:rFonts w:ascii="Garamond" w:hAnsi="Garamond"/>
          <w:sz w:val="24"/>
          <w:szCs w:val="20"/>
          <w:lang w:val="en-US"/>
        </w:rPr>
        <w:t xml:space="preserve">ecological </w:t>
      </w:r>
      <w:r w:rsidRPr="00E758EF">
        <w:rPr>
          <w:rFonts w:ascii="Garamond" w:hAnsi="Garamond"/>
          <w:sz w:val="24"/>
          <w:szCs w:val="20"/>
          <w:lang w:val="en-US"/>
        </w:rPr>
        <w:t xml:space="preserve">traits. The general criteria adopted to classify CWC are reported in Table </w:t>
      </w:r>
      <w:r w:rsidR="00B5542F">
        <w:rPr>
          <w:rFonts w:ascii="Garamond" w:hAnsi="Garamond"/>
          <w:sz w:val="24"/>
          <w:szCs w:val="20"/>
          <w:lang w:val="en-US"/>
        </w:rPr>
        <w:t>A</w:t>
      </w:r>
      <w:r w:rsidRPr="00E758EF">
        <w:rPr>
          <w:rFonts w:ascii="Garamond" w:hAnsi="Garamond"/>
          <w:sz w:val="24"/>
          <w:szCs w:val="20"/>
          <w:lang w:val="en-US"/>
        </w:rPr>
        <w:t xml:space="preserve">.1. </w:t>
      </w:r>
    </w:p>
    <w:p w14:paraId="0B6593A5" w14:textId="644353BF" w:rsidR="006122DE" w:rsidRPr="00E758EF" w:rsidRDefault="00BB4A41" w:rsidP="00AD1382">
      <w:pPr>
        <w:spacing w:line="360" w:lineRule="auto"/>
        <w:jc w:val="both"/>
        <w:rPr>
          <w:rFonts w:ascii="Garamond" w:hAnsi="Garamond"/>
          <w:sz w:val="24"/>
          <w:szCs w:val="20"/>
          <w:lang w:val="en-US"/>
        </w:rPr>
      </w:pPr>
      <w:r w:rsidRPr="00E758EF">
        <w:rPr>
          <w:rFonts w:ascii="Garamond" w:hAnsi="Garamond"/>
          <w:sz w:val="24"/>
          <w:szCs w:val="20"/>
          <w:lang w:val="en-US"/>
        </w:rPr>
        <w:t xml:space="preserve">Only species scoring high in at least one of the </w:t>
      </w:r>
      <w:r w:rsidR="00776DB2">
        <w:rPr>
          <w:rFonts w:ascii="Garamond" w:hAnsi="Garamond"/>
          <w:sz w:val="24"/>
          <w:szCs w:val="20"/>
          <w:lang w:val="en-US"/>
        </w:rPr>
        <w:t xml:space="preserve">selected </w:t>
      </w:r>
      <w:r w:rsidRPr="00E758EF">
        <w:rPr>
          <w:rFonts w:ascii="Garamond" w:hAnsi="Garamond"/>
          <w:sz w:val="24"/>
          <w:szCs w:val="20"/>
          <w:lang w:val="en-US"/>
        </w:rPr>
        <w:t>trait</w:t>
      </w:r>
      <w:r w:rsidR="00011054">
        <w:rPr>
          <w:rFonts w:ascii="Garamond" w:hAnsi="Garamond"/>
          <w:sz w:val="24"/>
          <w:szCs w:val="20"/>
          <w:lang w:val="en-US"/>
        </w:rPr>
        <w:t>s</w:t>
      </w:r>
      <w:r w:rsidRPr="00E758EF">
        <w:rPr>
          <w:rFonts w:ascii="Garamond" w:hAnsi="Garamond"/>
          <w:sz w:val="24"/>
          <w:szCs w:val="20"/>
          <w:lang w:val="en-US"/>
        </w:rPr>
        <w:t xml:space="preserve"> were considered for the modelling </w:t>
      </w:r>
      <w:r w:rsidR="00E71B07" w:rsidRPr="00E758EF">
        <w:rPr>
          <w:rFonts w:ascii="Garamond" w:hAnsi="Garamond"/>
          <w:sz w:val="24"/>
          <w:szCs w:val="20"/>
          <w:lang w:val="en-US"/>
        </w:rPr>
        <w:t>exercise</w:t>
      </w:r>
      <w:r w:rsidRPr="00E758EF">
        <w:rPr>
          <w:rFonts w:ascii="Garamond" w:hAnsi="Garamond"/>
          <w:sz w:val="24"/>
          <w:szCs w:val="20"/>
          <w:lang w:val="en-US"/>
        </w:rPr>
        <w:t xml:space="preserve"> (Table </w:t>
      </w:r>
      <w:r w:rsidR="00B5542F">
        <w:rPr>
          <w:rFonts w:ascii="Garamond" w:hAnsi="Garamond"/>
          <w:sz w:val="24"/>
          <w:szCs w:val="20"/>
          <w:lang w:val="en-US"/>
        </w:rPr>
        <w:t>A</w:t>
      </w:r>
      <w:r w:rsidRPr="00E758EF">
        <w:rPr>
          <w:rFonts w:ascii="Garamond" w:hAnsi="Garamond"/>
          <w:sz w:val="24"/>
          <w:szCs w:val="20"/>
          <w:lang w:val="en-US"/>
        </w:rPr>
        <w:t>.2)</w:t>
      </w:r>
      <w:r w:rsidR="006122DE" w:rsidRPr="00E758EF">
        <w:rPr>
          <w:rFonts w:ascii="Garamond" w:hAnsi="Garamond"/>
          <w:sz w:val="24"/>
          <w:szCs w:val="20"/>
          <w:lang w:val="en-US"/>
        </w:rPr>
        <w:t xml:space="preserve"> </w:t>
      </w:r>
      <w:r w:rsidR="00E71B07" w:rsidRPr="00E758EF">
        <w:rPr>
          <w:rFonts w:ascii="Garamond" w:hAnsi="Garamond"/>
          <w:sz w:val="24"/>
          <w:szCs w:val="20"/>
          <w:lang w:val="en-US"/>
        </w:rPr>
        <w:t>with the final list including</w:t>
      </w:r>
      <w:r w:rsidR="00802BCB" w:rsidRPr="00E758EF">
        <w:rPr>
          <w:rFonts w:ascii="Garamond" w:hAnsi="Garamond"/>
          <w:sz w:val="24"/>
          <w:szCs w:val="20"/>
          <w:lang w:val="en-US"/>
        </w:rPr>
        <w:t xml:space="preserve">: </w:t>
      </w:r>
      <w:r w:rsidR="00146BC3" w:rsidRPr="00823B11">
        <w:rPr>
          <w:rFonts w:ascii="Garamond" w:hAnsi="Garamond"/>
          <w:i/>
          <w:sz w:val="24"/>
          <w:szCs w:val="20"/>
          <w:lang w:val="en-US"/>
        </w:rPr>
        <w:t>Acanthogorgia</w:t>
      </w:r>
      <w:r w:rsidR="00146BC3" w:rsidRPr="00823B11">
        <w:rPr>
          <w:rFonts w:ascii="Garamond" w:hAnsi="Garamond"/>
          <w:sz w:val="24"/>
          <w:szCs w:val="20"/>
          <w:lang w:val="en-US"/>
        </w:rPr>
        <w:t xml:space="preserve"> spp., </w:t>
      </w:r>
      <w:r w:rsidR="00146BC3" w:rsidRPr="00823B11">
        <w:rPr>
          <w:rFonts w:ascii="Garamond" w:hAnsi="Garamond"/>
          <w:i/>
          <w:sz w:val="24"/>
          <w:szCs w:val="20"/>
          <w:lang w:val="en-US"/>
        </w:rPr>
        <w:t>Callogorgia verticillata</w:t>
      </w:r>
      <w:r w:rsidR="00146BC3" w:rsidRPr="00823B11">
        <w:rPr>
          <w:rFonts w:ascii="Garamond" w:hAnsi="Garamond"/>
          <w:sz w:val="24"/>
          <w:szCs w:val="20"/>
          <w:lang w:val="en-US"/>
        </w:rPr>
        <w:t xml:space="preserve">, Coralliidae spp., </w:t>
      </w:r>
      <w:r w:rsidR="00146BC3" w:rsidRPr="00823B11">
        <w:rPr>
          <w:rFonts w:ascii="Garamond" w:hAnsi="Garamond"/>
          <w:i/>
          <w:sz w:val="24"/>
          <w:szCs w:val="20"/>
          <w:lang w:val="en-US"/>
        </w:rPr>
        <w:t xml:space="preserve">Dentomuricea </w:t>
      </w:r>
      <w:r w:rsidR="00146BC3" w:rsidRPr="00823B11">
        <w:rPr>
          <w:rFonts w:ascii="Garamond" w:hAnsi="Garamond"/>
          <w:sz w:val="24"/>
          <w:szCs w:val="20"/>
          <w:lang w:val="en-US"/>
        </w:rPr>
        <w:t>aff</w:t>
      </w:r>
      <w:r w:rsidR="00146BC3" w:rsidRPr="00823B11">
        <w:rPr>
          <w:rFonts w:ascii="Garamond" w:hAnsi="Garamond"/>
          <w:i/>
          <w:sz w:val="24"/>
          <w:szCs w:val="20"/>
          <w:lang w:val="en-US"/>
        </w:rPr>
        <w:t>. meteor</w:t>
      </w:r>
      <w:r w:rsidR="00146BC3" w:rsidRPr="00823B11">
        <w:rPr>
          <w:rFonts w:ascii="Garamond" w:hAnsi="Garamond"/>
          <w:sz w:val="24"/>
          <w:szCs w:val="20"/>
          <w:lang w:val="en-US"/>
        </w:rPr>
        <w:t xml:space="preserve">, </w:t>
      </w:r>
      <w:r w:rsidR="00146BC3" w:rsidRPr="00823B11">
        <w:rPr>
          <w:rFonts w:ascii="Garamond" w:hAnsi="Garamond"/>
          <w:i/>
          <w:sz w:val="24"/>
          <w:szCs w:val="20"/>
          <w:lang w:val="en-US"/>
        </w:rPr>
        <w:t>Desmophyllum pertusum</w:t>
      </w:r>
      <w:r w:rsidR="00146BC3" w:rsidRPr="00823B11">
        <w:rPr>
          <w:rFonts w:ascii="Garamond" w:hAnsi="Garamond"/>
          <w:sz w:val="24"/>
          <w:szCs w:val="20"/>
          <w:lang w:val="en-US"/>
        </w:rPr>
        <w:t xml:space="preserve">, </w:t>
      </w:r>
      <w:r w:rsidR="00146BC3" w:rsidRPr="00823B11">
        <w:rPr>
          <w:rFonts w:ascii="Garamond" w:hAnsi="Garamond"/>
          <w:i/>
          <w:sz w:val="24"/>
          <w:szCs w:val="20"/>
          <w:lang w:val="en-US"/>
        </w:rPr>
        <w:t>Errina dabneyi</w:t>
      </w:r>
      <w:r w:rsidR="00146BC3" w:rsidRPr="00823B11">
        <w:rPr>
          <w:rFonts w:ascii="Garamond" w:hAnsi="Garamond"/>
          <w:sz w:val="24"/>
          <w:szCs w:val="20"/>
          <w:lang w:val="en-US"/>
        </w:rPr>
        <w:t xml:space="preserve">, </w:t>
      </w:r>
      <w:r w:rsidR="00146BC3" w:rsidRPr="00823B11">
        <w:rPr>
          <w:rFonts w:ascii="Garamond" w:hAnsi="Garamond"/>
          <w:i/>
          <w:sz w:val="24"/>
          <w:szCs w:val="20"/>
          <w:lang w:val="en-US"/>
        </w:rPr>
        <w:t>Leiopathes</w:t>
      </w:r>
      <w:r w:rsidR="00146BC3" w:rsidRPr="00823B11">
        <w:rPr>
          <w:rFonts w:ascii="Garamond" w:hAnsi="Garamond"/>
          <w:sz w:val="24"/>
          <w:szCs w:val="20"/>
          <w:lang w:val="en-US"/>
        </w:rPr>
        <w:t xml:space="preserve"> cf. </w:t>
      </w:r>
      <w:r w:rsidR="00146BC3" w:rsidRPr="00823B11">
        <w:rPr>
          <w:rFonts w:ascii="Garamond" w:hAnsi="Garamond"/>
          <w:i/>
          <w:sz w:val="24"/>
          <w:szCs w:val="20"/>
          <w:lang w:val="en-US"/>
        </w:rPr>
        <w:t>expansa</w:t>
      </w:r>
      <w:r w:rsidR="00146BC3" w:rsidRPr="00823B11">
        <w:rPr>
          <w:rFonts w:ascii="Garamond" w:hAnsi="Garamond"/>
          <w:sz w:val="24"/>
          <w:szCs w:val="20"/>
          <w:lang w:val="en-US"/>
        </w:rPr>
        <w:t xml:space="preserve">, </w:t>
      </w:r>
      <w:r w:rsidR="00146BC3" w:rsidRPr="00823B11">
        <w:rPr>
          <w:rFonts w:ascii="Garamond" w:hAnsi="Garamond"/>
          <w:i/>
          <w:sz w:val="24"/>
          <w:szCs w:val="20"/>
          <w:lang w:val="en-US"/>
        </w:rPr>
        <w:t>Madrepora oculata</w:t>
      </w:r>
      <w:r w:rsidR="00146BC3" w:rsidRPr="00823B11">
        <w:rPr>
          <w:rFonts w:ascii="Garamond" w:hAnsi="Garamond"/>
          <w:sz w:val="24"/>
          <w:szCs w:val="20"/>
          <w:lang w:val="en-US"/>
        </w:rPr>
        <w:t xml:space="preserve">, </w:t>
      </w:r>
      <w:r w:rsidR="00146BC3" w:rsidRPr="00823B11">
        <w:rPr>
          <w:rFonts w:ascii="Garamond" w:hAnsi="Garamond"/>
          <w:i/>
          <w:sz w:val="24"/>
          <w:szCs w:val="20"/>
          <w:lang w:val="en-US"/>
        </w:rPr>
        <w:t>Narella bellissima</w:t>
      </w:r>
      <w:r w:rsidR="00146BC3" w:rsidRPr="00823B11">
        <w:rPr>
          <w:rFonts w:ascii="Garamond" w:hAnsi="Garamond"/>
          <w:sz w:val="24"/>
          <w:szCs w:val="20"/>
          <w:lang w:val="en-US"/>
        </w:rPr>
        <w:t xml:space="preserve">, </w:t>
      </w:r>
      <w:r w:rsidR="00146BC3" w:rsidRPr="00823B11">
        <w:rPr>
          <w:rFonts w:ascii="Garamond" w:hAnsi="Garamond"/>
          <w:i/>
          <w:sz w:val="24"/>
          <w:szCs w:val="20"/>
          <w:lang w:val="en-US"/>
        </w:rPr>
        <w:t>Narella versluysi</w:t>
      </w:r>
      <w:r w:rsidR="00146BC3" w:rsidRPr="00823B11">
        <w:rPr>
          <w:rFonts w:ascii="Garamond" w:hAnsi="Garamond"/>
          <w:sz w:val="24"/>
          <w:szCs w:val="20"/>
          <w:lang w:val="en-US"/>
        </w:rPr>
        <w:t xml:space="preserve">, </w:t>
      </w:r>
      <w:r w:rsidR="00146BC3" w:rsidRPr="00823B11">
        <w:rPr>
          <w:rFonts w:ascii="Garamond" w:hAnsi="Garamond"/>
          <w:i/>
          <w:sz w:val="24"/>
          <w:szCs w:val="20"/>
          <w:lang w:val="en-US"/>
        </w:rPr>
        <w:t>Paracalyptrophora josephinae</w:t>
      </w:r>
      <w:r w:rsidR="00146BC3" w:rsidRPr="00823B11">
        <w:rPr>
          <w:rFonts w:ascii="Garamond" w:hAnsi="Garamond"/>
          <w:sz w:val="24"/>
          <w:szCs w:val="20"/>
          <w:lang w:val="en-US"/>
        </w:rPr>
        <w:t xml:space="preserve">, </w:t>
      </w:r>
      <w:r w:rsidR="00146BC3" w:rsidRPr="00823B11">
        <w:rPr>
          <w:rFonts w:ascii="Garamond" w:hAnsi="Garamond"/>
          <w:i/>
          <w:sz w:val="24"/>
          <w:szCs w:val="20"/>
          <w:lang w:val="en-US"/>
        </w:rPr>
        <w:t>Paragorgia johnsoni</w:t>
      </w:r>
      <w:r w:rsidR="00146BC3" w:rsidRPr="00823B11">
        <w:rPr>
          <w:rFonts w:ascii="Garamond" w:hAnsi="Garamond"/>
          <w:sz w:val="24"/>
          <w:szCs w:val="20"/>
          <w:lang w:val="en-US"/>
        </w:rPr>
        <w:t xml:space="preserve">, </w:t>
      </w:r>
      <w:r w:rsidR="00146BC3" w:rsidRPr="00823B11">
        <w:rPr>
          <w:rFonts w:ascii="Garamond" w:hAnsi="Garamond"/>
          <w:i/>
          <w:sz w:val="24"/>
          <w:szCs w:val="20"/>
          <w:lang w:val="en-US"/>
        </w:rPr>
        <w:t>Solenosmilia variabilis</w:t>
      </w:r>
      <w:r w:rsidR="00146BC3" w:rsidRPr="00823B11">
        <w:rPr>
          <w:rFonts w:ascii="Garamond" w:hAnsi="Garamond"/>
          <w:sz w:val="24"/>
          <w:szCs w:val="20"/>
          <w:lang w:val="en-US"/>
        </w:rPr>
        <w:t xml:space="preserve"> and </w:t>
      </w:r>
      <w:r w:rsidR="00146BC3" w:rsidRPr="00823B11">
        <w:rPr>
          <w:rFonts w:ascii="Garamond" w:hAnsi="Garamond"/>
          <w:i/>
          <w:sz w:val="24"/>
          <w:szCs w:val="20"/>
          <w:lang w:val="en-US"/>
        </w:rPr>
        <w:t>Viminella flagellum</w:t>
      </w:r>
      <w:r w:rsidR="00146BC3">
        <w:rPr>
          <w:rFonts w:ascii="Garamond" w:hAnsi="Garamond"/>
          <w:sz w:val="24"/>
          <w:szCs w:val="20"/>
          <w:lang w:val="en-US"/>
        </w:rPr>
        <w:t>.</w:t>
      </w:r>
      <w:r w:rsidR="00802BCB" w:rsidRPr="00E758EF">
        <w:rPr>
          <w:rFonts w:ascii="Garamond" w:hAnsi="Garamond"/>
          <w:sz w:val="24"/>
          <w:szCs w:val="20"/>
          <w:lang w:val="en-US"/>
        </w:rPr>
        <w:t xml:space="preserve"> From the initial pool of species considered, </w:t>
      </w:r>
      <w:r w:rsidR="00802BCB" w:rsidRPr="00E758EF">
        <w:rPr>
          <w:rFonts w:ascii="Garamond" w:hAnsi="Garamond"/>
          <w:i/>
          <w:sz w:val="24"/>
          <w:szCs w:val="20"/>
          <w:lang w:val="en-US"/>
        </w:rPr>
        <w:t>Candidella imbricata</w:t>
      </w:r>
      <w:r w:rsidR="00802BCB" w:rsidRPr="00E758EF">
        <w:rPr>
          <w:rFonts w:ascii="Garamond" w:hAnsi="Garamond"/>
          <w:sz w:val="24"/>
          <w:szCs w:val="20"/>
          <w:lang w:val="en-US"/>
        </w:rPr>
        <w:t xml:space="preserve">, c.f. </w:t>
      </w:r>
      <w:r w:rsidR="00802BCB" w:rsidRPr="00E758EF">
        <w:rPr>
          <w:rFonts w:ascii="Garamond" w:hAnsi="Garamond"/>
          <w:i/>
          <w:sz w:val="24"/>
          <w:szCs w:val="20"/>
          <w:lang w:val="en-US"/>
        </w:rPr>
        <w:t>Eguchipsammia</w:t>
      </w:r>
      <w:r w:rsidR="00802BCB" w:rsidRPr="00E758EF">
        <w:rPr>
          <w:rFonts w:ascii="Garamond" w:hAnsi="Garamond"/>
          <w:sz w:val="24"/>
          <w:szCs w:val="20"/>
          <w:lang w:val="en-US"/>
        </w:rPr>
        <w:t xml:space="preserve"> sp</w:t>
      </w:r>
      <w:r w:rsidR="000E5980" w:rsidRPr="00E758EF">
        <w:rPr>
          <w:rFonts w:ascii="Garamond" w:hAnsi="Garamond"/>
          <w:sz w:val="24"/>
          <w:szCs w:val="20"/>
          <w:lang w:val="en-US"/>
        </w:rPr>
        <w:t>p</w:t>
      </w:r>
      <w:r w:rsidR="00802BCB" w:rsidRPr="00E758EF">
        <w:rPr>
          <w:rFonts w:ascii="Garamond" w:hAnsi="Garamond"/>
          <w:sz w:val="24"/>
          <w:szCs w:val="20"/>
          <w:lang w:val="en-US"/>
        </w:rPr>
        <w:t xml:space="preserve">. and </w:t>
      </w:r>
      <w:r w:rsidR="00802BCB" w:rsidRPr="00E758EF">
        <w:rPr>
          <w:rFonts w:ascii="Garamond" w:hAnsi="Garamond"/>
          <w:i/>
          <w:sz w:val="24"/>
          <w:szCs w:val="20"/>
          <w:lang w:val="en-US"/>
        </w:rPr>
        <w:t>Leptosammia</w:t>
      </w:r>
      <w:r w:rsidR="00802BCB" w:rsidRPr="00E758EF">
        <w:rPr>
          <w:rFonts w:ascii="Garamond" w:hAnsi="Garamond"/>
          <w:sz w:val="24"/>
          <w:szCs w:val="20"/>
          <w:lang w:val="en-US"/>
        </w:rPr>
        <w:t xml:space="preserve"> sp</w:t>
      </w:r>
      <w:r w:rsidR="000E5980" w:rsidRPr="00E758EF">
        <w:rPr>
          <w:rFonts w:ascii="Garamond" w:hAnsi="Garamond"/>
          <w:sz w:val="24"/>
          <w:szCs w:val="20"/>
          <w:lang w:val="en-US"/>
        </w:rPr>
        <w:t>p</w:t>
      </w:r>
      <w:r w:rsidR="00802BCB" w:rsidRPr="00E758EF">
        <w:rPr>
          <w:rFonts w:ascii="Garamond" w:hAnsi="Garamond"/>
          <w:sz w:val="24"/>
          <w:szCs w:val="20"/>
          <w:lang w:val="en-US"/>
        </w:rPr>
        <w:t>. were excluded because of insufficient presence points.</w:t>
      </w:r>
      <w:r w:rsidR="006122DE" w:rsidRPr="00E758EF">
        <w:rPr>
          <w:rFonts w:ascii="Garamond" w:hAnsi="Garamond"/>
          <w:sz w:val="24"/>
          <w:szCs w:val="20"/>
          <w:lang w:val="en-US"/>
        </w:rPr>
        <w:t xml:space="preserve"> Presence records were aggregated at higher taxonomic levels when species identifications were uncertain. This was the case for the genus </w:t>
      </w:r>
      <w:r w:rsidR="006122DE" w:rsidRPr="00E758EF">
        <w:rPr>
          <w:rFonts w:ascii="Garamond" w:hAnsi="Garamond"/>
          <w:i/>
          <w:sz w:val="24"/>
          <w:szCs w:val="20"/>
          <w:lang w:val="en-US"/>
        </w:rPr>
        <w:t>Acanthogorgia</w:t>
      </w:r>
      <w:r w:rsidR="006122DE" w:rsidRPr="00E758EF">
        <w:rPr>
          <w:rFonts w:ascii="Garamond" w:hAnsi="Garamond"/>
          <w:sz w:val="24"/>
          <w:szCs w:val="20"/>
          <w:lang w:val="en-US"/>
        </w:rPr>
        <w:t xml:space="preserve"> (mostly </w:t>
      </w:r>
      <w:r w:rsidR="006122DE" w:rsidRPr="00E758EF">
        <w:rPr>
          <w:rFonts w:ascii="Garamond" w:hAnsi="Garamond"/>
          <w:i/>
          <w:sz w:val="24"/>
          <w:szCs w:val="20"/>
          <w:lang w:val="en-US"/>
        </w:rPr>
        <w:t>A. armata</w:t>
      </w:r>
      <w:r w:rsidR="006122DE" w:rsidRPr="00E758EF">
        <w:rPr>
          <w:rFonts w:ascii="Garamond" w:hAnsi="Garamond"/>
          <w:sz w:val="24"/>
          <w:szCs w:val="20"/>
          <w:lang w:val="en-US"/>
        </w:rPr>
        <w:t xml:space="preserve"> and </w:t>
      </w:r>
      <w:r w:rsidR="006122DE" w:rsidRPr="00E758EF">
        <w:rPr>
          <w:rFonts w:ascii="Garamond" w:hAnsi="Garamond"/>
          <w:i/>
          <w:sz w:val="24"/>
          <w:szCs w:val="20"/>
          <w:lang w:val="en-US"/>
        </w:rPr>
        <w:t>A. hirsuta</w:t>
      </w:r>
      <w:r w:rsidR="006122DE" w:rsidRPr="00E758EF">
        <w:rPr>
          <w:rFonts w:ascii="Garamond" w:hAnsi="Garamond"/>
          <w:sz w:val="24"/>
          <w:szCs w:val="20"/>
          <w:lang w:val="en-US"/>
        </w:rPr>
        <w:t xml:space="preserve"> in the region; </w:t>
      </w:r>
      <w:r w:rsidR="006122DE" w:rsidRPr="00E758EF">
        <w:rPr>
          <w:rFonts w:ascii="Garamond" w:hAnsi="Garamond"/>
          <w:sz w:val="24"/>
          <w:szCs w:val="20"/>
          <w:lang w:val="en-US"/>
        </w:rPr>
        <w:fldChar w:fldCharType="begin" w:fldLock="1"/>
      </w:r>
      <w:r w:rsidR="006122DE" w:rsidRPr="00E758EF">
        <w:rPr>
          <w:rFonts w:ascii="Garamond" w:hAnsi="Garamond"/>
          <w:sz w:val="24"/>
          <w:szCs w:val="20"/>
          <w:lang w:val="en-US"/>
        </w:rPr>
        <w:instrText>ADDIN CSL_CITATION {"citationItems":[{"id":"ITEM-1","itemData":{"DOI":"10.5194/bg-10-4009-2013","ISSN":"1726-4189","abstract":"Abstract. Cold-water corals are widely considered as important structural components of benthic habitats, potentially enhancing local abundance in a variety of fish and invertebrate species. Yet, current knowledge of the taxonomic diversity and distribution patterns of these vulnerable, slow-growing organisms is scarce and fragmented, limiting the effectiveness of spatial management and conservation measures. We have conducted an exhaustive compilation of records of alcyonaceans, antipatharians, scleractinians and stylasterids available through present day to assess the diversity, distribution and spatial structure of coral assemblages in the Azores exclusive economic zone (EEZ). The resulting database comprises 2501 entries concerning historical oceanographic expeditions and other published sources, as well as unpublished data from bottom longline by-catch. Our taxonomic inventory appears to be fairly complete for the explored habitats, accounting for 164 species (79 alcyonaceans, 58 scleractinians, 18 antipatharians and 9 stylasterids), nine of which were documented for the first time. The Azores EEZ harbours a mixed coral fauna with several zoogeographic origins, showing the closest affinity with the Lusitanian–Mediterranean region. Very few apparent endemics were found (14%), and only in part supported by consistent sampling. Coral diversity is particularly high between 300 and 900 m depths, in areas recognized as traditional fishing grounds or exploitable fish habitat within the 100-mile limit of the EEZ. The composition of coral assemblages shows significant geographical structure among longitudinal sections of the study area at comparable depths (100–1500 m). There is no evidence of a possible role of the Mid-Atlantic Ridge or latitudinal effects underlying this pattern, which suggests that it may instead reflect assemblage variability among features. Stronger changes in species composition were found along the bathymetric gradient. Notwithstanding the mix of partially overlapping steno- and eurybathic species that characterize the vertical distribution of corals, there is a distinct transition from shallow (100–600 m) to intermediate (600–1000 m) depths. The analysis presented here constitutes a valuable contribution for efficient conservation policies of coral-associated vulnerable marine ecosystems and their sustainable use as fishing areas.","author":[{"dropping-particle":"","family":"Braga-Henriques","given":"Andreia","non-dropping-particle":"","parse-names":false,"suffix":""},{"dropping-particle":"","family":"Porteiro","given":"Filipe Mora","non-dropping-particle":"","parse-names":false,"suffix":""},{"dropping-particle":"","family":"Ribeiro","given":"P. A.","non-dropping-particle":"","parse-names":false,"suffix":""},{"dropping-particle":"","family":"Matos","given":"V.","non-dropping-particle":"de","parse-names":false,"suffix":""},{"dropping-particle":"","family":"Sampaio","given":"Íris","non-dropping-particle":"","parse-names":false,"suffix":""},{"dropping-particle":"","family":"Ocaña","given":"O.","non-dropping-particle":"","parse-names":false,"suffix":""},{"dropping-particle":"","family":"Santos","given":"R. S.","non-dropping-particle":"","parse-names":false,"suffix":""}],"container-title":"Biogeosciences","id":"ITEM-1","issue":"6","issued":{"date-parts":[["2013","6","19"]]},"page":"4009-4036","title":"Diversity, distribution and spatial structure of the cold-water coral fauna of the Azores (NE Atlantic)","type":"article-journal","volume":"10"},"uris":["http://www.mendeley.com/documents/?uuid=ec68dd9d-015b-4381-8fd1-af4b81ff6fd5"]}],"mendeley":{"formattedCitation":"(Braga-Henriques et al., 2013)","manualFormatting":"Braga-Henriques et al., 2013)","plainTextFormattedCitation":"(Braga-Henriques et al., 2013)","previouslyFormattedCitation":"(Braga-Henriques et al., 2013)"},"properties":{"noteIndex":0},"schema":"https://github.com/citation-style-language/schema/raw/master/csl-citation.json"}</w:instrText>
      </w:r>
      <w:r w:rsidR="006122DE" w:rsidRPr="00E758EF">
        <w:rPr>
          <w:rFonts w:ascii="Garamond" w:hAnsi="Garamond"/>
          <w:sz w:val="24"/>
          <w:szCs w:val="20"/>
          <w:lang w:val="en-US"/>
        </w:rPr>
        <w:fldChar w:fldCharType="separate"/>
      </w:r>
      <w:r w:rsidR="006122DE" w:rsidRPr="00E758EF">
        <w:rPr>
          <w:rFonts w:ascii="Garamond" w:hAnsi="Garamond"/>
          <w:noProof/>
          <w:sz w:val="24"/>
          <w:szCs w:val="20"/>
          <w:lang w:val="en-US"/>
        </w:rPr>
        <w:t>Braga-Henriques et al., 2013)</w:t>
      </w:r>
      <w:r w:rsidR="006122DE" w:rsidRPr="00E758EF">
        <w:rPr>
          <w:rFonts w:ascii="Garamond" w:hAnsi="Garamond"/>
          <w:sz w:val="24"/>
          <w:szCs w:val="20"/>
          <w:lang w:val="en-US"/>
        </w:rPr>
        <w:fldChar w:fldCharType="end"/>
      </w:r>
      <w:r w:rsidR="006122DE" w:rsidRPr="00E758EF">
        <w:rPr>
          <w:rFonts w:ascii="Garamond" w:hAnsi="Garamond"/>
          <w:sz w:val="24"/>
          <w:szCs w:val="20"/>
          <w:lang w:val="en-US"/>
        </w:rPr>
        <w:t xml:space="preserve"> and the family Corallidae (</w:t>
      </w:r>
      <w:r w:rsidR="006122DE" w:rsidRPr="00E758EF">
        <w:rPr>
          <w:rFonts w:ascii="Garamond" w:hAnsi="Garamond"/>
          <w:i/>
          <w:sz w:val="24"/>
          <w:szCs w:val="20"/>
          <w:lang w:val="en-US"/>
        </w:rPr>
        <w:t>Pleurocorallium johnsoni</w:t>
      </w:r>
      <w:r w:rsidR="006122DE" w:rsidRPr="00E758EF">
        <w:rPr>
          <w:rFonts w:ascii="Garamond" w:hAnsi="Garamond"/>
          <w:sz w:val="24"/>
          <w:szCs w:val="20"/>
          <w:lang w:val="en-US"/>
        </w:rPr>
        <w:t xml:space="preserve">, </w:t>
      </w:r>
      <w:r w:rsidR="006122DE" w:rsidRPr="00E758EF">
        <w:rPr>
          <w:rFonts w:ascii="Garamond" w:hAnsi="Garamond"/>
          <w:i/>
          <w:sz w:val="24"/>
          <w:szCs w:val="20"/>
          <w:lang w:val="en-US"/>
        </w:rPr>
        <w:t>Hemicorallium niobe</w:t>
      </w:r>
      <w:r w:rsidR="006122DE" w:rsidRPr="00E758EF">
        <w:rPr>
          <w:rFonts w:ascii="Garamond" w:hAnsi="Garamond"/>
          <w:sz w:val="24"/>
          <w:szCs w:val="20"/>
          <w:lang w:val="en-US"/>
        </w:rPr>
        <w:t xml:space="preserve"> and </w:t>
      </w:r>
      <w:r w:rsidR="006122DE" w:rsidRPr="00E758EF">
        <w:rPr>
          <w:rFonts w:ascii="Garamond" w:hAnsi="Garamond"/>
          <w:i/>
          <w:sz w:val="24"/>
          <w:szCs w:val="20"/>
          <w:lang w:val="en-US"/>
        </w:rPr>
        <w:t>Hemicorallium tricolor</w:t>
      </w:r>
      <w:r w:rsidR="006122DE" w:rsidRPr="00E758EF">
        <w:rPr>
          <w:rFonts w:ascii="Garamond" w:hAnsi="Garamond"/>
          <w:sz w:val="24"/>
          <w:szCs w:val="20"/>
          <w:lang w:val="en-US"/>
        </w:rPr>
        <w:t xml:space="preserve">; </w:t>
      </w:r>
      <w:r w:rsidR="006122DE" w:rsidRPr="00E758EF">
        <w:rPr>
          <w:rFonts w:ascii="Garamond" w:hAnsi="Garamond"/>
          <w:sz w:val="24"/>
          <w:szCs w:val="20"/>
          <w:lang w:val="en-US"/>
        </w:rPr>
        <w:fldChar w:fldCharType="begin" w:fldLock="1"/>
      </w:r>
      <w:r w:rsidR="006122DE" w:rsidRPr="00E758EF">
        <w:rPr>
          <w:rFonts w:ascii="Garamond" w:hAnsi="Garamond"/>
          <w:sz w:val="24"/>
          <w:szCs w:val="20"/>
          <w:lang w:val="en-US"/>
        </w:rPr>
        <w:instrText>ADDIN CSL_CITATION {"citationItems":[{"id":"ITEM-1","itemData":{"DOI":"10.11646/zootaxa.4550.4.1","ISSN":"11755334","abstract":"Zoological nomenclature revisions are essential for biodiversity studies and indispensable to avoid naming and description of already described species and should be valued in all subsequent studies considering biology, molecular biology, ecology or habitat mapping of deep-sea species. Herein, a thorough revision of the taxonomic literature on Octocorallia since the beginning of deep-sea exploration in the Azores is provided. Since 1870, when the first octocoral, Virgularia mirabilis (Müller, 1776), was recorded in the Azores a cyclic pattern on the taxonomical study of octocorals reveals the deep-sea investigation efforts made on the region at different periods: Prince Albert I of Monaco, Biaçores and recent expeditions. The first decade of this millennium was the peak on taxonomic research of cold-water octocorals in the Azores with 11 publications targeting gorgonians and soft corals (Alcyonacea) and specific sub-orders within it. Ninety-eight names of Octocorallia were found to be given in the economic exclusive zone of the Azores. While 25 names were changed or added to the known Azorean octocoral diversity, 3 species identified in the region and unreported in the reviewed literature, increase the number to 101 species. Twenty-five names were synonymized while three species names were unmasked as errors in need of taxonomical clarification. This is the highest species richness of Octocorallia found in Europe and in any Northern Atlantic archipelago so far, representing ~60% of the most diverse center of endemism of South Africa, with a part in the Eastern Atlantic. Further research on taxonomy may reveal new species to science. ","author":[{"dropping-particle":"","family":"Sampaio","given":"Íris","non-dropping-particle":"","parse-names":false,"suffix":""},{"dropping-particle":"","family":"Freiwald","given":"André","non-dropping-particle":"","parse-names":false,"suffix":""},{"dropping-particle":"","family":"Porteiro","given":"Filipe Mora","non-dropping-particle":"","parse-names":false,"suffix":""},{"dropping-particle":"","family":"Menezes","given":"Gui","non-dropping-particle":"","parse-names":false,"suffix":""},{"dropping-particle":"","family":"Carreiro-Silva","given":"Marina","non-dropping-particle":"","parse-names":false,"suffix":""}],"container-title":"Zootaxa","id":"ITEM-1","issue":"4","issued":{"date-parts":[["2019"]]},"page":"451-498","title":"Census of octocorallia (cnidaria: Anthozoa) of the azores (NE atlantic) with a nomenclature update","type":"article-journal","volume":"4550"},"uris":["http://www.mendeley.com/documents/?uuid=d5a991eb-0625-4f7f-9814-e6450f4fdd1f"]}],"mendeley":{"formattedCitation":"(Sampaio et al., 2019)","manualFormatting":"Sampaio et al., 2019)","plainTextFormattedCitation":"(Sampaio et al., 2019)","previouslyFormattedCitation":"(Sampaio et al., 2019)"},"properties":{"noteIndex":0},"schema":"https://github.com/citation-style-language/schema/raw/master/csl-citation.json"}</w:instrText>
      </w:r>
      <w:r w:rsidR="006122DE" w:rsidRPr="00E758EF">
        <w:rPr>
          <w:rFonts w:ascii="Garamond" w:hAnsi="Garamond"/>
          <w:sz w:val="24"/>
          <w:szCs w:val="20"/>
          <w:lang w:val="en-US"/>
        </w:rPr>
        <w:fldChar w:fldCharType="separate"/>
      </w:r>
      <w:r w:rsidR="006122DE" w:rsidRPr="00E758EF">
        <w:rPr>
          <w:rFonts w:ascii="Garamond" w:hAnsi="Garamond"/>
          <w:noProof/>
          <w:sz w:val="24"/>
          <w:szCs w:val="20"/>
          <w:lang w:val="en-US"/>
        </w:rPr>
        <w:t>Sampaio et al., 2019)</w:t>
      </w:r>
      <w:r w:rsidR="006122DE" w:rsidRPr="00E758EF">
        <w:rPr>
          <w:rFonts w:ascii="Garamond" w:hAnsi="Garamond"/>
          <w:sz w:val="24"/>
          <w:szCs w:val="20"/>
          <w:lang w:val="en-US"/>
        </w:rPr>
        <w:fldChar w:fldCharType="end"/>
      </w:r>
      <w:r w:rsidR="006122DE" w:rsidRPr="00E758EF">
        <w:rPr>
          <w:rFonts w:ascii="Garamond" w:hAnsi="Garamond"/>
          <w:sz w:val="24"/>
          <w:szCs w:val="20"/>
          <w:lang w:val="en-US"/>
        </w:rPr>
        <w:t xml:space="preserve">. </w:t>
      </w:r>
      <w:r w:rsidR="005A68A5" w:rsidRPr="00E758EF">
        <w:rPr>
          <w:rFonts w:ascii="Garamond" w:hAnsi="Garamond"/>
          <w:sz w:val="24"/>
          <w:szCs w:val="20"/>
          <w:lang w:val="en-US"/>
        </w:rPr>
        <w:t>Presence records were obtained from both video surveys</w:t>
      </w:r>
      <w:r w:rsidR="00BD58EB" w:rsidRPr="00E758EF">
        <w:rPr>
          <w:rFonts w:ascii="Garamond" w:hAnsi="Garamond"/>
          <w:sz w:val="24"/>
          <w:szCs w:val="20"/>
          <w:lang w:val="en-US"/>
        </w:rPr>
        <w:t xml:space="preserve"> (</w:t>
      </w:r>
      <w:r w:rsidR="00B718FC" w:rsidRPr="00E758EF">
        <w:rPr>
          <w:rFonts w:ascii="Garamond" w:hAnsi="Garamond"/>
          <w:sz w:val="24"/>
          <w:szCs w:val="20"/>
          <w:lang w:val="en-US"/>
        </w:rPr>
        <w:t xml:space="preserve">see </w:t>
      </w:r>
      <w:r w:rsidR="00BD58EB" w:rsidRPr="00E758EF">
        <w:rPr>
          <w:rFonts w:ascii="Garamond" w:hAnsi="Garamond"/>
          <w:sz w:val="24"/>
          <w:szCs w:val="20"/>
          <w:lang w:val="en-US"/>
        </w:rPr>
        <w:t xml:space="preserve">Table </w:t>
      </w:r>
      <w:r w:rsidR="00432161">
        <w:rPr>
          <w:rFonts w:ascii="Garamond" w:hAnsi="Garamond"/>
          <w:sz w:val="24"/>
          <w:szCs w:val="20"/>
          <w:lang w:val="en-US"/>
        </w:rPr>
        <w:t>1</w:t>
      </w:r>
      <w:r w:rsidR="00BD58EB" w:rsidRPr="00E758EF">
        <w:rPr>
          <w:rFonts w:ascii="Garamond" w:hAnsi="Garamond"/>
          <w:sz w:val="24"/>
          <w:szCs w:val="20"/>
          <w:lang w:val="en-US"/>
        </w:rPr>
        <w:t>)</w:t>
      </w:r>
      <w:r w:rsidR="005A68A5" w:rsidRPr="00E758EF">
        <w:rPr>
          <w:rFonts w:ascii="Garamond" w:hAnsi="Garamond"/>
          <w:sz w:val="24"/>
          <w:szCs w:val="20"/>
          <w:lang w:val="en-US"/>
        </w:rPr>
        <w:t xml:space="preserve"> and bycatch collection programs (Figures </w:t>
      </w:r>
      <w:r w:rsidR="00252F02">
        <w:rPr>
          <w:rFonts w:ascii="Garamond" w:hAnsi="Garamond"/>
          <w:sz w:val="24"/>
          <w:szCs w:val="20"/>
          <w:lang w:val="en-US"/>
        </w:rPr>
        <w:t>A</w:t>
      </w:r>
      <w:r w:rsidR="005A68A5" w:rsidRPr="00E758EF">
        <w:rPr>
          <w:rFonts w:ascii="Garamond" w:hAnsi="Garamond"/>
          <w:sz w:val="24"/>
          <w:szCs w:val="20"/>
          <w:lang w:val="en-US"/>
        </w:rPr>
        <w:t>.</w:t>
      </w:r>
      <w:r w:rsidR="001F6C6D">
        <w:rPr>
          <w:rFonts w:ascii="Garamond" w:hAnsi="Garamond"/>
          <w:sz w:val="24"/>
          <w:szCs w:val="20"/>
          <w:lang w:val="en-US"/>
        </w:rPr>
        <w:t>1</w:t>
      </w:r>
      <w:r w:rsidR="00525B5A" w:rsidRPr="00E758EF">
        <w:rPr>
          <w:rFonts w:ascii="Garamond" w:hAnsi="Garamond"/>
          <w:sz w:val="24"/>
          <w:szCs w:val="20"/>
          <w:lang w:val="en-US"/>
        </w:rPr>
        <w:t xml:space="preserve"> and</w:t>
      </w:r>
      <w:r w:rsidR="005A68A5" w:rsidRPr="00E758EF">
        <w:rPr>
          <w:rFonts w:ascii="Garamond" w:hAnsi="Garamond"/>
          <w:sz w:val="24"/>
          <w:szCs w:val="20"/>
          <w:lang w:val="en-US"/>
        </w:rPr>
        <w:t xml:space="preserve"> </w:t>
      </w:r>
      <w:r w:rsidR="00252F02">
        <w:rPr>
          <w:rFonts w:ascii="Garamond" w:hAnsi="Garamond"/>
          <w:sz w:val="24"/>
          <w:szCs w:val="20"/>
          <w:lang w:val="en-US"/>
        </w:rPr>
        <w:t>A</w:t>
      </w:r>
      <w:r w:rsidR="005A68A5" w:rsidRPr="00E758EF">
        <w:rPr>
          <w:rFonts w:ascii="Garamond" w:hAnsi="Garamond"/>
          <w:sz w:val="24"/>
          <w:szCs w:val="20"/>
          <w:lang w:val="en-US"/>
        </w:rPr>
        <w:t>.</w:t>
      </w:r>
      <w:r w:rsidR="001F6C6D">
        <w:rPr>
          <w:rFonts w:ascii="Garamond" w:hAnsi="Garamond"/>
          <w:sz w:val="24"/>
          <w:szCs w:val="20"/>
          <w:lang w:val="en-US"/>
        </w:rPr>
        <w:t>2</w:t>
      </w:r>
      <w:r w:rsidR="005A68A5" w:rsidRPr="00E758EF">
        <w:rPr>
          <w:rFonts w:ascii="Garamond" w:hAnsi="Garamond"/>
          <w:sz w:val="24"/>
          <w:szCs w:val="20"/>
          <w:lang w:val="en-US"/>
        </w:rPr>
        <w:t>).</w:t>
      </w:r>
    </w:p>
    <w:p w14:paraId="520A93D8" w14:textId="5691C149" w:rsidR="00802BCB" w:rsidRPr="006543DB" w:rsidRDefault="00802BCB" w:rsidP="00835680">
      <w:pPr>
        <w:pStyle w:val="Heading2"/>
        <w:jc w:val="both"/>
        <w:rPr>
          <w:lang w:val="en-US"/>
        </w:rPr>
      </w:pPr>
      <w:bookmarkStart w:id="3" w:name="_Toc54969974"/>
      <w:bookmarkStart w:id="4" w:name="_Toc129787427"/>
      <w:r w:rsidRPr="006543DB">
        <w:rPr>
          <w:b/>
          <w:lang w:val="en-US"/>
        </w:rPr>
        <w:t xml:space="preserve">Table </w:t>
      </w:r>
      <w:r w:rsidR="00B5542F">
        <w:rPr>
          <w:b/>
          <w:lang w:val="en-US"/>
        </w:rPr>
        <w:t>A</w:t>
      </w:r>
      <w:r w:rsidRPr="006543DB">
        <w:rPr>
          <w:b/>
          <w:lang w:val="en-US"/>
        </w:rPr>
        <w:t>.1</w:t>
      </w:r>
      <w:r w:rsidRPr="006543DB">
        <w:rPr>
          <w:lang w:val="en-US"/>
        </w:rPr>
        <w:t xml:space="preserve"> – Qualitative criteria adopted to define </w:t>
      </w:r>
      <w:r w:rsidR="00F75563">
        <w:rPr>
          <w:lang w:val="en-US"/>
        </w:rPr>
        <w:t xml:space="preserve">the </w:t>
      </w:r>
      <w:r w:rsidRPr="006543DB">
        <w:rPr>
          <w:lang w:val="en-US"/>
        </w:rPr>
        <w:t>relative abundance, structur</w:t>
      </w:r>
      <w:r w:rsidR="00835680">
        <w:rPr>
          <w:lang w:val="en-US"/>
        </w:rPr>
        <w:t>al complexity</w:t>
      </w:r>
      <w:r w:rsidRPr="006543DB">
        <w:rPr>
          <w:lang w:val="en-US"/>
        </w:rPr>
        <w:t xml:space="preserve"> and vulnerability of CWCs in the Azores.</w:t>
      </w:r>
      <w:bookmarkEnd w:id="3"/>
      <w:bookmarkEnd w:id="4"/>
    </w:p>
    <w:tbl>
      <w:tblPr>
        <w:tblStyle w:val="TableGrid"/>
        <w:tblW w:w="0" w:type="auto"/>
        <w:tblCellMar>
          <w:top w:w="72" w:type="dxa"/>
          <w:left w:w="115" w:type="dxa"/>
          <w:bottom w:w="72" w:type="dxa"/>
          <w:right w:w="115" w:type="dxa"/>
        </w:tblCellMar>
        <w:tblLook w:val="04A0" w:firstRow="1" w:lastRow="0" w:firstColumn="1" w:lastColumn="0" w:noHBand="0" w:noVBand="1"/>
      </w:tblPr>
      <w:tblGrid>
        <w:gridCol w:w="2254"/>
        <w:gridCol w:w="2254"/>
        <w:gridCol w:w="2254"/>
        <w:gridCol w:w="2254"/>
      </w:tblGrid>
      <w:tr w:rsidR="00802BCB" w:rsidRPr="00DD3662" w14:paraId="544A137F" w14:textId="77777777" w:rsidTr="000E5192">
        <w:tc>
          <w:tcPr>
            <w:tcW w:w="2254" w:type="dxa"/>
            <w:tcBorders>
              <w:top w:val="single" w:sz="4" w:space="0" w:color="auto"/>
              <w:left w:val="nil"/>
              <w:bottom w:val="single" w:sz="4" w:space="0" w:color="auto"/>
              <w:right w:val="nil"/>
            </w:tcBorders>
          </w:tcPr>
          <w:p w14:paraId="7AD6AB25" w14:textId="77777777" w:rsidR="00802BCB" w:rsidRPr="00DD3662" w:rsidRDefault="00802BCB" w:rsidP="000E5192">
            <w:pPr>
              <w:jc w:val="both"/>
              <w:rPr>
                <w:rFonts w:ascii="Garamond" w:hAnsi="Garamond"/>
                <w:b/>
                <w:sz w:val="20"/>
                <w:szCs w:val="20"/>
                <w:lang w:val="en-US"/>
              </w:rPr>
            </w:pPr>
            <w:r w:rsidRPr="00DD3662">
              <w:rPr>
                <w:rFonts w:ascii="Garamond" w:hAnsi="Garamond"/>
                <w:b/>
                <w:sz w:val="20"/>
                <w:szCs w:val="20"/>
                <w:lang w:val="en-US"/>
              </w:rPr>
              <w:t>Trait</w:t>
            </w:r>
          </w:p>
        </w:tc>
        <w:tc>
          <w:tcPr>
            <w:tcW w:w="2254" w:type="dxa"/>
            <w:tcBorders>
              <w:top w:val="single" w:sz="4" w:space="0" w:color="auto"/>
              <w:left w:val="nil"/>
              <w:bottom w:val="single" w:sz="4" w:space="0" w:color="auto"/>
              <w:right w:val="nil"/>
            </w:tcBorders>
          </w:tcPr>
          <w:p w14:paraId="187096F1" w14:textId="77777777" w:rsidR="00802BCB" w:rsidRPr="00DD3662" w:rsidRDefault="00802BCB" w:rsidP="00C44BD7">
            <w:pPr>
              <w:jc w:val="center"/>
              <w:rPr>
                <w:rFonts w:ascii="Garamond" w:hAnsi="Garamond"/>
                <w:b/>
                <w:sz w:val="20"/>
                <w:szCs w:val="20"/>
                <w:lang w:val="en-US"/>
              </w:rPr>
            </w:pPr>
            <w:r w:rsidRPr="00DD3662">
              <w:rPr>
                <w:rFonts w:ascii="Garamond" w:hAnsi="Garamond"/>
                <w:b/>
                <w:sz w:val="20"/>
                <w:szCs w:val="20"/>
                <w:lang w:val="en-US"/>
              </w:rPr>
              <w:t>Low</w:t>
            </w:r>
          </w:p>
        </w:tc>
        <w:tc>
          <w:tcPr>
            <w:tcW w:w="2254" w:type="dxa"/>
            <w:tcBorders>
              <w:top w:val="single" w:sz="4" w:space="0" w:color="auto"/>
              <w:left w:val="nil"/>
              <w:bottom w:val="single" w:sz="4" w:space="0" w:color="auto"/>
              <w:right w:val="nil"/>
            </w:tcBorders>
          </w:tcPr>
          <w:p w14:paraId="325B4FA1" w14:textId="77777777" w:rsidR="00802BCB" w:rsidRPr="00DD3662" w:rsidRDefault="00802BCB" w:rsidP="000E5192">
            <w:pPr>
              <w:jc w:val="center"/>
              <w:rPr>
                <w:rFonts w:ascii="Garamond" w:hAnsi="Garamond"/>
                <w:b/>
                <w:sz w:val="20"/>
                <w:szCs w:val="20"/>
                <w:lang w:val="en-US"/>
              </w:rPr>
            </w:pPr>
            <w:r w:rsidRPr="00DD3662">
              <w:rPr>
                <w:rFonts w:ascii="Garamond" w:hAnsi="Garamond"/>
                <w:b/>
                <w:sz w:val="20"/>
                <w:szCs w:val="20"/>
                <w:lang w:val="en-US"/>
              </w:rPr>
              <w:t>Medium</w:t>
            </w:r>
          </w:p>
        </w:tc>
        <w:tc>
          <w:tcPr>
            <w:tcW w:w="2254" w:type="dxa"/>
            <w:tcBorders>
              <w:top w:val="single" w:sz="4" w:space="0" w:color="auto"/>
              <w:left w:val="nil"/>
              <w:bottom w:val="single" w:sz="4" w:space="0" w:color="auto"/>
              <w:right w:val="nil"/>
            </w:tcBorders>
          </w:tcPr>
          <w:p w14:paraId="740A902D" w14:textId="77777777" w:rsidR="00802BCB" w:rsidRPr="00DD3662" w:rsidRDefault="00802BCB" w:rsidP="00C44BD7">
            <w:pPr>
              <w:jc w:val="center"/>
              <w:rPr>
                <w:rFonts w:ascii="Garamond" w:hAnsi="Garamond"/>
                <w:b/>
                <w:sz w:val="20"/>
                <w:szCs w:val="20"/>
                <w:lang w:val="en-US"/>
              </w:rPr>
            </w:pPr>
            <w:r w:rsidRPr="00DD3662">
              <w:rPr>
                <w:rFonts w:ascii="Garamond" w:hAnsi="Garamond"/>
                <w:b/>
                <w:sz w:val="20"/>
                <w:szCs w:val="20"/>
                <w:lang w:val="en-US"/>
              </w:rPr>
              <w:t>High</w:t>
            </w:r>
          </w:p>
        </w:tc>
      </w:tr>
      <w:tr w:rsidR="00802BCB" w:rsidRPr="00A715DB" w14:paraId="2A6F10BC" w14:textId="77777777" w:rsidTr="000E5192">
        <w:tc>
          <w:tcPr>
            <w:tcW w:w="2254" w:type="dxa"/>
            <w:tcBorders>
              <w:top w:val="single" w:sz="4" w:space="0" w:color="auto"/>
              <w:left w:val="nil"/>
              <w:bottom w:val="nil"/>
              <w:right w:val="nil"/>
            </w:tcBorders>
          </w:tcPr>
          <w:p w14:paraId="38DAC06F" w14:textId="77777777" w:rsidR="00802BCB" w:rsidRPr="00DD3662" w:rsidRDefault="00802BCB" w:rsidP="00E75A57">
            <w:pPr>
              <w:rPr>
                <w:rFonts w:ascii="Garamond" w:hAnsi="Garamond"/>
                <w:b/>
                <w:sz w:val="20"/>
                <w:szCs w:val="20"/>
                <w:lang w:val="en-US"/>
              </w:rPr>
            </w:pPr>
            <w:r w:rsidRPr="00DD3662">
              <w:rPr>
                <w:rFonts w:ascii="Garamond" w:hAnsi="Garamond"/>
                <w:b/>
                <w:sz w:val="20"/>
                <w:szCs w:val="20"/>
                <w:lang w:val="en-US"/>
              </w:rPr>
              <w:t>Relative abundance</w:t>
            </w:r>
          </w:p>
        </w:tc>
        <w:tc>
          <w:tcPr>
            <w:tcW w:w="2254" w:type="dxa"/>
            <w:tcBorders>
              <w:top w:val="single" w:sz="4" w:space="0" w:color="auto"/>
              <w:left w:val="nil"/>
              <w:bottom w:val="nil"/>
              <w:right w:val="nil"/>
            </w:tcBorders>
          </w:tcPr>
          <w:p w14:paraId="3B153F3C" w14:textId="700EC55F" w:rsidR="00802BCB" w:rsidRPr="00DD3662" w:rsidRDefault="00835680" w:rsidP="00406C56">
            <w:pPr>
              <w:rPr>
                <w:rFonts w:ascii="Garamond" w:hAnsi="Garamond"/>
                <w:sz w:val="20"/>
                <w:szCs w:val="20"/>
                <w:lang w:val="en-US"/>
              </w:rPr>
            </w:pPr>
            <w:r>
              <w:rPr>
                <w:rFonts w:ascii="Garamond" w:hAnsi="Garamond"/>
                <w:sz w:val="20"/>
                <w:szCs w:val="20"/>
                <w:lang w:val="en-US"/>
              </w:rPr>
              <w:t>W</w:t>
            </w:r>
            <w:r w:rsidR="00802BCB" w:rsidRPr="00DD3662">
              <w:rPr>
                <w:rFonts w:ascii="Garamond" w:hAnsi="Garamond"/>
                <w:sz w:val="20"/>
                <w:szCs w:val="20"/>
                <w:lang w:val="en-US"/>
              </w:rPr>
              <w:t>hen present</w:t>
            </w:r>
            <w:r w:rsidR="00F75563">
              <w:rPr>
                <w:rFonts w:ascii="Garamond" w:hAnsi="Garamond"/>
                <w:sz w:val="20"/>
                <w:szCs w:val="20"/>
                <w:lang w:val="en-US"/>
              </w:rPr>
              <w:t>,</w:t>
            </w:r>
            <w:r w:rsidR="00802BCB" w:rsidRPr="00DD3662">
              <w:rPr>
                <w:rFonts w:ascii="Garamond" w:hAnsi="Garamond"/>
                <w:sz w:val="20"/>
                <w:szCs w:val="20"/>
                <w:lang w:val="en-US"/>
              </w:rPr>
              <w:t xml:space="preserve"> the species is generally not </w:t>
            </w:r>
            <w:r w:rsidR="00406C56">
              <w:rPr>
                <w:rFonts w:ascii="Garamond" w:hAnsi="Garamond"/>
                <w:sz w:val="20"/>
                <w:szCs w:val="20"/>
                <w:lang w:val="en-US"/>
              </w:rPr>
              <w:t>the most abundant</w:t>
            </w:r>
            <w:r w:rsidR="00802BCB" w:rsidRPr="00DD3662">
              <w:rPr>
                <w:rFonts w:ascii="Garamond" w:hAnsi="Garamond"/>
                <w:sz w:val="20"/>
                <w:szCs w:val="20"/>
                <w:lang w:val="en-US"/>
              </w:rPr>
              <w:t xml:space="preserve"> (e.g.</w:t>
            </w:r>
            <w:r w:rsidR="00306029">
              <w:rPr>
                <w:rFonts w:ascii="Garamond" w:hAnsi="Garamond"/>
                <w:sz w:val="20"/>
                <w:szCs w:val="20"/>
                <w:lang w:val="en-US"/>
              </w:rPr>
              <w:t>,</w:t>
            </w:r>
            <w:r w:rsidR="00802BCB" w:rsidRPr="00DD3662">
              <w:rPr>
                <w:rFonts w:ascii="Garamond" w:hAnsi="Garamond"/>
                <w:sz w:val="20"/>
                <w:szCs w:val="20"/>
                <w:lang w:val="en-US"/>
              </w:rPr>
              <w:t xml:space="preserve"> </w:t>
            </w:r>
            <w:r w:rsidR="00E73F50" w:rsidRPr="00CF02EB">
              <w:rPr>
                <w:rFonts w:ascii="Garamond" w:hAnsi="Garamond"/>
                <w:i/>
                <w:sz w:val="20"/>
                <w:szCs w:val="20"/>
              </w:rPr>
              <w:t>Madrepora oculata</w:t>
            </w:r>
            <w:r w:rsidR="00802BCB" w:rsidRPr="00DD3662">
              <w:rPr>
                <w:rFonts w:ascii="Garamond" w:hAnsi="Garamond"/>
                <w:sz w:val="20"/>
                <w:szCs w:val="20"/>
                <w:lang w:val="en-US"/>
              </w:rPr>
              <w:t>)</w:t>
            </w:r>
          </w:p>
        </w:tc>
        <w:tc>
          <w:tcPr>
            <w:tcW w:w="2254" w:type="dxa"/>
            <w:tcBorders>
              <w:top w:val="single" w:sz="4" w:space="0" w:color="auto"/>
              <w:left w:val="nil"/>
              <w:bottom w:val="nil"/>
              <w:right w:val="nil"/>
            </w:tcBorders>
          </w:tcPr>
          <w:p w14:paraId="3927C3A1" w14:textId="77777777" w:rsidR="00802BCB" w:rsidRPr="00DD3662" w:rsidRDefault="00BB4737" w:rsidP="00F75563">
            <w:pPr>
              <w:rPr>
                <w:rFonts w:ascii="Garamond" w:hAnsi="Garamond"/>
                <w:sz w:val="20"/>
                <w:szCs w:val="20"/>
                <w:lang w:val="en-US"/>
              </w:rPr>
            </w:pPr>
            <w:r>
              <w:rPr>
                <w:rFonts w:ascii="Garamond" w:hAnsi="Garamond"/>
                <w:sz w:val="20"/>
                <w:szCs w:val="20"/>
                <w:lang w:val="en-US"/>
              </w:rPr>
              <w:t>W</w:t>
            </w:r>
            <w:r w:rsidR="00802BCB" w:rsidRPr="00DD3662">
              <w:rPr>
                <w:rFonts w:ascii="Garamond" w:hAnsi="Garamond"/>
                <w:sz w:val="20"/>
                <w:szCs w:val="20"/>
                <w:lang w:val="en-US"/>
              </w:rPr>
              <w:t>hen present</w:t>
            </w:r>
            <w:r w:rsidR="00F75563">
              <w:rPr>
                <w:rFonts w:ascii="Garamond" w:hAnsi="Garamond"/>
                <w:sz w:val="20"/>
                <w:szCs w:val="20"/>
                <w:lang w:val="en-US"/>
              </w:rPr>
              <w:t>,</w:t>
            </w:r>
            <w:r w:rsidR="00802BCB" w:rsidRPr="00DD3662">
              <w:rPr>
                <w:rFonts w:ascii="Garamond" w:hAnsi="Garamond"/>
                <w:sz w:val="20"/>
                <w:szCs w:val="20"/>
                <w:lang w:val="en-US"/>
              </w:rPr>
              <w:t xml:space="preserve"> the species is known to occasionally be the most abundant of the coral assemblage (e.g.</w:t>
            </w:r>
            <w:r w:rsidR="00306029">
              <w:rPr>
                <w:rFonts w:ascii="Garamond" w:hAnsi="Garamond"/>
                <w:sz w:val="20"/>
                <w:szCs w:val="20"/>
                <w:lang w:val="en-US"/>
              </w:rPr>
              <w:t>,</w:t>
            </w:r>
            <w:r w:rsidR="00802BCB" w:rsidRPr="00DD3662">
              <w:rPr>
                <w:rFonts w:ascii="Garamond" w:hAnsi="Garamond"/>
                <w:sz w:val="20"/>
                <w:szCs w:val="20"/>
                <w:lang w:val="en-US"/>
              </w:rPr>
              <w:t xml:space="preserve"> </w:t>
            </w:r>
            <w:r w:rsidR="00802BCB" w:rsidRPr="00DD3662">
              <w:rPr>
                <w:rFonts w:ascii="Garamond" w:hAnsi="Garamond"/>
                <w:i/>
                <w:sz w:val="20"/>
                <w:szCs w:val="20"/>
                <w:lang w:val="en-US"/>
              </w:rPr>
              <w:t xml:space="preserve">Dentomuricea </w:t>
            </w:r>
            <w:r w:rsidR="00802BCB" w:rsidRPr="00F75563">
              <w:rPr>
                <w:rFonts w:ascii="Garamond" w:hAnsi="Garamond"/>
                <w:sz w:val="20"/>
                <w:szCs w:val="20"/>
                <w:lang w:val="en-US"/>
              </w:rPr>
              <w:t>aff</w:t>
            </w:r>
            <w:r w:rsidR="00802BCB" w:rsidRPr="00DD3662">
              <w:rPr>
                <w:rFonts w:ascii="Garamond" w:hAnsi="Garamond"/>
                <w:i/>
                <w:sz w:val="20"/>
                <w:szCs w:val="20"/>
                <w:lang w:val="en-US"/>
              </w:rPr>
              <w:t>. meteor</w:t>
            </w:r>
            <w:r w:rsidR="00802BCB" w:rsidRPr="00DD3662">
              <w:rPr>
                <w:rFonts w:ascii="Garamond" w:hAnsi="Garamond"/>
                <w:sz w:val="20"/>
                <w:szCs w:val="20"/>
                <w:lang w:val="en-US"/>
              </w:rPr>
              <w:t>)</w:t>
            </w:r>
          </w:p>
        </w:tc>
        <w:tc>
          <w:tcPr>
            <w:tcW w:w="2254" w:type="dxa"/>
            <w:tcBorders>
              <w:top w:val="single" w:sz="4" w:space="0" w:color="auto"/>
              <w:left w:val="nil"/>
              <w:bottom w:val="nil"/>
              <w:right w:val="nil"/>
            </w:tcBorders>
          </w:tcPr>
          <w:p w14:paraId="4588C15E" w14:textId="77777777" w:rsidR="00802BCB" w:rsidRPr="00DD3662" w:rsidRDefault="00BB4737" w:rsidP="00306029">
            <w:pPr>
              <w:rPr>
                <w:rFonts w:ascii="Garamond" w:hAnsi="Garamond"/>
                <w:sz w:val="20"/>
                <w:szCs w:val="20"/>
                <w:lang w:val="en-US"/>
              </w:rPr>
            </w:pPr>
            <w:r>
              <w:rPr>
                <w:rFonts w:ascii="Garamond" w:hAnsi="Garamond"/>
                <w:sz w:val="20"/>
                <w:szCs w:val="20"/>
                <w:lang w:val="en-US"/>
              </w:rPr>
              <w:t>W</w:t>
            </w:r>
            <w:r w:rsidR="00802BCB" w:rsidRPr="00DD3662">
              <w:rPr>
                <w:rFonts w:ascii="Garamond" w:hAnsi="Garamond"/>
                <w:sz w:val="20"/>
                <w:szCs w:val="20"/>
                <w:lang w:val="en-US"/>
              </w:rPr>
              <w:t>hen present</w:t>
            </w:r>
            <w:r w:rsidR="00306029">
              <w:rPr>
                <w:rFonts w:ascii="Garamond" w:hAnsi="Garamond"/>
                <w:sz w:val="20"/>
                <w:szCs w:val="20"/>
                <w:lang w:val="en-US"/>
              </w:rPr>
              <w:t>,</w:t>
            </w:r>
            <w:r w:rsidR="00802BCB" w:rsidRPr="00DD3662">
              <w:rPr>
                <w:rFonts w:ascii="Garamond" w:hAnsi="Garamond"/>
                <w:sz w:val="20"/>
                <w:szCs w:val="20"/>
                <w:lang w:val="en-US"/>
              </w:rPr>
              <w:t xml:space="preserve"> the species tends to be the most abundant of the coral assemblage (e.g.</w:t>
            </w:r>
            <w:r w:rsidR="00306029">
              <w:rPr>
                <w:rFonts w:ascii="Garamond" w:hAnsi="Garamond"/>
                <w:sz w:val="20"/>
                <w:szCs w:val="20"/>
                <w:lang w:val="en-US"/>
              </w:rPr>
              <w:t>,</w:t>
            </w:r>
            <w:r w:rsidR="00802BCB" w:rsidRPr="00DD3662">
              <w:rPr>
                <w:rFonts w:ascii="Garamond" w:hAnsi="Garamond"/>
                <w:sz w:val="20"/>
                <w:szCs w:val="20"/>
                <w:lang w:val="en-US"/>
              </w:rPr>
              <w:t xml:space="preserve"> </w:t>
            </w:r>
            <w:r w:rsidR="00802BCB" w:rsidRPr="00DD3662">
              <w:rPr>
                <w:rFonts w:ascii="Garamond" w:hAnsi="Garamond"/>
                <w:i/>
                <w:sz w:val="20"/>
                <w:szCs w:val="20"/>
                <w:lang w:val="en-US"/>
              </w:rPr>
              <w:t>Viminella flagellum</w:t>
            </w:r>
            <w:r w:rsidR="00306029">
              <w:rPr>
                <w:rFonts w:ascii="Garamond" w:hAnsi="Garamond"/>
                <w:sz w:val="20"/>
                <w:szCs w:val="20"/>
                <w:lang w:val="en-US"/>
              </w:rPr>
              <w:t>)</w:t>
            </w:r>
          </w:p>
        </w:tc>
      </w:tr>
      <w:tr w:rsidR="00802BCB" w:rsidRPr="00A715DB" w14:paraId="6C1650D8" w14:textId="77777777" w:rsidTr="000E5192">
        <w:tc>
          <w:tcPr>
            <w:tcW w:w="2254" w:type="dxa"/>
            <w:tcBorders>
              <w:top w:val="nil"/>
              <w:left w:val="nil"/>
              <w:bottom w:val="nil"/>
              <w:right w:val="nil"/>
            </w:tcBorders>
          </w:tcPr>
          <w:p w14:paraId="01E1D11F" w14:textId="77777777" w:rsidR="00802BCB" w:rsidRPr="00DD3662" w:rsidRDefault="00E75A57" w:rsidP="00E75A57">
            <w:pPr>
              <w:rPr>
                <w:rFonts w:ascii="Garamond" w:hAnsi="Garamond"/>
                <w:b/>
                <w:sz w:val="20"/>
                <w:szCs w:val="20"/>
                <w:lang w:val="en-US"/>
              </w:rPr>
            </w:pPr>
            <w:r>
              <w:rPr>
                <w:rFonts w:ascii="Garamond" w:hAnsi="Garamond"/>
                <w:b/>
                <w:sz w:val="20"/>
                <w:szCs w:val="20"/>
                <w:lang w:val="en-US"/>
              </w:rPr>
              <w:t>Relative s</w:t>
            </w:r>
            <w:r w:rsidR="00802BCB" w:rsidRPr="00DD3662">
              <w:rPr>
                <w:rFonts w:ascii="Garamond" w:hAnsi="Garamond"/>
                <w:b/>
                <w:sz w:val="20"/>
                <w:szCs w:val="20"/>
                <w:lang w:val="en-US"/>
              </w:rPr>
              <w:t>tructur</w:t>
            </w:r>
            <w:r w:rsidR="00802BCB">
              <w:rPr>
                <w:rFonts w:ascii="Garamond" w:hAnsi="Garamond"/>
                <w:b/>
                <w:sz w:val="20"/>
                <w:szCs w:val="20"/>
                <w:lang w:val="en-US"/>
              </w:rPr>
              <w:t>al complexity</w:t>
            </w:r>
          </w:p>
        </w:tc>
        <w:tc>
          <w:tcPr>
            <w:tcW w:w="2254" w:type="dxa"/>
            <w:tcBorders>
              <w:top w:val="nil"/>
              <w:left w:val="nil"/>
              <w:bottom w:val="nil"/>
              <w:right w:val="nil"/>
            </w:tcBorders>
          </w:tcPr>
          <w:p w14:paraId="4F20370D" w14:textId="77777777" w:rsidR="00802BCB" w:rsidRPr="00DD3662" w:rsidRDefault="00802BCB" w:rsidP="000E5192">
            <w:pPr>
              <w:jc w:val="both"/>
              <w:rPr>
                <w:rFonts w:ascii="Garamond" w:hAnsi="Garamond"/>
                <w:sz w:val="20"/>
                <w:szCs w:val="20"/>
                <w:lang w:val="en-US"/>
              </w:rPr>
            </w:pPr>
            <w:r w:rsidRPr="00DD3662">
              <w:rPr>
                <w:rFonts w:ascii="Garamond" w:hAnsi="Garamond"/>
                <w:sz w:val="20"/>
                <w:szCs w:val="20"/>
                <w:lang w:val="en-US"/>
              </w:rPr>
              <w:t xml:space="preserve">Whip corals (e.g., </w:t>
            </w:r>
            <w:r w:rsidRPr="00DD3662">
              <w:rPr>
                <w:rFonts w:ascii="Garamond" w:hAnsi="Garamond"/>
                <w:i/>
                <w:sz w:val="20"/>
                <w:szCs w:val="20"/>
              </w:rPr>
              <w:t>Narella versluysi</w:t>
            </w:r>
            <w:r w:rsidRPr="00DD3662">
              <w:rPr>
                <w:rFonts w:ascii="Garamond" w:hAnsi="Garamond"/>
                <w:sz w:val="20"/>
                <w:szCs w:val="20"/>
              </w:rPr>
              <w:t>)</w:t>
            </w:r>
          </w:p>
        </w:tc>
        <w:tc>
          <w:tcPr>
            <w:tcW w:w="2254" w:type="dxa"/>
            <w:tcBorders>
              <w:top w:val="nil"/>
              <w:left w:val="nil"/>
              <w:bottom w:val="nil"/>
              <w:right w:val="nil"/>
            </w:tcBorders>
          </w:tcPr>
          <w:p w14:paraId="21ECCEAF" w14:textId="77777777" w:rsidR="00802BCB" w:rsidRPr="00DD3662" w:rsidRDefault="00802BCB" w:rsidP="000E5192">
            <w:pPr>
              <w:rPr>
                <w:rFonts w:ascii="Garamond" w:hAnsi="Garamond"/>
                <w:sz w:val="20"/>
                <w:szCs w:val="20"/>
                <w:lang w:val="en-US"/>
              </w:rPr>
            </w:pPr>
            <w:r w:rsidRPr="00DD3662">
              <w:rPr>
                <w:rFonts w:ascii="Garamond" w:hAnsi="Garamond"/>
                <w:sz w:val="20"/>
                <w:szCs w:val="20"/>
                <w:lang w:val="en-US"/>
              </w:rPr>
              <w:t xml:space="preserve">Branched colonies of medium size (e.g., </w:t>
            </w:r>
            <w:r w:rsidRPr="00DD3662">
              <w:rPr>
                <w:rFonts w:ascii="Garamond" w:hAnsi="Garamond"/>
                <w:i/>
                <w:sz w:val="20"/>
                <w:szCs w:val="20"/>
              </w:rPr>
              <w:t>Narella bellissima</w:t>
            </w:r>
            <w:r w:rsidRPr="00DD3662">
              <w:rPr>
                <w:rFonts w:ascii="Garamond" w:hAnsi="Garamond"/>
                <w:sz w:val="20"/>
                <w:szCs w:val="20"/>
              </w:rPr>
              <w:t>)</w:t>
            </w:r>
          </w:p>
        </w:tc>
        <w:tc>
          <w:tcPr>
            <w:tcW w:w="2254" w:type="dxa"/>
            <w:tcBorders>
              <w:top w:val="nil"/>
              <w:left w:val="nil"/>
              <w:bottom w:val="nil"/>
              <w:right w:val="nil"/>
            </w:tcBorders>
          </w:tcPr>
          <w:p w14:paraId="14C1DBB4" w14:textId="77777777" w:rsidR="00802BCB" w:rsidRPr="00DD3662" w:rsidRDefault="00802BCB" w:rsidP="000E5192">
            <w:pPr>
              <w:rPr>
                <w:rFonts w:ascii="Garamond" w:hAnsi="Garamond"/>
                <w:sz w:val="20"/>
                <w:szCs w:val="20"/>
                <w:lang w:val="en-US"/>
              </w:rPr>
            </w:pPr>
            <w:r w:rsidRPr="00DD3662">
              <w:rPr>
                <w:rFonts w:ascii="Garamond" w:hAnsi="Garamond"/>
                <w:sz w:val="20"/>
                <w:szCs w:val="20"/>
                <w:lang w:val="en-US"/>
              </w:rPr>
              <w:t>Branched colonies of large size (e.g</w:t>
            </w:r>
            <w:r w:rsidRPr="00DD3662">
              <w:rPr>
                <w:rFonts w:ascii="Garamond" w:hAnsi="Garamond"/>
                <w:i/>
                <w:sz w:val="20"/>
                <w:szCs w:val="20"/>
                <w:lang w:val="en-US"/>
              </w:rPr>
              <w:t>.</w:t>
            </w:r>
            <w:r w:rsidR="00306029" w:rsidRPr="00306029">
              <w:rPr>
                <w:rFonts w:ascii="Garamond" w:hAnsi="Garamond"/>
                <w:sz w:val="20"/>
                <w:szCs w:val="20"/>
                <w:lang w:val="en-US"/>
              </w:rPr>
              <w:t>,</w:t>
            </w:r>
            <w:r w:rsidRPr="00DD3662">
              <w:rPr>
                <w:rFonts w:ascii="Garamond" w:hAnsi="Garamond"/>
                <w:i/>
                <w:sz w:val="20"/>
                <w:szCs w:val="20"/>
                <w:lang w:val="en-US"/>
              </w:rPr>
              <w:t xml:space="preserve"> Paragorgia johnsoni</w:t>
            </w:r>
            <w:r w:rsidRPr="00DD3662">
              <w:rPr>
                <w:rFonts w:ascii="Garamond" w:hAnsi="Garamond"/>
                <w:sz w:val="20"/>
                <w:szCs w:val="20"/>
                <w:lang w:val="en-US"/>
              </w:rPr>
              <w:t>)</w:t>
            </w:r>
          </w:p>
        </w:tc>
      </w:tr>
      <w:tr w:rsidR="00802BCB" w:rsidRPr="00A715DB" w14:paraId="073E37BE" w14:textId="77777777" w:rsidTr="000E5192">
        <w:tc>
          <w:tcPr>
            <w:tcW w:w="2254" w:type="dxa"/>
            <w:tcBorders>
              <w:top w:val="nil"/>
              <w:left w:val="nil"/>
              <w:bottom w:val="single" w:sz="4" w:space="0" w:color="auto"/>
              <w:right w:val="nil"/>
            </w:tcBorders>
          </w:tcPr>
          <w:p w14:paraId="2F28611C" w14:textId="77777777" w:rsidR="00802BCB" w:rsidRPr="00DD3662" w:rsidRDefault="00802BCB" w:rsidP="00E75A57">
            <w:pPr>
              <w:rPr>
                <w:rFonts w:ascii="Garamond" w:hAnsi="Garamond"/>
                <w:b/>
                <w:sz w:val="20"/>
                <w:szCs w:val="20"/>
                <w:lang w:val="en-US"/>
              </w:rPr>
            </w:pPr>
            <w:r w:rsidRPr="00DD3662">
              <w:rPr>
                <w:rFonts w:ascii="Garamond" w:hAnsi="Garamond"/>
                <w:b/>
                <w:sz w:val="20"/>
                <w:szCs w:val="20"/>
                <w:lang w:val="en-US"/>
              </w:rPr>
              <w:t>Relative vulnerability</w:t>
            </w:r>
          </w:p>
        </w:tc>
        <w:tc>
          <w:tcPr>
            <w:tcW w:w="2254" w:type="dxa"/>
            <w:tcBorders>
              <w:top w:val="nil"/>
              <w:left w:val="nil"/>
              <w:bottom w:val="single" w:sz="4" w:space="0" w:color="auto"/>
              <w:right w:val="nil"/>
            </w:tcBorders>
          </w:tcPr>
          <w:p w14:paraId="3B2245B7" w14:textId="77777777" w:rsidR="00802BCB" w:rsidRPr="00DD3662" w:rsidRDefault="00802BCB" w:rsidP="00F75563">
            <w:pPr>
              <w:rPr>
                <w:rFonts w:ascii="Garamond" w:hAnsi="Garamond"/>
                <w:sz w:val="20"/>
                <w:szCs w:val="20"/>
                <w:lang w:val="en-US"/>
              </w:rPr>
            </w:pPr>
            <w:r w:rsidRPr="00DD3662">
              <w:rPr>
                <w:rFonts w:ascii="Garamond" w:hAnsi="Garamond"/>
                <w:sz w:val="20"/>
                <w:szCs w:val="20"/>
                <w:lang w:val="en-US"/>
              </w:rPr>
              <w:t xml:space="preserve">Colonies persist and dominate coral assemblages in heavily fished areas and do not show serious damages owed to longlines (e.g., </w:t>
            </w:r>
            <w:r w:rsidRPr="00DD3662">
              <w:rPr>
                <w:rFonts w:ascii="Garamond" w:hAnsi="Garamond"/>
                <w:i/>
                <w:sz w:val="20"/>
                <w:szCs w:val="20"/>
                <w:lang w:val="en-US"/>
              </w:rPr>
              <w:t>Viminella flagellum</w:t>
            </w:r>
            <w:r w:rsidRPr="00DD3662">
              <w:rPr>
                <w:rFonts w:ascii="Garamond" w:hAnsi="Garamond"/>
                <w:sz w:val="20"/>
                <w:szCs w:val="20"/>
              </w:rPr>
              <w:t>)</w:t>
            </w:r>
          </w:p>
        </w:tc>
        <w:tc>
          <w:tcPr>
            <w:tcW w:w="2254" w:type="dxa"/>
            <w:tcBorders>
              <w:top w:val="nil"/>
              <w:left w:val="nil"/>
              <w:bottom w:val="single" w:sz="4" w:space="0" w:color="auto"/>
              <w:right w:val="nil"/>
            </w:tcBorders>
          </w:tcPr>
          <w:p w14:paraId="2CD94F74" w14:textId="77777777" w:rsidR="00802BCB" w:rsidRPr="00DD3662" w:rsidRDefault="00802BCB" w:rsidP="000E5192">
            <w:pPr>
              <w:jc w:val="both"/>
              <w:rPr>
                <w:rFonts w:ascii="Garamond" w:hAnsi="Garamond"/>
                <w:sz w:val="20"/>
                <w:szCs w:val="20"/>
                <w:lang w:val="en-US"/>
              </w:rPr>
            </w:pPr>
            <w:r w:rsidRPr="00DD3662">
              <w:rPr>
                <w:rFonts w:ascii="Garamond" w:hAnsi="Garamond"/>
                <w:sz w:val="20"/>
                <w:szCs w:val="20"/>
                <w:lang w:val="en-US"/>
              </w:rPr>
              <w:t>Not applicable</w:t>
            </w:r>
          </w:p>
        </w:tc>
        <w:tc>
          <w:tcPr>
            <w:tcW w:w="2254" w:type="dxa"/>
            <w:tcBorders>
              <w:top w:val="nil"/>
              <w:left w:val="nil"/>
              <w:bottom w:val="single" w:sz="4" w:space="0" w:color="auto"/>
              <w:right w:val="nil"/>
            </w:tcBorders>
          </w:tcPr>
          <w:p w14:paraId="27C9E40B" w14:textId="77777777" w:rsidR="00802BCB" w:rsidRPr="00DD3662" w:rsidRDefault="00802BCB" w:rsidP="00306029">
            <w:pPr>
              <w:rPr>
                <w:rFonts w:ascii="Garamond" w:hAnsi="Garamond"/>
                <w:sz w:val="20"/>
                <w:szCs w:val="20"/>
                <w:lang w:val="en-US"/>
              </w:rPr>
            </w:pPr>
            <w:r w:rsidRPr="00DD3662">
              <w:rPr>
                <w:rFonts w:ascii="Garamond" w:hAnsi="Garamond"/>
                <w:sz w:val="20"/>
                <w:szCs w:val="20"/>
                <w:lang w:val="en-US"/>
              </w:rPr>
              <w:t xml:space="preserve">Branched colonies with rigid supporting axes (e.g. </w:t>
            </w:r>
            <w:r w:rsidR="0082489A" w:rsidRPr="00C30614">
              <w:rPr>
                <w:rFonts w:ascii="Garamond" w:hAnsi="Garamond"/>
                <w:sz w:val="20"/>
                <w:szCs w:val="20"/>
                <w:lang w:val="en-US"/>
              </w:rPr>
              <w:t>Corallidae</w:t>
            </w:r>
            <w:r w:rsidRPr="00DD3662">
              <w:rPr>
                <w:rFonts w:ascii="Garamond" w:hAnsi="Garamond"/>
                <w:sz w:val="20"/>
                <w:szCs w:val="20"/>
                <w:lang w:val="en-US"/>
              </w:rPr>
              <w:t xml:space="preserve">); extensive damages to </w:t>
            </w:r>
            <w:r w:rsidR="00306029">
              <w:rPr>
                <w:rFonts w:ascii="Garamond" w:hAnsi="Garamond"/>
                <w:sz w:val="20"/>
                <w:szCs w:val="20"/>
                <w:lang w:val="en-US"/>
              </w:rPr>
              <w:t>colonies from longlines (e.g.,</w:t>
            </w:r>
            <w:r w:rsidRPr="00DD3662">
              <w:rPr>
                <w:rFonts w:ascii="Garamond" w:hAnsi="Garamond"/>
                <w:sz w:val="20"/>
                <w:szCs w:val="20"/>
                <w:lang w:val="en-US"/>
              </w:rPr>
              <w:t xml:space="preserve"> </w:t>
            </w:r>
            <w:r w:rsidRPr="00DD3662">
              <w:rPr>
                <w:rFonts w:ascii="Garamond" w:hAnsi="Garamond"/>
                <w:i/>
                <w:sz w:val="20"/>
                <w:szCs w:val="20"/>
              </w:rPr>
              <w:t>Paracalyptrophora josephinae</w:t>
            </w:r>
            <w:r w:rsidRPr="00DD3662">
              <w:rPr>
                <w:rFonts w:ascii="Garamond" w:hAnsi="Garamond"/>
                <w:sz w:val="20"/>
                <w:szCs w:val="20"/>
              </w:rPr>
              <w:t>); very vulnerable life histories (e.g.</w:t>
            </w:r>
            <w:r w:rsidR="00306029">
              <w:rPr>
                <w:rFonts w:ascii="Garamond" w:hAnsi="Garamond"/>
                <w:sz w:val="20"/>
                <w:szCs w:val="20"/>
              </w:rPr>
              <w:t>,</w:t>
            </w:r>
            <w:r w:rsidRPr="00DD3662">
              <w:rPr>
                <w:rFonts w:ascii="Garamond" w:hAnsi="Garamond"/>
                <w:sz w:val="20"/>
                <w:szCs w:val="20"/>
              </w:rPr>
              <w:t xml:space="preserve"> </w:t>
            </w:r>
            <w:r w:rsidRPr="00DD3662">
              <w:rPr>
                <w:rFonts w:ascii="Garamond" w:hAnsi="Garamond"/>
                <w:i/>
                <w:sz w:val="20"/>
                <w:szCs w:val="20"/>
              </w:rPr>
              <w:t xml:space="preserve">Leiopathes </w:t>
            </w:r>
            <w:r w:rsidR="009D17F2">
              <w:rPr>
                <w:rFonts w:ascii="Garamond" w:hAnsi="Garamond"/>
                <w:sz w:val="20"/>
                <w:szCs w:val="20"/>
                <w:lang w:val="en-US"/>
              </w:rPr>
              <w:t xml:space="preserve">cf. </w:t>
            </w:r>
            <w:r w:rsidR="009D17F2" w:rsidRPr="004D2FAF">
              <w:rPr>
                <w:rFonts w:ascii="Garamond" w:hAnsi="Garamond"/>
                <w:i/>
                <w:sz w:val="20"/>
                <w:szCs w:val="20"/>
                <w:lang w:val="en-US"/>
              </w:rPr>
              <w:t>expansa</w:t>
            </w:r>
            <w:r w:rsidRPr="00DD3662">
              <w:rPr>
                <w:rFonts w:ascii="Garamond" w:hAnsi="Garamond"/>
                <w:sz w:val="20"/>
                <w:szCs w:val="20"/>
              </w:rPr>
              <w:t>)</w:t>
            </w:r>
          </w:p>
        </w:tc>
      </w:tr>
    </w:tbl>
    <w:p w14:paraId="3B2E40E6" w14:textId="28A68794" w:rsidR="00F23CF5" w:rsidRPr="00F23CF5" w:rsidRDefault="002420C1" w:rsidP="00B64419">
      <w:pPr>
        <w:pStyle w:val="Heading2"/>
        <w:jc w:val="both"/>
        <w:rPr>
          <w:lang w:val="en-US"/>
        </w:rPr>
      </w:pPr>
      <w:bookmarkStart w:id="5" w:name="_Toc129787428"/>
      <w:r w:rsidRPr="009D5C05">
        <w:rPr>
          <w:b/>
          <w:lang w:val="en-US"/>
        </w:rPr>
        <w:lastRenderedPageBreak/>
        <w:t xml:space="preserve">Table </w:t>
      </w:r>
      <w:r w:rsidR="00864201">
        <w:rPr>
          <w:b/>
          <w:lang w:val="en-US"/>
        </w:rPr>
        <w:t>A</w:t>
      </w:r>
      <w:r w:rsidR="00F652EB" w:rsidRPr="009D5C05">
        <w:rPr>
          <w:b/>
          <w:lang w:val="en-US"/>
        </w:rPr>
        <w:t>.</w:t>
      </w:r>
      <w:r w:rsidRPr="000666FB">
        <w:rPr>
          <w:b/>
        </w:rPr>
        <w:fldChar w:fldCharType="begin"/>
      </w:r>
      <w:r w:rsidRPr="009D5C05">
        <w:rPr>
          <w:b/>
          <w:lang w:val="en-US"/>
        </w:rPr>
        <w:instrText xml:space="preserve"> SEQ Table \* ARABIC </w:instrText>
      </w:r>
      <w:r w:rsidRPr="000666FB">
        <w:rPr>
          <w:b/>
        </w:rPr>
        <w:fldChar w:fldCharType="separate"/>
      </w:r>
      <w:r w:rsidR="00885D7E" w:rsidRPr="009D5C05">
        <w:rPr>
          <w:b/>
          <w:noProof/>
          <w:lang w:val="en-US"/>
        </w:rPr>
        <w:t>2</w:t>
      </w:r>
      <w:r w:rsidRPr="000666FB">
        <w:rPr>
          <w:b/>
        </w:rPr>
        <w:fldChar w:fldCharType="end"/>
      </w:r>
      <w:r w:rsidRPr="000666FB">
        <w:rPr>
          <w:b/>
          <w:lang w:val="en-US"/>
        </w:rPr>
        <w:t xml:space="preserve"> </w:t>
      </w:r>
      <w:r w:rsidRPr="00001C5C">
        <w:rPr>
          <w:lang w:val="en-US"/>
        </w:rPr>
        <w:t xml:space="preserve">– Cold-water coral taxa selected for the </w:t>
      </w:r>
      <w:r w:rsidR="0032576C" w:rsidRPr="009D5C05">
        <w:rPr>
          <w:lang w:val="en-US"/>
        </w:rPr>
        <w:t xml:space="preserve">habitat suitability </w:t>
      </w:r>
      <w:r w:rsidRPr="00001C5C">
        <w:rPr>
          <w:lang w:val="en-US"/>
        </w:rPr>
        <w:t>modelling exercise.</w:t>
      </w:r>
      <w:r w:rsidR="00F23CF5">
        <w:rPr>
          <w:lang w:val="en-US"/>
        </w:rPr>
        <w:t xml:space="preserve"> </w:t>
      </w:r>
      <w:r w:rsidR="00F23CF5" w:rsidRPr="00F23CF5">
        <w:rPr>
          <w:lang w:val="en-US"/>
        </w:rPr>
        <w:t>The</w:t>
      </w:r>
      <w:r w:rsidR="00255098">
        <w:rPr>
          <w:lang w:val="en-US"/>
        </w:rPr>
        <w:t>ir</w:t>
      </w:r>
      <w:r w:rsidR="00F23CF5" w:rsidRPr="00F23CF5">
        <w:rPr>
          <w:lang w:val="en-US"/>
        </w:rPr>
        <w:t xml:space="preserve"> relative abundance</w:t>
      </w:r>
      <w:r w:rsidR="00255098">
        <w:rPr>
          <w:lang w:val="en-US"/>
        </w:rPr>
        <w:t>, structural complexity (i.e. 3D-structure) and vulnerability</w:t>
      </w:r>
      <w:r w:rsidR="00F23CF5" w:rsidRPr="00F23CF5">
        <w:rPr>
          <w:lang w:val="en-US"/>
        </w:rPr>
        <w:t xml:space="preserve"> were assessed and classified in 3 categories through an expert-driven process. Those results were used to select the taxa that show characteristics of foundation species and hence included in the modelling exercise.</w:t>
      </w:r>
      <w:bookmarkEnd w:id="5"/>
    </w:p>
    <w:tbl>
      <w:tblPr>
        <w:tblStyle w:val="TableGrid"/>
        <w:tblW w:w="4587"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1271"/>
        <w:gridCol w:w="2191"/>
        <w:gridCol w:w="1485"/>
        <w:gridCol w:w="1803"/>
        <w:gridCol w:w="1530"/>
      </w:tblGrid>
      <w:tr w:rsidR="00A619CA" w:rsidRPr="00CF02EB" w14:paraId="09B655CA" w14:textId="77777777" w:rsidTr="00A50500">
        <w:trPr>
          <w:trHeight w:val="288"/>
          <w:jc w:val="center"/>
        </w:trPr>
        <w:tc>
          <w:tcPr>
            <w:tcW w:w="1271" w:type="dxa"/>
            <w:tcBorders>
              <w:top w:val="single" w:sz="4" w:space="0" w:color="auto"/>
              <w:bottom w:val="single" w:sz="4" w:space="0" w:color="auto"/>
            </w:tcBorders>
            <w:shd w:val="clear" w:color="auto" w:fill="auto"/>
            <w:tcMar>
              <w:top w:w="58" w:type="dxa"/>
              <w:bottom w:w="58" w:type="dxa"/>
            </w:tcMar>
            <w:vAlign w:val="center"/>
          </w:tcPr>
          <w:p w14:paraId="787C92E4" w14:textId="77777777" w:rsidR="00A619CA" w:rsidRPr="00CF02EB" w:rsidRDefault="00A619CA" w:rsidP="002420C1">
            <w:pPr>
              <w:tabs>
                <w:tab w:val="center" w:pos="4513"/>
              </w:tabs>
              <w:rPr>
                <w:rFonts w:ascii="Garamond" w:hAnsi="Garamond"/>
                <w:b/>
                <w:sz w:val="20"/>
                <w:szCs w:val="20"/>
              </w:rPr>
            </w:pPr>
            <w:r w:rsidRPr="00CF02EB">
              <w:rPr>
                <w:rFonts w:ascii="Garamond" w:hAnsi="Garamond"/>
                <w:b/>
                <w:sz w:val="20"/>
                <w:szCs w:val="20"/>
              </w:rPr>
              <w:t>Group</w:t>
            </w:r>
          </w:p>
        </w:tc>
        <w:tc>
          <w:tcPr>
            <w:tcW w:w="2191" w:type="dxa"/>
            <w:tcBorders>
              <w:top w:val="single" w:sz="4" w:space="0" w:color="auto"/>
              <w:bottom w:val="single" w:sz="4" w:space="0" w:color="auto"/>
            </w:tcBorders>
            <w:shd w:val="clear" w:color="auto" w:fill="auto"/>
            <w:tcMar>
              <w:top w:w="58" w:type="dxa"/>
              <w:bottom w:w="58" w:type="dxa"/>
            </w:tcMar>
            <w:vAlign w:val="center"/>
          </w:tcPr>
          <w:p w14:paraId="5E1C1EC6" w14:textId="77777777" w:rsidR="00A619CA" w:rsidRPr="00CF02EB" w:rsidRDefault="00A619CA" w:rsidP="002420C1">
            <w:pPr>
              <w:tabs>
                <w:tab w:val="center" w:pos="4513"/>
              </w:tabs>
              <w:rPr>
                <w:rFonts w:ascii="Garamond" w:hAnsi="Garamond"/>
                <w:b/>
                <w:sz w:val="20"/>
                <w:szCs w:val="20"/>
              </w:rPr>
            </w:pPr>
            <w:r w:rsidRPr="00CF02EB">
              <w:rPr>
                <w:rFonts w:ascii="Garamond" w:hAnsi="Garamond"/>
                <w:b/>
                <w:sz w:val="20"/>
                <w:szCs w:val="20"/>
              </w:rPr>
              <w:t>Taxon</w:t>
            </w:r>
          </w:p>
        </w:tc>
        <w:tc>
          <w:tcPr>
            <w:tcW w:w="1485" w:type="dxa"/>
            <w:tcBorders>
              <w:top w:val="single" w:sz="4" w:space="0" w:color="auto"/>
              <w:bottom w:val="single" w:sz="4" w:space="0" w:color="auto"/>
            </w:tcBorders>
            <w:shd w:val="clear" w:color="auto" w:fill="auto"/>
            <w:tcMar>
              <w:top w:w="58" w:type="dxa"/>
              <w:bottom w:w="58" w:type="dxa"/>
            </w:tcMar>
            <w:vAlign w:val="center"/>
          </w:tcPr>
          <w:p w14:paraId="77D58C22" w14:textId="77777777" w:rsidR="00A619CA" w:rsidRPr="00CF02EB" w:rsidRDefault="00A619CA" w:rsidP="002420C1">
            <w:pPr>
              <w:tabs>
                <w:tab w:val="center" w:pos="4513"/>
              </w:tabs>
              <w:rPr>
                <w:rFonts w:ascii="Garamond" w:hAnsi="Garamond"/>
                <w:b/>
                <w:sz w:val="20"/>
                <w:szCs w:val="20"/>
              </w:rPr>
            </w:pPr>
            <w:r>
              <w:rPr>
                <w:rFonts w:ascii="Garamond" w:hAnsi="Garamond"/>
                <w:b/>
                <w:sz w:val="20"/>
                <w:szCs w:val="20"/>
              </w:rPr>
              <w:t>Relative Abundance</w:t>
            </w:r>
          </w:p>
        </w:tc>
        <w:tc>
          <w:tcPr>
            <w:tcW w:w="1803" w:type="dxa"/>
            <w:tcBorders>
              <w:top w:val="single" w:sz="4" w:space="0" w:color="auto"/>
              <w:bottom w:val="single" w:sz="4" w:space="0" w:color="auto"/>
            </w:tcBorders>
            <w:shd w:val="clear" w:color="auto" w:fill="auto"/>
            <w:tcMar>
              <w:top w:w="58" w:type="dxa"/>
              <w:bottom w:w="58" w:type="dxa"/>
            </w:tcMar>
            <w:vAlign w:val="center"/>
          </w:tcPr>
          <w:p w14:paraId="566DFE5E" w14:textId="77777777" w:rsidR="00A619CA" w:rsidRPr="00CF02EB" w:rsidRDefault="00A50500" w:rsidP="002420C1">
            <w:pPr>
              <w:tabs>
                <w:tab w:val="center" w:pos="4513"/>
              </w:tabs>
              <w:rPr>
                <w:rFonts w:ascii="Garamond" w:hAnsi="Garamond"/>
                <w:b/>
                <w:sz w:val="20"/>
                <w:szCs w:val="20"/>
              </w:rPr>
            </w:pPr>
            <w:r>
              <w:rPr>
                <w:rFonts w:ascii="Garamond" w:hAnsi="Garamond"/>
                <w:b/>
                <w:sz w:val="20"/>
                <w:szCs w:val="20"/>
              </w:rPr>
              <w:t>Relative structural complexity</w:t>
            </w:r>
          </w:p>
        </w:tc>
        <w:tc>
          <w:tcPr>
            <w:tcW w:w="1530" w:type="dxa"/>
            <w:tcBorders>
              <w:top w:val="single" w:sz="4" w:space="0" w:color="auto"/>
              <w:bottom w:val="single" w:sz="4" w:space="0" w:color="auto"/>
            </w:tcBorders>
            <w:shd w:val="clear" w:color="auto" w:fill="auto"/>
            <w:tcMar>
              <w:top w:w="58" w:type="dxa"/>
              <w:bottom w:w="58" w:type="dxa"/>
            </w:tcMar>
            <w:vAlign w:val="center"/>
          </w:tcPr>
          <w:p w14:paraId="54C44C77" w14:textId="77777777" w:rsidR="00A619CA" w:rsidRPr="00CF02EB" w:rsidRDefault="00A619CA" w:rsidP="002420C1">
            <w:pPr>
              <w:tabs>
                <w:tab w:val="center" w:pos="4513"/>
              </w:tabs>
              <w:rPr>
                <w:rFonts w:ascii="Garamond" w:hAnsi="Garamond"/>
                <w:b/>
                <w:sz w:val="20"/>
                <w:szCs w:val="20"/>
              </w:rPr>
            </w:pPr>
            <w:r>
              <w:rPr>
                <w:rFonts w:ascii="Garamond" w:hAnsi="Garamond"/>
                <w:b/>
                <w:sz w:val="20"/>
                <w:szCs w:val="20"/>
              </w:rPr>
              <w:t>R</w:t>
            </w:r>
            <w:r w:rsidRPr="00A976F5">
              <w:rPr>
                <w:rFonts w:ascii="Garamond" w:hAnsi="Garamond"/>
                <w:b/>
                <w:sz w:val="20"/>
                <w:szCs w:val="20"/>
              </w:rPr>
              <w:t xml:space="preserve">elative </w:t>
            </w:r>
            <w:r>
              <w:rPr>
                <w:rFonts w:ascii="Garamond" w:hAnsi="Garamond"/>
                <w:b/>
                <w:sz w:val="20"/>
                <w:szCs w:val="20"/>
              </w:rPr>
              <w:t>Vulnerability</w:t>
            </w:r>
          </w:p>
        </w:tc>
      </w:tr>
      <w:tr w:rsidR="00A619CA" w:rsidRPr="00CF02EB" w14:paraId="56497846" w14:textId="77777777" w:rsidTr="00A50500">
        <w:trPr>
          <w:trHeight w:val="360"/>
          <w:jc w:val="center"/>
        </w:trPr>
        <w:tc>
          <w:tcPr>
            <w:tcW w:w="1271" w:type="dxa"/>
            <w:tcBorders>
              <w:top w:val="single" w:sz="4" w:space="0" w:color="auto"/>
            </w:tcBorders>
            <w:vAlign w:val="center"/>
          </w:tcPr>
          <w:p w14:paraId="3305D0B8" w14:textId="77777777" w:rsidR="00A619CA" w:rsidRPr="00CF02EB" w:rsidRDefault="00A619CA" w:rsidP="002420C1">
            <w:pPr>
              <w:tabs>
                <w:tab w:val="center" w:pos="4513"/>
              </w:tabs>
              <w:rPr>
                <w:rFonts w:ascii="Garamond" w:hAnsi="Garamond"/>
                <w:i/>
                <w:sz w:val="20"/>
                <w:szCs w:val="20"/>
              </w:rPr>
            </w:pPr>
            <w:r w:rsidRPr="00CF02EB">
              <w:rPr>
                <w:rFonts w:ascii="Garamond" w:hAnsi="Garamond"/>
                <w:sz w:val="20"/>
                <w:szCs w:val="20"/>
              </w:rPr>
              <w:t>Antipatharia</w:t>
            </w:r>
          </w:p>
        </w:tc>
        <w:tc>
          <w:tcPr>
            <w:tcW w:w="2191" w:type="dxa"/>
            <w:tcBorders>
              <w:top w:val="single" w:sz="4" w:space="0" w:color="auto"/>
            </w:tcBorders>
            <w:vAlign w:val="center"/>
          </w:tcPr>
          <w:p w14:paraId="0124EE60" w14:textId="77777777" w:rsidR="00A619CA" w:rsidRPr="006C0C69" w:rsidRDefault="00A619CA" w:rsidP="002420C1">
            <w:pPr>
              <w:tabs>
                <w:tab w:val="center" w:pos="4513"/>
              </w:tabs>
              <w:rPr>
                <w:rFonts w:ascii="Garamond" w:hAnsi="Garamond"/>
                <w:sz w:val="20"/>
                <w:szCs w:val="20"/>
              </w:rPr>
            </w:pPr>
            <w:r w:rsidRPr="00CF02EB">
              <w:rPr>
                <w:rFonts w:ascii="Garamond" w:hAnsi="Garamond"/>
                <w:i/>
                <w:sz w:val="20"/>
                <w:szCs w:val="20"/>
              </w:rPr>
              <w:t>Leiopathes</w:t>
            </w:r>
            <w:r>
              <w:rPr>
                <w:rFonts w:ascii="Garamond" w:hAnsi="Garamond"/>
                <w:i/>
                <w:sz w:val="20"/>
                <w:szCs w:val="20"/>
              </w:rPr>
              <w:t xml:space="preserve"> </w:t>
            </w:r>
            <w:r>
              <w:rPr>
                <w:rFonts w:ascii="Garamond" w:hAnsi="Garamond"/>
                <w:sz w:val="20"/>
                <w:szCs w:val="20"/>
              </w:rPr>
              <w:t xml:space="preserve">cf. </w:t>
            </w:r>
            <w:r>
              <w:rPr>
                <w:rFonts w:ascii="Garamond" w:hAnsi="Garamond"/>
                <w:i/>
                <w:sz w:val="20"/>
                <w:szCs w:val="20"/>
              </w:rPr>
              <w:t>expansa</w:t>
            </w:r>
          </w:p>
        </w:tc>
        <w:tc>
          <w:tcPr>
            <w:tcW w:w="1485" w:type="dxa"/>
            <w:tcBorders>
              <w:top w:val="single" w:sz="4" w:space="0" w:color="auto"/>
            </w:tcBorders>
            <w:vAlign w:val="center"/>
          </w:tcPr>
          <w:p w14:paraId="00D98FF4" w14:textId="77777777" w:rsidR="00A619CA" w:rsidRPr="00CF02EB" w:rsidRDefault="00A619CA" w:rsidP="002420C1">
            <w:pPr>
              <w:tabs>
                <w:tab w:val="center" w:pos="4513"/>
              </w:tabs>
              <w:rPr>
                <w:rFonts w:ascii="Garamond" w:hAnsi="Garamond"/>
                <w:sz w:val="20"/>
                <w:szCs w:val="20"/>
              </w:rPr>
            </w:pPr>
            <w:r>
              <w:rPr>
                <w:rFonts w:ascii="Garamond" w:hAnsi="Garamond"/>
                <w:sz w:val="20"/>
                <w:szCs w:val="20"/>
              </w:rPr>
              <w:t>Medium</w:t>
            </w:r>
          </w:p>
        </w:tc>
        <w:tc>
          <w:tcPr>
            <w:tcW w:w="1803" w:type="dxa"/>
            <w:tcBorders>
              <w:top w:val="single" w:sz="4" w:space="0" w:color="auto"/>
            </w:tcBorders>
            <w:vAlign w:val="center"/>
          </w:tcPr>
          <w:p w14:paraId="35742429" w14:textId="77777777" w:rsidR="00A619CA" w:rsidRPr="00CF02EB" w:rsidRDefault="00C44BD7" w:rsidP="002420C1">
            <w:pPr>
              <w:tabs>
                <w:tab w:val="center" w:pos="4513"/>
              </w:tabs>
              <w:rPr>
                <w:rFonts w:ascii="Garamond" w:hAnsi="Garamond"/>
                <w:sz w:val="20"/>
                <w:szCs w:val="20"/>
              </w:rPr>
            </w:pPr>
            <w:r w:rsidRPr="00CF02EB">
              <w:rPr>
                <w:rFonts w:ascii="Garamond" w:hAnsi="Garamond"/>
                <w:sz w:val="20"/>
                <w:szCs w:val="20"/>
              </w:rPr>
              <w:t>High</w:t>
            </w:r>
          </w:p>
        </w:tc>
        <w:tc>
          <w:tcPr>
            <w:tcW w:w="1530" w:type="dxa"/>
            <w:tcBorders>
              <w:top w:val="single" w:sz="4" w:space="0" w:color="auto"/>
            </w:tcBorders>
            <w:vAlign w:val="center"/>
          </w:tcPr>
          <w:p w14:paraId="439C17CA" w14:textId="77777777" w:rsidR="00A619CA" w:rsidRPr="00CF02EB" w:rsidRDefault="00A619CA" w:rsidP="002420C1">
            <w:pPr>
              <w:tabs>
                <w:tab w:val="center" w:pos="4513"/>
              </w:tabs>
              <w:rPr>
                <w:rFonts w:ascii="Garamond" w:hAnsi="Garamond"/>
                <w:b/>
                <w:sz w:val="20"/>
                <w:szCs w:val="20"/>
              </w:rPr>
            </w:pPr>
            <w:r w:rsidRPr="00CF02EB">
              <w:rPr>
                <w:rFonts w:ascii="Garamond" w:hAnsi="Garamond"/>
                <w:sz w:val="20"/>
                <w:szCs w:val="20"/>
              </w:rPr>
              <w:t>High</w:t>
            </w:r>
          </w:p>
        </w:tc>
      </w:tr>
      <w:tr w:rsidR="00A619CA" w:rsidRPr="00CF02EB" w14:paraId="145CA5F7" w14:textId="77777777" w:rsidTr="00A50500">
        <w:trPr>
          <w:trHeight w:val="360"/>
          <w:jc w:val="center"/>
        </w:trPr>
        <w:tc>
          <w:tcPr>
            <w:tcW w:w="1271" w:type="dxa"/>
            <w:vAlign w:val="center"/>
          </w:tcPr>
          <w:p w14:paraId="5B97F1BD" w14:textId="77777777" w:rsidR="00A619CA" w:rsidRPr="00CF02EB" w:rsidRDefault="00A619CA" w:rsidP="002420C1">
            <w:pPr>
              <w:tabs>
                <w:tab w:val="center" w:pos="4513"/>
              </w:tabs>
              <w:rPr>
                <w:rFonts w:ascii="Garamond" w:hAnsi="Garamond"/>
                <w:i/>
                <w:sz w:val="20"/>
                <w:szCs w:val="20"/>
              </w:rPr>
            </w:pPr>
            <w:r w:rsidRPr="00CF02EB">
              <w:rPr>
                <w:rFonts w:ascii="Garamond" w:hAnsi="Garamond"/>
                <w:sz w:val="20"/>
                <w:szCs w:val="20"/>
              </w:rPr>
              <w:t>Calcaxonia</w:t>
            </w:r>
          </w:p>
        </w:tc>
        <w:tc>
          <w:tcPr>
            <w:tcW w:w="2191" w:type="dxa"/>
            <w:vAlign w:val="center"/>
          </w:tcPr>
          <w:p w14:paraId="6F21D778" w14:textId="77777777" w:rsidR="00A619CA" w:rsidRPr="00CF02EB" w:rsidRDefault="00A619CA" w:rsidP="002420C1">
            <w:pPr>
              <w:tabs>
                <w:tab w:val="center" w:pos="4513"/>
              </w:tabs>
              <w:rPr>
                <w:rFonts w:ascii="Garamond" w:hAnsi="Garamond"/>
                <w:i/>
                <w:sz w:val="20"/>
                <w:szCs w:val="20"/>
              </w:rPr>
            </w:pPr>
            <w:r w:rsidRPr="00CF02EB">
              <w:rPr>
                <w:rFonts w:ascii="Garamond" w:hAnsi="Garamond"/>
                <w:i/>
                <w:sz w:val="20"/>
                <w:szCs w:val="20"/>
              </w:rPr>
              <w:t>Callogorgia verticillata</w:t>
            </w:r>
          </w:p>
        </w:tc>
        <w:tc>
          <w:tcPr>
            <w:tcW w:w="1485" w:type="dxa"/>
            <w:vAlign w:val="center"/>
          </w:tcPr>
          <w:p w14:paraId="00540172" w14:textId="77777777" w:rsidR="00A619CA" w:rsidRPr="00CF02EB" w:rsidRDefault="00A619CA" w:rsidP="002420C1">
            <w:pPr>
              <w:tabs>
                <w:tab w:val="center" w:pos="4513"/>
              </w:tabs>
              <w:rPr>
                <w:rFonts w:ascii="Garamond" w:hAnsi="Garamond"/>
                <w:sz w:val="20"/>
                <w:szCs w:val="20"/>
              </w:rPr>
            </w:pPr>
            <w:r w:rsidRPr="00CF02EB">
              <w:rPr>
                <w:rFonts w:ascii="Garamond" w:hAnsi="Garamond"/>
                <w:sz w:val="20"/>
                <w:szCs w:val="20"/>
              </w:rPr>
              <w:t>Medium</w:t>
            </w:r>
          </w:p>
        </w:tc>
        <w:tc>
          <w:tcPr>
            <w:tcW w:w="1803" w:type="dxa"/>
            <w:vAlign w:val="center"/>
          </w:tcPr>
          <w:p w14:paraId="31C826CA" w14:textId="77777777" w:rsidR="00A619CA" w:rsidRPr="00CF02EB" w:rsidRDefault="00C44BD7" w:rsidP="002420C1">
            <w:pPr>
              <w:tabs>
                <w:tab w:val="center" w:pos="4513"/>
              </w:tabs>
              <w:rPr>
                <w:rFonts w:ascii="Garamond" w:hAnsi="Garamond"/>
                <w:sz w:val="20"/>
                <w:szCs w:val="20"/>
              </w:rPr>
            </w:pPr>
            <w:r w:rsidRPr="00CF02EB">
              <w:rPr>
                <w:rFonts w:ascii="Garamond" w:hAnsi="Garamond"/>
                <w:sz w:val="20"/>
                <w:szCs w:val="20"/>
              </w:rPr>
              <w:t>High</w:t>
            </w:r>
          </w:p>
        </w:tc>
        <w:tc>
          <w:tcPr>
            <w:tcW w:w="1530" w:type="dxa"/>
            <w:vAlign w:val="center"/>
          </w:tcPr>
          <w:p w14:paraId="6684EBF3" w14:textId="77777777" w:rsidR="00A619CA" w:rsidRPr="00CF02EB" w:rsidRDefault="00A619CA" w:rsidP="002420C1">
            <w:pPr>
              <w:tabs>
                <w:tab w:val="center" w:pos="4513"/>
              </w:tabs>
              <w:rPr>
                <w:rFonts w:ascii="Garamond" w:hAnsi="Garamond"/>
                <w:sz w:val="20"/>
                <w:szCs w:val="20"/>
              </w:rPr>
            </w:pPr>
            <w:r>
              <w:rPr>
                <w:rFonts w:ascii="Garamond" w:hAnsi="Garamond"/>
                <w:sz w:val="20"/>
                <w:szCs w:val="20"/>
              </w:rPr>
              <w:t>High</w:t>
            </w:r>
          </w:p>
        </w:tc>
      </w:tr>
      <w:tr w:rsidR="00A619CA" w:rsidRPr="00CF02EB" w14:paraId="5914BBEA" w14:textId="77777777" w:rsidTr="00A50500">
        <w:trPr>
          <w:trHeight w:val="360"/>
          <w:jc w:val="center"/>
        </w:trPr>
        <w:tc>
          <w:tcPr>
            <w:tcW w:w="1271" w:type="dxa"/>
            <w:vAlign w:val="center"/>
          </w:tcPr>
          <w:p w14:paraId="4157C2A8" w14:textId="77777777" w:rsidR="00A619CA" w:rsidRPr="00CF02EB" w:rsidRDefault="00A619CA" w:rsidP="002420C1">
            <w:pPr>
              <w:tabs>
                <w:tab w:val="center" w:pos="4513"/>
              </w:tabs>
              <w:rPr>
                <w:rFonts w:ascii="Garamond" w:hAnsi="Garamond"/>
                <w:i/>
                <w:sz w:val="20"/>
                <w:szCs w:val="20"/>
              </w:rPr>
            </w:pPr>
            <w:r w:rsidRPr="00CF02EB">
              <w:rPr>
                <w:rFonts w:ascii="Garamond" w:hAnsi="Garamond"/>
                <w:sz w:val="20"/>
                <w:szCs w:val="20"/>
              </w:rPr>
              <w:t>Calcaxonia</w:t>
            </w:r>
          </w:p>
        </w:tc>
        <w:tc>
          <w:tcPr>
            <w:tcW w:w="2191" w:type="dxa"/>
            <w:vAlign w:val="center"/>
          </w:tcPr>
          <w:p w14:paraId="5ED37D46" w14:textId="77777777" w:rsidR="00A619CA" w:rsidRPr="00CF02EB" w:rsidRDefault="00A619CA" w:rsidP="002420C1">
            <w:pPr>
              <w:tabs>
                <w:tab w:val="center" w:pos="4513"/>
              </w:tabs>
              <w:rPr>
                <w:rFonts w:ascii="Garamond" w:hAnsi="Garamond"/>
                <w:i/>
                <w:sz w:val="20"/>
                <w:szCs w:val="20"/>
              </w:rPr>
            </w:pPr>
            <w:r w:rsidRPr="00CF02EB">
              <w:rPr>
                <w:rFonts w:ascii="Garamond" w:hAnsi="Garamond"/>
                <w:i/>
                <w:sz w:val="20"/>
                <w:szCs w:val="20"/>
              </w:rPr>
              <w:t>Narella bellissima</w:t>
            </w:r>
          </w:p>
        </w:tc>
        <w:tc>
          <w:tcPr>
            <w:tcW w:w="1485" w:type="dxa"/>
            <w:vAlign w:val="center"/>
          </w:tcPr>
          <w:p w14:paraId="7279C2E3" w14:textId="77777777" w:rsidR="00A619CA" w:rsidRPr="00CF02EB" w:rsidRDefault="00A619CA" w:rsidP="002420C1">
            <w:pPr>
              <w:tabs>
                <w:tab w:val="center" w:pos="4513"/>
              </w:tabs>
              <w:rPr>
                <w:rFonts w:ascii="Garamond" w:hAnsi="Garamond"/>
                <w:sz w:val="20"/>
                <w:szCs w:val="20"/>
              </w:rPr>
            </w:pPr>
            <w:r w:rsidRPr="00CF02EB">
              <w:rPr>
                <w:rFonts w:ascii="Garamond" w:hAnsi="Garamond"/>
                <w:sz w:val="20"/>
                <w:szCs w:val="20"/>
              </w:rPr>
              <w:t>High</w:t>
            </w:r>
          </w:p>
        </w:tc>
        <w:tc>
          <w:tcPr>
            <w:tcW w:w="1803" w:type="dxa"/>
            <w:vAlign w:val="center"/>
          </w:tcPr>
          <w:p w14:paraId="44368436" w14:textId="77777777" w:rsidR="00A619CA" w:rsidRPr="00CF02EB" w:rsidRDefault="00A619CA" w:rsidP="002420C1">
            <w:pPr>
              <w:tabs>
                <w:tab w:val="center" w:pos="4513"/>
              </w:tabs>
              <w:rPr>
                <w:rFonts w:ascii="Garamond" w:hAnsi="Garamond"/>
                <w:sz w:val="20"/>
                <w:szCs w:val="20"/>
              </w:rPr>
            </w:pPr>
            <w:r w:rsidRPr="00CF02EB">
              <w:rPr>
                <w:rFonts w:ascii="Garamond" w:hAnsi="Garamond"/>
                <w:sz w:val="20"/>
                <w:szCs w:val="20"/>
              </w:rPr>
              <w:t>Medium</w:t>
            </w:r>
          </w:p>
        </w:tc>
        <w:tc>
          <w:tcPr>
            <w:tcW w:w="1530" w:type="dxa"/>
            <w:vAlign w:val="center"/>
          </w:tcPr>
          <w:p w14:paraId="7A7AEE4B" w14:textId="77777777" w:rsidR="00A619CA" w:rsidRPr="00CF02EB" w:rsidRDefault="00A619CA" w:rsidP="002420C1">
            <w:pPr>
              <w:tabs>
                <w:tab w:val="center" w:pos="4513"/>
              </w:tabs>
              <w:rPr>
                <w:rFonts w:ascii="Garamond" w:hAnsi="Garamond"/>
                <w:sz w:val="20"/>
                <w:szCs w:val="20"/>
              </w:rPr>
            </w:pPr>
            <w:r>
              <w:rPr>
                <w:rFonts w:ascii="Garamond" w:hAnsi="Garamond"/>
                <w:sz w:val="20"/>
                <w:szCs w:val="20"/>
              </w:rPr>
              <w:t>Low</w:t>
            </w:r>
          </w:p>
        </w:tc>
      </w:tr>
      <w:tr w:rsidR="00A619CA" w:rsidRPr="00CF02EB" w14:paraId="638DDE4E" w14:textId="77777777" w:rsidTr="00A50500">
        <w:trPr>
          <w:trHeight w:val="360"/>
          <w:jc w:val="center"/>
        </w:trPr>
        <w:tc>
          <w:tcPr>
            <w:tcW w:w="1271" w:type="dxa"/>
            <w:vAlign w:val="center"/>
          </w:tcPr>
          <w:p w14:paraId="0B79E5D7" w14:textId="77777777" w:rsidR="00A619CA" w:rsidRPr="00CF02EB" w:rsidRDefault="00A619CA" w:rsidP="002420C1">
            <w:pPr>
              <w:tabs>
                <w:tab w:val="center" w:pos="4513"/>
              </w:tabs>
              <w:rPr>
                <w:rFonts w:ascii="Garamond" w:hAnsi="Garamond"/>
                <w:i/>
                <w:sz w:val="20"/>
                <w:szCs w:val="20"/>
              </w:rPr>
            </w:pPr>
            <w:r w:rsidRPr="00CF02EB">
              <w:rPr>
                <w:rFonts w:ascii="Garamond" w:hAnsi="Garamond"/>
                <w:sz w:val="20"/>
                <w:szCs w:val="20"/>
              </w:rPr>
              <w:t>Calcaxonia</w:t>
            </w:r>
          </w:p>
        </w:tc>
        <w:tc>
          <w:tcPr>
            <w:tcW w:w="2191" w:type="dxa"/>
            <w:vAlign w:val="center"/>
          </w:tcPr>
          <w:p w14:paraId="5E7316CF" w14:textId="77777777" w:rsidR="00A619CA" w:rsidRPr="00CF02EB" w:rsidRDefault="00A619CA" w:rsidP="002420C1">
            <w:pPr>
              <w:tabs>
                <w:tab w:val="center" w:pos="4513"/>
              </w:tabs>
              <w:rPr>
                <w:rFonts w:ascii="Garamond" w:hAnsi="Garamond"/>
                <w:i/>
                <w:sz w:val="20"/>
                <w:szCs w:val="20"/>
              </w:rPr>
            </w:pPr>
            <w:r w:rsidRPr="00CF02EB">
              <w:rPr>
                <w:rFonts w:ascii="Garamond" w:hAnsi="Garamond"/>
                <w:i/>
                <w:sz w:val="20"/>
                <w:szCs w:val="20"/>
              </w:rPr>
              <w:t>Narella versluysi</w:t>
            </w:r>
          </w:p>
        </w:tc>
        <w:tc>
          <w:tcPr>
            <w:tcW w:w="1485" w:type="dxa"/>
            <w:vAlign w:val="center"/>
          </w:tcPr>
          <w:p w14:paraId="003EFBC3" w14:textId="77777777" w:rsidR="00A619CA" w:rsidRPr="00CF02EB" w:rsidRDefault="00A619CA" w:rsidP="002420C1">
            <w:pPr>
              <w:tabs>
                <w:tab w:val="center" w:pos="4513"/>
              </w:tabs>
              <w:rPr>
                <w:rFonts w:ascii="Garamond" w:hAnsi="Garamond"/>
                <w:sz w:val="20"/>
                <w:szCs w:val="20"/>
              </w:rPr>
            </w:pPr>
            <w:r w:rsidRPr="00CF02EB">
              <w:rPr>
                <w:rFonts w:ascii="Garamond" w:hAnsi="Garamond"/>
                <w:sz w:val="20"/>
                <w:szCs w:val="20"/>
              </w:rPr>
              <w:t>High</w:t>
            </w:r>
          </w:p>
        </w:tc>
        <w:tc>
          <w:tcPr>
            <w:tcW w:w="1803" w:type="dxa"/>
            <w:vAlign w:val="center"/>
          </w:tcPr>
          <w:p w14:paraId="0B4D2549" w14:textId="77777777" w:rsidR="00A619CA" w:rsidRPr="00CF02EB" w:rsidRDefault="006A54BD" w:rsidP="002420C1">
            <w:pPr>
              <w:tabs>
                <w:tab w:val="center" w:pos="4513"/>
              </w:tabs>
              <w:rPr>
                <w:rFonts w:ascii="Garamond" w:hAnsi="Garamond"/>
                <w:sz w:val="20"/>
                <w:szCs w:val="20"/>
              </w:rPr>
            </w:pPr>
            <w:r>
              <w:rPr>
                <w:rFonts w:ascii="Garamond" w:hAnsi="Garamond"/>
                <w:sz w:val="20"/>
                <w:szCs w:val="20"/>
              </w:rPr>
              <w:t>Low</w:t>
            </w:r>
          </w:p>
        </w:tc>
        <w:tc>
          <w:tcPr>
            <w:tcW w:w="1530" w:type="dxa"/>
            <w:vAlign w:val="center"/>
          </w:tcPr>
          <w:p w14:paraId="299C12E7" w14:textId="77777777" w:rsidR="00A619CA" w:rsidRPr="00CF02EB" w:rsidRDefault="00A619CA" w:rsidP="002420C1">
            <w:pPr>
              <w:tabs>
                <w:tab w:val="center" w:pos="4513"/>
              </w:tabs>
              <w:rPr>
                <w:rFonts w:ascii="Garamond" w:hAnsi="Garamond"/>
                <w:sz w:val="20"/>
                <w:szCs w:val="20"/>
              </w:rPr>
            </w:pPr>
            <w:r>
              <w:rPr>
                <w:rFonts w:ascii="Garamond" w:hAnsi="Garamond"/>
                <w:sz w:val="20"/>
                <w:szCs w:val="20"/>
              </w:rPr>
              <w:t>Low</w:t>
            </w:r>
          </w:p>
        </w:tc>
      </w:tr>
      <w:tr w:rsidR="00A619CA" w:rsidRPr="00CF02EB" w14:paraId="34EB8FCB" w14:textId="77777777" w:rsidTr="00A50500">
        <w:trPr>
          <w:trHeight w:val="360"/>
          <w:jc w:val="center"/>
        </w:trPr>
        <w:tc>
          <w:tcPr>
            <w:tcW w:w="1271" w:type="dxa"/>
            <w:vAlign w:val="center"/>
          </w:tcPr>
          <w:p w14:paraId="54964258" w14:textId="77777777" w:rsidR="00A619CA" w:rsidRPr="00CF02EB" w:rsidRDefault="00A619CA" w:rsidP="002420C1">
            <w:pPr>
              <w:tabs>
                <w:tab w:val="center" w:pos="4513"/>
              </w:tabs>
              <w:rPr>
                <w:rFonts w:ascii="Garamond" w:hAnsi="Garamond"/>
                <w:i/>
                <w:sz w:val="20"/>
                <w:szCs w:val="20"/>
              </w:rPr>
            </w:pPr>
            <w:r w:rsidRPr="00CF02EB">
              <w:rPr>
                <w:rFonts w:ascii="Garamond" w:hAnsi="Garamond"/>
                <w:sz w:val="20"/>
                <w:szCs w:val="20"/>
              </w:rPr>
              <w:t>Calcaxonia</w:t>
            </w:r>
          </w:p>
        </w:tc>
        <w:tc>
          <w:tcPr>
            <w:tcW w:w="2191" w:type="dxa"/>
            <w:vAlign w:val="center"/>
          </w:tcPr>
          <w:p w14:paraId="237C109F" w14:textId="77777777" w:rsidR="00A619CA" w:rsidRPr="00CF02EB" w:rsidRDefault="00A619CA" w:rsidP="002420C1">
            <w:pPr>
              <w:tabs>
                <w:tab w:val="center" w:pos="4513"/>
              </w:tabs>
              <w:rPr>
                <w:rFonts w:ascii="Garamond" w:hAnsi="Garamond"/>
                <w:i/>
                <w:sz w:val="20"/>
                <w:szCs w:val="20"/>
              </w:rPr>
            </w:pPr>
            <w:r w:rsidRPr="00CF02EB">
              <w:rPr>
                <w:rFonts w:ascii="Garamond" w:hAnsi="Garamond"/>
                <w:i/>
                <w:sz w:val="20"/>
                <w:szCs w:val="20"/>
              </w:rPr>
              <w:t>Paracalyptrophora josephinae</w:t>
            </w:r>
          </w:p>
        </w:tc>
        <w:tc>
          <w:tcPr>
            <w:tcW w:w="1485" w:type="dxa"/>
            <w:vAlign w:val="center"/>
          </w:tcPr>
          <w:p w14:paraId="699677C1" w14:textId="77777777" w:rsidR="00A619CA" w:rsidRPr="00CF02EB" w:rsidRDefault="00A619CA" w:rsidP="002420C1">
            <w:pPr>
              <w:tabs>
                <w:tab w:val="center" w:pos="4513"/>
              </w:tabs>
              <w:rPr>
                <w:rFonts w:ascii="Garamond" w:hAnsi="Garamond"/>
                <w:sz w:val="20"/>
                <w:szCs w:val="20"/>
              </w:rPr>
            </w:pPr>
            <w:r w:rsidRPr="00CF02EB">
              <w:rPr>
                <w:rFonts w:ascii="Garamond" w:hAnsi="Garamond"/>
                <w:sz w:val="20"/>
                <w:szCs w:val="20"/>
              </w:rPr>
              <w:t>Medium</w:t>
            </w:r>
          </w:p>
        </w:tc>
        <w:tc>
          <w:tcPr>
            <w:tcW w:w="1803" w:type="dxa"/>
            <w:vAlign w:val="center"/>
          </w:tcPr>
          <w:p w14:paraId="4C7D18B4" w14:textId="77777777" w:rsidR="00A619CA" w:rsidRPr="00CF02EB" w:rsidRDefault="00C44BD7" w:rsidP="002420C1">
            <w:pPr>
              <w:tabs>
                <w:tab w:val="center" w:pos="4513"/>
              </w:tabs>
              <w:rPr>
                <w:rFonts w:ascii="Garamond" w:hAnsi="Garamond"/>
                <w:sz w:val="20"/>
                <w:szCs w:val="20"/>
              </w:rPr>
            </w:pPr>
            <w:r w:rsidRPr="00CF02EB">
              <w:rPr>
                <w:rFonts w:ascii="Garamond" w:hAnsi="Garamond"/>
                <w:sz w:val="20"/>
                <w:szCs w:val="20"/>
              </w:rPr>
              <w:t>High</w:t>
            </w:r>
          </w:p>
        </w:tc>
        <w:tc>
          <w:tcPr>
            <w:tcW w:w="1530" w:type="dxa"/>
            <w:vAlign w:val="center"/>
          </w:tcPr>
          <w:p w14:paraId="76299950" w14:textId="77777777" w:rsidR="00A619CA" w:rsidRPr="00CF02EB" w:rsidRDefault="00A619CA" w:rsidP="002420C1">
            <w:pPr>
              <w:tabs>
                <w:tab w:val="center" w:pos="4513"/>
              </w:tabs>
              <w:rPr>
                <w:rFonts w:ascii="Garamond" w:hAnsi="Garamond"/>
                <w:sz w:val="20"/>
                <w:szCs w:val="20"/>
              </w:rPr>
            </w:pPr>
            <w:r>
              <w:rPr>
                <w:rFonts w:ascii="Garamond" w:hAnsi="Garamond"/>
                <w:sz w:val="20"/>
                <w:szCs w:val="20"/>
              </w:rPr>
              <w:t>High</w:t>
            </w:r>
          </w:p>
        </w:tc>
      </w:tr>
      <w:tr w:rsidR="00A619CA" w:rsidRPr="00CF02EB" w14:paraId="1E1F519B" w14:textId="77777777" w:rsidTr="00A50500">
        <w:trPr>
          <w:trHeight w:val="360"/>
          <w:jc w:val="center"/>
        </w:trPr>
        <w:tc>
          <w:tcPr>
            <w:tcW w:w="1271" w:type="dxa"/>
            <w:vAlign w:val="center"/>
          </w:tcPr>
          <w:p w14:paraId="4BF830CB" w14:textId="77777777" w:rsidR="00A619CA" w:rsidRPr="00CF02EB" w:rsidRDefault="00A619CA" w:rsidP="002420C1">
            <w:pPr>
              <w:tabs>
                <w:tab w:val="center" w:pos="4513"/>
              </w:tabs>
              <w:rPr>
                <w:rFonts w:ascii="Garamond" w:hAnsi="Garamond"/>
                <w:i/>
                <w:sz w:val="20"/>
                <w:szCs w:val="20"/>
              </w:rPr>
            </w:pPr>
            <w:r w:rsidRPr="00CF02EB">
              <w:rPr>
                <w:rFonts w:ascii="Garamond" w:hAnsi="Garamond"/>
                <w:sz w:val="20"/>
                <w:szCs w:val="20"/>
              </w:rPr>
              <w:t>Calcaxonia</w:t>
            </w:r>
          </w:p>
        </w:tc>
        <w:tc>
          <w:tcPr>
            <w:tcW w:w="2191" w:type="dxa"/>
            <w:vAlign w:val="center"/>
          </w:tcPr>
          <w:p w14:paraId="0B74B19E" w14:textId="77777777" w:rsidR="00A619CA" w:rsidRPr="00CF02EB" w:rsidRDefault="00A619CA" w:rsidP="002420C1">
            <w:pPr>
              <w:tabs>
                <w:tab w:val="center" w:pos="4513"/>
              </w:tabs>
              <w:rPr>
                <w:rFonts w:ascii="Garamond" w:hAnsi="Garamond"/>
                <w:i/>
                <w:sz w:val="20"/>
                <w:szCs w:val="20"/>
              </w:rPr>
            </w:pPr>
            <w:r w:rsidRPr="00CF02EB">
              <w:rPr>
                <w:rFonts w:ascii="Garamond" w:hAnsi="Garamond"/>
                <w:i/>
                <w:sz w:val="20"/>
                <w:szCs w:val="20"/>
              </w:rPr>
              <w:t>Viminella flagellum</w:t>
            </w:r>
          </w:p>
        </w:tc>
        <w:tc>
          <w:tcPr>
            <w:tcW w:w="1485" w:type="dxa"/>
            <w:vAlign w:val="center"/>
          </w:tcPr>
          <w:p w14:paraId="16CEB405" w14:textId="77777777" w:rsidR="00A619CA" w:rsidRPr="00CF02EB" w:rsidRDefault="00A619CA" w:rsidP="002420C1">
            <w:pPr>
              <w:tabs>
                <w:tab w:val="center" w:pos="4513"/>
              </w:tabs>
              <w:rPr>
                <w:rFonts w:ascii="Garamond" w:hAnsi="Garamond"/>
                <w:sz w:val="20"/>
                <w:szCs w:val="20"/>
              </w:rPr>
            </w:pPr>
            <w:r w:rsidRPr="00CF02EB">
              <w:rPr>
                <w:rFonts w:ascii="Garamond" w:hAnsi="Garamond"/>
                <w:sz w:val="20"/>
                <w:szCs w:val="20"/>
              </w:rPr>
              <w:t>High</w:t>
            </w:r>
          </w:p>
        </w:tc>
        <w:tc>
          <w:tcPr>
            <w:tcW w:w="1803" w:type="dxa"/>
            <w:vAlign w:val="center"/>
          </w:tcPr>
          <w:p w14:paraId="12DCF172" w14:textId="77777777" w:rsidR="00A619CA" w:rsidRPr="00CF02EB" w:rsidRDefault="006A54BD" w:rsidP="002420C1">
            <w:pPr>
              <w:tabs>
                <w:tab w:val="center" w:pos="4513"/>
              </w:tabs>
              <w:rPr>
                <w:rFonts w:ascii="Garamond" w:hAnsi="Garamond"/>
                <w:sz w:val="20"/>
                <w:szCs w:val="20"/>
              </w:rPr>
            </w:pPr>
            <w:r>
              <w:rPr>
                <w:rFonts w:ascii="Garamond" w:hAnsi="Garamond"/>
                <w:sz w:val="20"/>
                <w:szCs w:val="20"/>
              </w:rPr>
              <w:t>Low</w:t>
            </w:r>
          </w:p>
        </w:tc>
        <w:tc>
          <w:tcPr>
            <w:tcW w:w="1530" w:type="dxa"/>
            <w:vAlign w:val="center"/>
          </w:tcPr>
          <w:p w14:paraId="41275CC9" w14:textId="77777777" w:rsidR="00A619CA" w:rsidRPr="00CF02EB" w:rsidRDefault="00A619CA" w:rsidP="002420C1">
            <w:pPr>
              <w:tabs>
                <w:tab w:val="center" w:pos="4513"/>
              </w:tabs>
              <w:rPr>
                <w:rFonts w:ascii="Garamond" w:hAnsi="Garamond"/>
                <w:sz w:val="20"/>
                <w:szCs w:val="20"/>
              </w:rPr>
            </w:pPr>
            <w:r w:rsidRPr="00CF02EB">
              <w:rPr>
                <w:rFonts w:ascii="Garamond" w:hAnsi="Garamond"/>
                <w:sz w:val="20"/>
                <w:szCs w:val="20"/>
              </w:rPr>
              <w:t>Low</w:t>
            </w:r>
          </w:p>
        </w:tc>
      </w:tr>
      <w:tr w:rsidR="00A619CA" w:rsidRPr="00CF02EB" w14:paraId="4706F638" w14:textId="77777777" w:rsidTr="00A50500">
        <w:trPr>
          <w:trHeight w:val="360"/>
          <w:jc w:val="center"/>
        </w:trPr>
        <w:tc>
          <w:tcPr>
            <w:tcW w:w="1271" w:type="dxa"/>
            <w:vAlign w:val="center"/>
          </w:tcPr>
          <w:p w14:paraId="328A5ED5" w14:textId="77777777" w:rsidR="00A619CA" w:rsidRPr="00CF02EB" w:rsidRDefault="00A619CA" w:rsidP="002420C1">
            <w:pPr>
              <w:tabs>
                <w:tab w:val="center" w:pos="4513"/>
              </w:tabs>
              <w:rPr>
                <w:rFonts w:ascii="Garamond" w:hAnsi="Garamond"/>
                <w:i/>
                <w:sz w:val="20"/>
                <w:szCs w:val="20"/>
              </w:rPr>
            </w:pPr>
            <w:r w:rsidRPr="00CF02EB">
              <w:rPr>
                <w:rFonts w:ascii="Garamond" w:hAnsi="Garamond"/>
                <w:sz w:val="20"/>
                <w:szCs w:val="20"/>
              </w:rPr>
              <w:t>Holaxonia</w:t>
            </w:r>
          </w:p>
        </w:tc>
        <w:tc>
          <w:tcPr>
            <w:tcW w:w="2191" w:type="dxa"/>
            <w:vAlign w:val="center"/>
          </w:tcPr>
          <w:p w14:paraId="0164DBB6" w14:textId="77777777" w:rsidR="00A619CA" w:rsidRPr="006C0C69" w:rsidRDefault="00A619CA" w:rsidP="002420C1">
            <w:pPr>
              <w:tabs>
                <w:tab w:val="center" w:pos="4513"/>
              </w:tabs>
              <w:rPr>
                <w:rFonts w:ascii="Garamond" w:hAnsi="Garamond"/>
                <w:sz w:val="20"/>
                <w:szCs w:val="20"/>
              </w:rPr>
            </w:pPr>
            <w:r w:rsidRPr="00CF02EB">
              <w:rPr>
                <w:rFonts w:ascii="Garamond" w:hAnsi="Garamond"/>
                <w:i/>
                <w:sz w:val="20"/>
                <w:szCs w:val="20"/>
              </w:rPr>
              <w:t>Acanthogorgia</w:t>
            </w:r>
            <w:r>
              <w:rPr>
                <w:rFonts w:ascii="Garamond" w:hAnsi="Garamond"/>
                <w:sz w:val="20"/>
                <w:szCs w:val="20"/>
              </w:rPr>
              <w:t xml:space="preserve"> spp.</w:t>
            </w:r>
            <w:r w:rsidRPr="00162459">
              <w:rPr>
                <w:rFonts w:ascii="Garamond" w:hAnsi="Garamond"/>
                <w:sz w:val="20"/>
                <w:szCs w:val="20"/>
                <w:vertAlign w:val="superscript"/>
              </w:rPr>
              <w:t>1</w:t>
            </w:r>
          </w:p>
        </w:tc>
        <w:tc>
          <w:tcPr>
            <w:tcW w:w="1485" w:type="dxa"/>
            <w:vAlign w:val="center"/>
          </w:tcPr>
          <w:p w14:paraId="154D8FCA" w14:textId="77777777" w:rsidR="00A619CA" w:rsidRPr="00CF02EB" w:rsidRDefault="00A619CA" w:rsidP="002420C1">
            <w:pPr>
              <w:tabs>
                <w:tab w:val="center" w:pos="4513"/>
              </w:tabs>
              <w:rPr>
                <w:rFonts w:ascii="Garamond" w:hAnsi="Garamond"/>
                <w:sz w:val="20"/>
                <w:szCs w:val="20"/>
              </w:rPr>
            </w:pPr>
            <w:r w:rsidRPr="00CF02EB">
              <w:rPr>
                <w:rFonts w:ascii="Garamond" w:hAnsi="Garamond"/>
                <w:sz w:val="20"/>
                <w:szCs w:val="20"/>
              </w:rPr>
              <w:t>High</w:t>
            </w:r>
          </w:p>
        </w:tc>
        <w:tc>
          <w:tcPr>
            <w:tcW w:w="1803" w:type="dxa"/>
            <w:vAlign w:val="center"/>
          </w:tcPr>
          <w:p w14:paraId="5B91F47A" w14:textId="77777777" w:rsidR="00A619CA" w:rsidRPr="00CF02EB" w:rsidRDefault="00A619CA" w:rsidP="002420C1">
            <w:pPr>
              <w:tabs>
                <w:tab w:val="center" w:pos="4513"/>
              </w:tabs>
              <w:rPr>
                <w:rFonts w:ascii="Garamond" w:hAnsi="Garamond"/>
                <w:sz w:val="20"/>
                <w:szCs w:val="20"/>
              </w:rPr>
            </w:pPr>
            <w:r>
              <w:rPr>
                <w:rFonts w:ascii="Garamond" w:hAnsi="Garamond"/>
                <w:sz w:val="20"/>
                <w:szCs w:val="20"/>
              </w:rPr>
              <w:t>Medium</w:t>
            </w:r>
          </w:p>
        </w:tc>
        <w:tc>
          <w:tcPr>
            <w:tcW w:w="1530" w:type="dxa"/>
            <w:vAlign w:val="center"/>
          </w:tcPr>
          <w:p w14:paraId="095CC53A" w14:textId="77777777" w:rsidR="00A619CA" w:rsidRPr="00CF02EB" w:rsidRDefault="00A619CA" w:rsidP="002420C1">
            <w:pPr>
              <w:tabs>
                <w:tab w:val="center" w:pos="4513"/>
              </w:tabs>
              <w:rPr>
                <w:rFonts w:ascii="Garamond" w:hAnsi="Garamond"/>
                <w:sz w:val="20"/>
                <w:szCs w:val="20"/>
              </w:rPr>
            </w:pPr>
            <w:r w:rsidRPr="00CF02EB">
              <w:rPr>
                <w:rFonts w:ascii="Garamond" w:hAnsi="Garamond"/>
                <w:sz w:val="20"/>
                <w:szCs w:val="20"/>
              </w:rPr>
              <w:t>Low</w:t>
            </w:r>
          </w:p>
        </w:tc>
      </w:tr>
      <w:tr w:rsidR="00A619CA" w:rsidRPr="00CF02EB" w14:paraId="3F1224B7" w14:textId="77777777" w:rsidTr="00A50500">
        <w:trPr>
          <w:trHeight w:val="360"/>
          <w:jc w:val="center"/>
        </w:trPr>
        <w:tc>
          <w:tcPr>
            <w:tcW w:w="1271" w:type="dxa"/>
            <w:vAlign w:val="center"/>
          </w:tcPr>
          <w:p w14:paraId="7120AC5D" w14:textId="77777777" w:rsidR="00A619CA" w:rsidRPr="00CF02EB" w:rsidRDefault="00A619CA" w:rsidP="002420C1">
            <w:pPr>
              <w:tabs>
                <w:tab w:val="center" w:pos="4513"/>
              </w:tabs>
              <w:rPr>
                <w:rFonts w:ascii="Garamond" w:hAnsi="Garamond"/>
                <w:i/>
                <w:sz w:val="20"/>
                <w:szCs w:val="20"/>
              </w:rPr>
            </w:pPr>
            <w:r w:rsidRPr="00CF02EB">
              <w:rPr>
                <w:rFonts w:ascii="Garamond" w:hAnsi="Garamond"/>
                <w:sz w:val="20"/>
                <w:szCs w:val="20"/>
              </w:rPr>
              <w:t>Holaxonia</w:t>
            </w:r>
          </w:p>
        </w:tc>
        <w:tc>
          <w:tcPr>
            <w:tcW w:w="2191" w:type="dxa"/>
            <w:vAlign w:val="center"/>
          </w:tcPr>
          <w:p w14:paraId="0D816CD1" w14:textId="77777777" w:rsidR="00A619CA" w:rsidRPr="00CF02EB" w:rsidRDefault="00A619CA" w:rsidP="002420C1">
            <w:pPr>
              <w:tabs>
                <w:tab w:val="center" w:pos="4513"/>
              </w:tabs>
              <w:rPr>
                <w:rFonts w:ascii="Garamond" w:hAnsi="Garamond"/>
                <w:i/>
                <w:sz w:val="20"/>
                <w:szCs w:val="20"/>
              </w:rPr>
            </w:pPr>
            <w:r w:rsidRPr="00CF02EB">
              <w:rPr>
                <w:rFonts w:ascii="Garamond" w:hAnsi="Garamond"/>
                <w:i/>
                <w:sz w:val="20"/>
                <w:szCs w:val="20"/>
              </w:rPr>
              <w:t xml:space="preserve">Dentomuricea </w:t>
            </w:r>
            <w:r w:rsidRPr="001D0909">
              <w:rPr>
                <w:rFonts w:ascii="Garamond" w:hAnsi="Garamond"/>
                <w:sz w:val="20"/>
                <w:szCs w:val="20"/>
              </w:rPr>
              <w:t>aff</w:t>
            </w:r>
            <w:r w:rsidRPr="00CF02EB">
              <w:rPr>
                <w:rFonts w:ascii="Garamond" w:hAnsi="Garamond"/>
                <w:i/>
                <w:sz w:val="20"/>
                <w:szCs w:val="20"/>
              </w:rPr>
              <w:t>. meteor</w:t>
            </w:r>
          </w:p>
        </w:tc>
        <w:tc>
          <w:tcPr>
            <w:tcW w:w="1485" w:type="dxa"/>
            <w:vAlign w:val="center"/>
          </w:tcPr>
          <w:p w14:paraId="3938394F" w14:textId="77777777" w:rsidR="00A619CA" w:rsidRPr="00CF02EB" w:rsidRDefault="00A619CA" w:rsidP="002420C1">
            <w:pPr>
              <w:tabs>
                <w:tab w:val="center" w:pos="4513"/>
              </w:tabs>
              <w:rPr>
                <w:rFonts w:ascii="Garamond" w:hAnsi="Garamond"/>
                <w:sz w:val="20"/>
                <w:szCs w:val="20"/>
              </w:rPr>
            </w:pPr>
            <w:r w:rsidRPr="00CF02EB">
              <w:rPr>
                <w:rFonts w:ascii="Garamond" w:hAnsi="Garamond"/>
                <w:sz w:val="20"/>
                <w:szCs w:val="20"/>
              </w:rPr>
              <w:t>Medium</w:t>
            </w:r>
          </w:p>
        </w:tc>
        <w:tc>
          <w:tcPr>
            <w:tcW w:w="1803" w:type="dxa"/>
            <w:vAlign w:val="center"/>
          </w:tcPr>
          <w:p w14:paraId="3CFB6C0F" w14:textId="77777777" w:rsidR="00A619CA" w:rsidRPr="00CF02EB" w:rsidRDefault="00C44BD7" w:rsidP="002420C1">
            <w:pPr>
              <w:tabs>
                <w:tab w:val="center" w:pos="4513"/>
              </w:tabs>
              <w:rPr>
                <w:rFonts w:ascii="Garamond" w:hAnsi="Garamond"/>
                <w:sz w:val="20"/>
                <w:szCs w:val="20"/>
              </w:rPr>
            </w:pPr>
            <w:r w:rsidRPr="00CF02EB">
              <w:rPr>
                <w:rFonts w:ascii="Garamond" w:hAnsi="Garamond"/>
                <w:sz w:val="20"/>
                <w:szCs w:val="20"/>
              </w:rPr>
              <w:t>High</w:t>
            </w:r>
          </w:p>
        </w:tc>
        <w:tc>
          <w:tcPr>
            <w:tcW w:w="1530" w:type="dxa"/>
            <w:vAlign w:val="center"/>
          </w:tcPr>
          <w:p w14:paraId="146D458E" w14:textId="77777777" w:rsidR="00A619CA" w:rsidRPr="00CF02EB" w:rsidRDefault="00A619CA" w:rsidP="002420C1">
            <w:pPr>
              <w:tabs>
                <w:tab w:val="center" w:pos="4513"/>
              </w:tabs>
              <w:rPr>
                <w:rFonts w:ascii="Garamond" w:hAnsi="Garamond"/>
                <w:sz w:val="20"/>
                <w:szCs w:val="20"/>
              </w:rPr>
            </w:pPr>
            <w:r>
              <w:rPr>
                <w:rFonts w:ascii="Garamond" w:hAnsi="Garamond"/>
                <w:sz w:val="20"/>
                <w:szCs w:val="20"/>
              </w:rPr>
              <w:t>High</w:t>
            </w:r>
          </w:p>
        </w:tc>
      </w:tr>
      <w:tr w:rsidR="00A619CA" w:rsidRPr="00CF02EB" w14:paraId="305E28B3" w14:textId="77777777" w:rsidTr="00A50500">
        <w:trPr>
          <w:trHeight w:val="360"/>
          <w:jc w:val="center"/>
        </w:trPr>
        <w:tc>
          <w:tcPr>
            <w:tcW w:w="1271" w:type="dxa"/>
            <w:vAlign w:val="center"/>
          </w:tcPr>
          <w:p w14:paraId="361748F0" w14:textId="77777777" w:rsidR="00A619CA" w:rsidRPr="00CF02EB" w:rsidRDefault="00A619CA" w:rsidP="002420C1">
            <w:pPr>
              <w:tabs>
                <w:tab w:val="center" w:pos="4513"/>
              </w:tabs>
              <w:rPr>
                <w:rFonts w:ascii="Garamond" w:hAnsi="Garamond"/>
                <w:i/>
                <w:sz w:val="20"/>
                <w:szCs w:val="20"/>
              </w:rPr>
            </w:pPr>
            <w:r w:rsidRPr="00CF02EB">
              <w:rPr>
                <w:rFonts w:ascii="Garamond" w:hAnsi="Garamond"/>
                <w:sz w:val="20"/>
                <w:szCs w:val="20"/>
              </w:rPr>
              <w:t>Scleractinia</w:t>
            </w:r>
          </w:p>
        </w:tc>
        <w:tc>
          <w:tcPr>
            <w:tcW w:w="2191" w:type="dxa"/>
            <w:vAlign w:val="center"/>
          </w:tcPr>
          <w:p w14:paraId="3655EB77" w14:textId="77777777" w:rsidR="00A619CA" w:rsidRPr="00CF02EB" w:rsidRDefault="00A619CA" w:rsidP="00FF3D42">
            <w:pPr>
              <w:tabs>
                <w:tab w:val="center" w:pos="4513"/>
              </w:tabs>
              <w:rPr>
                <w:rFonts w:ascii="Garamond" w:hAnsi="Garamond"/>
                <w:i/>
                <w:sz w:val="20"/>
                <w:szCs w:val="20"/>
              </w:rPr>
            </w:pPr>
            <w:r w:rsidRPr="00CF02EB">
              <w:rPr>
                <w:rFonts w:ascii="Garamond" w:hAnsi="Garamond"/>
                <w:i/>
                <w:sz w:val="20"/>
                <w:szCs w:val="20"/>
              </w:rPr>
              <w:t>Desmophyllum pertusum</w:t>
            </w:r>
            <w:r w:rsidRPr="00162459">
              <w:rPr>
                <w:rFonts w:ascii="Garamond" w:hAnsi="Garamond"/>
                <w:sz w:val="20"/>
                <w:szCs w:val="20"/>
                <w:vertAlign w:val="superscript"/>
              </w:rPr>
              <w:t>2</w:t>
            </w:r>
          </w:p>
        </w:tc>
        <w:tc>
          <w:tcPr>
            <w:tcW w:w="1485" w:type="dxa"/>
            <w:vAlign w:val="center"/>
          </w:tcPr>
          <w:p w14:paraId="19370AA0" w14:textId="77777777" w:rsidR="00A619CA" w:rsidRPr="00CF02EB" w:rsidRDefault="00A619CA" w:rsidP="002420C1">
            <w:pPr>
              <w:tabs>
                <w:tab w:val="center" w:pos="4513"/>
              </w:tabs>
              <w:rPr>
                <w:rFonts w:ascii="Garamond" w:hAnsi="Garamond"/>
                <w:sz w:val="20"/>
                <w:szCs w:val="20"/>
              </w:rPr>
            </w:pPr>
            <w:r w:rsidRPr="00CF02EB">
              <w:rPr>
                <w:rFonts w:ascii="Garamond" w:hAnsi="Garamond"/>
                <w:sz w:val="20"/>
                <w:szCs w:val="20"/>
              </w:rPr>
              <w:t>Low</w:t>
            </w:r>
          </w:p>
        </w:tc>
        <w:tc>
          <w:tcPr>
            <w:tcW w:w="1803" w:type="dxa"/>
            <w:vAlign w:val="center"/>
          </w:tcPr>
          <w:p w14:paraId="6F9F6028" w14:textId="77777777" w:rsidR="00A619CA" w:rsidRPr="00CF02EB" w:rsidRDefault="00C44BD7" w:rsidP="002420C1">
            <w:pPr>
              <w:tabs>
                <w:tab w:val="center" w:pos="4513"/>
              </w:tabs>
              <w:rPr>
                <w:rFonts w:ascii="Garamond" w:hAnsi="Garamond"/>
                <w:sz w:val="20"/>
                <w:szCs w:val="20"/>
              </w:rPr>
            </w:pPr>
            <w:r w:rsidRPr="00CF02EB">
              <w:rPr>
                <w:rFonts w:ascii="Garamond" w:hAnsi="Garamond"/>
                <w:sz w:val="20"/>
                <w:szCs w:val="20"/>
              </w:rPr>
              <w:t>Medium</w:t>
            </w:r>
          </w:p>
        </w:tc>
        <w:tc>
          <w:tcPr>
            <w:tcW w:w="1530" w:type="dxa"/>
            <w:vAlign w:val="center"/>
          </w:tcPr>
          <w:p w14:paraId="5038DC09" w14:textId="77777777" w:rsidR="00A619CA" w:rsidRPr="00CF02EB" w:rsidRDefault="00A619CA" w:rsidP="002420C1">
            <w:pPr>
              <w:tabs>
                <w:tab w:val="center" w:pos="4513"/>
              </w:tabs>
              <w:rPr>
                <w:rFonts w:ascii="Garamond" w:hAnsi="Garamond"/>
                <w:sz w:val="20"/>
                <w:szCs w:val="20"/>
              </w:rPr>
            </w:pPr>
            <w:r w:rsidRPr="00CF02EB">
              <w:rPr>
                <w:rFonts w:ascii="Garamond" w:hAnsi="Garamond"/>
                <w:sz w:val="20"/>
                <w:szCs w:val="20"/>
              </w:rPr>
              <w:t>High</w:t>
            </w:r>
          </w:p>
        </w:tc>
      </w:tr>
      <w:tr w:rsidR="00A619CA" w:rsidRPr="00CF02EB" w14:paraId="6236E5C0" w14:textId="77777777" w:rsidTr="00A50500">
        <w:trPr>
          <w:trHeight w:val="360"/>
          <w:jc w:val="center"/>
        </w:trPr>
        <w:tc>
          <w:tcPr>
            <w:tcW w:w="1271" w:type="dxa"/>
            <w:vAlign w:val="center"/>
          </w:tcPr>
          <w:p w14:paraId="274C364B" w14:textId="77777777" w:rsidR="00A619CA" w:rsidRPr="00CF02EB" w:rsidRDefault="00A619CA" w:rsidP="002420C1">
            <w:pPr>
              <w:tabs>
                <w:tab w:val="center" w:pos="4513"/>
              </w:tabs>
              <w:rPr>
                <w:rFonts w:ascii="Garamond" w:hAnsi="Garamond"/>
                <w:i/>
                <w:sz w:val="20"/>
                <w:szCs w:val="20"/>
              </w:rPr>
            </w:pPr>
            <w:r w:rsidRPr="00CF02EB">
              <w:rPr>
                <w:rFonts w:ascii="Garamond" w:hAnsi="Garamond"/>
                <w:sz w:val="20"/>
                <w:szCs w:val="20"/>
              </w:rPr>
              <w:t>Scleractinia</w:t>
            </w:r>
          </w:p>
        </w:tc>
        <w:tc>
          <w:tcPr>
            <w:tcW w:w="2191" w:type="dxa"/>
            <w:vAlign w:val="center"/>
          </w:tcPr>
          <w:p w14:paraId="31CB97DD" w14:textId="77777777" w:rsidR="00A619CA" w:rsidRPr="00CF02EB" w:rsidRDefault="00A619CA" w:rsidP="002420C1">
            <w:pPr>
              <w:tabs>
                <w:tab w:val="center" w:pos="4513"/>
              </w:tabs>
              <w:rPr>
                <w:rFonts w:ascii="Garamond" w:hAnsi="Garamond"/>
                <w:i/>
                <w:sz w:val="20"/>
                <w:szCs w:val="20"/>
              </w:rPr>
            </w:pPr>
            <w:r w:rsidRPr="00CF02EB">
              <w:rPr>
                <w:rFonts w:ascii="Garamond" w:hAnsi="Garamond"/>
                <w:i/>
                <w:sz w:val="20"/>
                <w:szCs w:val="20"/>
              </w:rPr>
              <w:t>Madrepora oculata</w:t>
            </w:r>
          </w:p>
        </w:tc>
        <w:tc>
          <w:tcPr>
            <w:tcW w:w="1485" w:type="dxa"/>
            <w:vAlign w:val="center"/>
          </w:tcPr>
          <w:p w14:paraId="6A8DD119" w14:textId="77777777" w:rsidR="00A619CA" w:rsidRPr="00CF02EB" w:rsidRDefault="00A619CA" w:rsidP="002420C1">
            <w:pPr>
              <w:tabs>
                <w:tab w:val="center" w:pos="4513"/>
              </w:tabs>
              <w:rPr>
                <w:rFonts w:ascii="Garamond" w:hAnsi="Garamond"/>
                <w:sz w:val="20"/>
                <w:szCs w:val="20"/>
              </w:rPr>
            </w:pPr>
            <w:r w:rsidRPr="00CF02EB">
              <w:rPr>
                <w:rFonts w:ascii="Garamond" w:hAnsi="Garamond"/>
                <w:sz w:val="20"/>
                <w:szCs w:val="20"/>
              </w:rPr>
              <w:t>Low</w:t>
            </w:r>
          </w:p>
        </w:tc>
        <w:tc>
          <w:tcPr>
            <w:tcW w:w="1803" w:type="dxa"/>
            <w:vAlign w:val="center"/>
          </w:tcPr>
          <w:p w14:paraId="5D9BA7CA" w14:textId="77777777" w:rsidR="00A619CA" w:rsidRPr="00CF02EB" w:rsidRDefault="00C44BD7" w:rsidP="002420C1">
            <w:pPr>
              <w:tabs>
                <w:tab w:val="center" w:pos="4513"/>
              </w:tabs>
              <w:rPr>
                <w:rFonts w:ascii="Garamond" w:hAnsi="Garamond"/>
                <w:sz w:val="20"/>
                <w:szCs w:val="20"/>
              </w:rPr>
            </w:pPr>
            <w:r w:rsidRPr="00CF02EB">
              <w:rPr>
                <w:rFonts w:ascii="Garamond" w:hAnsi="Garamond"/>
                <w:sz w:val="20"/>
                <w:szCs w:val="20"/>
              </w:rPr>
              <w:t>Medium</w:t>
            </w:r>
          </w:p>
        </w:tc>
        <w:tc>
          <w:tcPr>
            <w:tcW w:w="1530" w:type="dxa"/>
            <w:vAlign w:val="center"/>
          </w:tcPr>
          <w:p w14:paraId="3780C5F4" w14:textId="77777777" w:rsidR="00A619CA" w:rsidRPr="00CF02EB" w:rsidRDefault="00A619CA" w:rsidP="002420C1">
            <w:pPr>
              <w:tabs>
                <w:tab w:val="center" w:pos="4513"/>
              </w:tabs>
              <w:rPr>
                <w:rFonts w:ascii="Garamond" w:hAnsi="Garamond"/>
                <w:sz w:val="20"/>
                <w:szCs w:val="20"/>
              </w:rPr>
            </w:pPr>
            <w:r w:rsidRPr="00CF02EB">
              <w:rPr>
                <w:rFonts w:ascii="Garamond" w:hAnsi="Garamond"/>
                <w:sz w:val="20"/>
                <w:szCs w:val="20"/>
              </w:rPr>
              <w:t>High</w:t>
            </w:r>
          </w:p>
        </w:tc>
      </w:tr>
      <w:tr w:rsidR="00A619CA" w:rsidRPr="00CF02EB" w14:paraId="30372AAB" w14:textId="77777777" w:rsidTr="00A50500">
        <w:trPr>
          <w:trHeight w:val="360"/>
          <w:jc w:val="center"/>
        </w:trPr>
        <w:tc>
          <w:tcPr>
            <w:tcW w:w="1271" w:type="dxa"/>
            <w:vAlign w:val="center"/>
          </w:tcPr>
          <w:p w14:paraId="6F18D4DB" w14:textId="77777777" w:rsidR="00A619CA" w:rsidRPr="00CF02EB" w:rsidRDefault="00A619CA" w:rsidP="002420C1">
            <w:pPr>
              <w:tabs>
                <w:tab w:val="center" w:pos="4513"/>
              </w:tabs>
              <w:rPr>
                <w:rFonts w:ascii="Garamond" w:hAnsi="Garamond"/>
                <w:i/>
                <w:sz w:val="20"/>
                <w:szCs w:val="20"/>
              </w:rPr>
            </w:pPr>
            <w:r w:rsidRPr="00CF02EB">
              <w:rPr>
                <w:rFonts w:ascii="Garamond" w:hAnsi="Garamond"/>
                <w:sz w:val="20"/>
                <w:szCs w:val="20"/>
              </w:rPr>
              <w:t>Scleractinia</w:t>
            </w:r>
          </w:p>
        </w:tc>
        <w:tc>
          <w:tcPr>
            <w:tcW w:w="2191" w:type="dxa"/>
            <w:vAlign w:val="center"/>
          </w:tcPr>
          <w:p w14:paraId="26AADB28" w14:textId="77777777" w:rsidR="00A619CA" w:rsidRPr="00CF02EB" w:rsidRDefault="00A619CA" w:rsidP="002420C1">
            <w:pPr>
              <w:tabs>
                <w:tab w:val="center" w:pos="4513"/>
              </w:tabs>
              <w:rPr>
                <w:rFonts w:ascii="Garamond" w:hAnsi="Garamond"/>
                <w:i/>
                <w:sz w:val="20"/>
                <w:szCs w:val="20"/>
              </w:rPr>
            </w:pPr>
            <w:r w:rsidRPr="00CF02EB">
              <w:rPr>
                <w:rFonts w:ascii="Garamond" w:hAnsi="Garamond"/>
                <w:i/>
                <w:sz w:val="20"/>
                <w:szCs w:val="20"/>
              </w:rPr>
              <w:t>Solenosmilia variabilis</w:t>
            </w:r>
          </w:p>
        </w:tc>
        <w:tc>
          <w:tcPr>
            <w:tcW w:w="1485" w:type="dxa"/>
            <w:vAlign w:val="center"/>
          </w:tcPr>
          <w:p w14:paraId="03A66247" w14:textId="77777777" w:rsidR="00A619CA" w:rsidRPr="00CF02EB" w:rsidRDefault="00A619CA" w:rsidP="002420C1">
            <w:pPr>
              <w:tabs>
                <w:tab w:val="center" w:pos="4513"/>
              </w:tabs>
              <w:rPr>
                <w:rFonts w:ascii="Garamond" w:hAnsi="Garamond"/>
                <w:sz w:val="20"/>
                <w:szCs w:val="20"/>
              </w:rPr>
            </w:pPr>
            <w:r w:rsidRPr="00CF02EB">
              <w:rPr>
                <w:rFonts w:ascii="Garamond" w:hAnsi="Garamond"/>
                <w:sz w:val="20"/>
                <w:szCs w:val="20"/>
              </w:rPr>
              <w:t>Low</w:t>
            </w:r>
          </w:p>
        </w:tc>
        <w:tc>
          <w:tcPr>
            <w:tcW w:w="1803" w:type="dxa"/>
            <w:vAlign w:val="center"/>
          </w:tcPr>
          <w:p w14:paraId="211501FB" w14:textId="77777777" w:rsidR="00A619CA" w:rsidRPr="00CF02EB" w:rsidRDefault="00A619CA" w:rsidP="002420C1">
            <w:pPr>
              <w:tabs>
                <w:tab w:val="center" w:pos="4513"/>
              </w:tabs>
              <w:rPr>
                <w:rFonts w:ascii="Garamond" w:hAnsi="Garamond"/>
                <w:sz w:val="20"/>
                <w:szCs w:val="20"/>
              </w:rPr>
            </w:pPr>
            <w:r w:rsidRPr="00CF02EB">
              <w:rPr>
                <w:rFonts w:ascii="Garamond" w:hAnsi="Garamond"/>
                <w:sz w:val="20"/>
                <w:szCs w:val="20"/>
              </w:rPr>
              <w:t>Medium</w:t>
            </w:r>
          </w:p>
        </w:tc>
        <w:tc>
          <w:tcPr>
            <w:tcW w:w="1530" w:type="dxa"/>
            <w:vAlign w:val="center"/>
          </w:tcPr>
          <w:p w14:paraId="3DF9B8E6" w14:textId="77777777" w:rsidR="00A619CA" w:rsidRPr="00CF02EB" w:rsidRDefault="00A619CA" w:rsidP="002420C1">
            <w:pPr>
              <w:tabs>
                <w:tab w:val="center" w:pos="4513"/>
              </w:tabs>
              <w:rPr>
                <w:rFonts w:ascii="Garamond" w:hAnsi="Garamond"/>
                <w:b/>
                <w:sz w:val="20"/>
                <w:szCs w:val="20"/>
              </w:rPr>
            </w:pPr>
            <w:r w:rsidRPr="00CF02EB">
              <w:rPr>
                <w:rFonts w:ascii="Garamond" w:hAnsi="Garamond"/>
                <w:sz w:val="20"/>
                <w:szCs w:val="20"/>
              </w:rPr>
              <w:t>High</w:t>
            </w:r>
          </w:p>
        </w:tc>
      </w:tr>
      <w:tr w:rsidR="00A619CA" w:rsidRPr="00CF02EB" w14:paraId="5CB1E5CF" w14:textId="77777777" w:rsidTr="00A50500">
        <w:trPr>
          <w:trHeight w:val="360"/>
          <w:jc w:val="center"/>
        </w:trPr>
        <w:tc>
          <w:tcPr>
            <w:tcW w:w="1271" w:type="dxa"/>
            <w:vAlign w:val="center"/>
          </w:tcPr>
          <w:p w14:paraId="4F6CB72A" w14:textId="77777777" w:rsidR="00A619CA" w:rsidRPr="00CF02EB" w:rsidRDefault="00A619CA" w:rsidP="002420C1">
            <w:pPr>
              <w:tabs>
                <w:tab w:val="center" w:pos="4513"/>
              </w:tabs>
              <w:rPr>
                <w:rFonts w:ascii="Garamond" w:hAnsi="Garamond"/>
                <w:sz w:val="20"/>
                <w:szCs w:val="20"/>
              </w:rPr>
            </w:pPr>
            <w:r w:rsidRPr="00CF02EB">
              <w:rPr>
                <w:rFonts w:ascii="Garamond" w:hAnsi="Garamond"/>
                <w:sz w:val="20"/>
                <w:szCs w:val="20"/>
              </w:rPr>
              <w:t>Scleraxonia</w:t>
            </w:r>
          </w:p>
        </w:tc>
        <w:tc>
          <w:tcPr>
            <w:tcW w:w="2191" w:type="dxa"/>
            <w:vAlign w:val="center"/>
          </w:tcPr>
          <w:p w14:paraId="18BBA652" w14:textId="77777777" w:rsidR="00A619CA" w:rsidRPr="00CF02EB" w:rsidRDefault="00A619CA" w:rsidP="002420C1">
            <w:pPr>
              <w:tabs>
                <w:tab w:val="center" w:pos="4513"/>
              </w:tabs>
              <w:rPr>
                <w:rFonts w:ascii="Garamond" w:hAnsi="Garamond"/>
                <w:i/>
                <w:sz w:val="20"/>
                <w:szCs w:val="20"/>
              </w:rPr>
            </w:pPr>
            <w:r w:rsidRPr="00CF02EB">
              <w:rPr>
                <w:rFonts w:ascii="Garamond" w:hAnsi="Garamond"/>
                <w:sz w:val="20"/>
                <w:szCs w:val="20"/>
              </w:rPr>
              <w:t>Coralliidae</w:t>
            </w:r>
            <w:r w:rsidR="00705856">
              <w:rPr>
                <w:rFonts w:ascii="Garamond" w:hAnsi="Garamond"/>
                <w:sz w:val="20"/>
                <w:szCs w:val="20"/>
              </w:rPr>
              <w:t xml:space="preserve"> spp.</w:t>
            </w:r>
            <w:r w:rsidRPr="00162459">
              <w:rPr>
                <w:rFonts w:ascii="Garamond" w:hAnsi="Garamond"/>
                <w:sz w:val="20"/>
                <w:szCs w:val="20"/>
                <w:vertAlign w:val="superscript"/>
              </w:rPr>
              <w:t>3</w:t>
            </w:r>
          </w:p>
        </w:tc>
        <w:tc>
          <w:tcPr>
            <w:tcW w:w="1485" w:type="dxa"/>
            <w:vAlign w:val="center"/>
          </w:tcPr>
          <w:p w14:paraId="71E84604" w14:textId="77777777" w:rsidR="00A619CA" w:rsidRPr="00CF02EB" w:rsidRDefault="00A619CA" w:rsidP="002420C1">
            <w:pPr>
              <w:tabs>
                <w:tab w:val="center" w:pos="4513"/>
              </w:tabs>
              <w:rPr>
                <w:rFonts w:ascii="Garamond" w:hAnsi="Garamond"/>
                <w:sz w:val="20"/>
                <w:szCs w:val="20"/>
              </w:rPr>
            </w:pPr>
            <w:r w:rsidRPr="00CF02EB">
              <w:rPr>
                <w:rFonts w:ascii="Garamond" w:hAnsi="Garamond"/>
                <w:sz w:val="20"/>
                <w:szCs w:val="20"/>
              </w:rPr>
              <w:t>Medium</w:t>
            </w:r>
          </w:p>
        </w:tc>
        <w:tc>
          <w:tcPr>
            <w:tcW w:w="1803" w:type="dxa"/>
            <w:vAlign w:val="center"/>
          </w:tcPr>
          <w:p w14:paraId="76D30A6D" w14:textId="77777777" w:rsidR="00A619CA" w:rsidRPr="00CF02EB" w:rsidRDefault="00A619CA" w:rsidP="002420C1">
            <w:pPr>
              <w:tabs>
                <w:tab w:val="center" w:pos="4513"/>
              </w:tabs>
              <w:rPr>
                <w:rFonts w:ascii="Garamond" w:hAnsi="Garamond"/>
                <w:sz w:val="20"/>
                <w:szCs w:val="20"/>
              </w:rPr>
            </w:pPr>
            <w:r w:rsidRPr="00CF02EB">
              <w:rPr>
                <w:rFonts w:ascii="Garamond" w:hAnsi="Garamond"/>
                <w:sz w:val="20"/>
                <w:szCs w:val="20"/>
              </w:rPr>
              <w:t>Medium</w:t>
            </w:r>
          </w:p>
        </w:tc>
        <w:tc>
          <w:tcPr>
            <w:tcW w:w="1530" w:type="dxa"/>
            <w:vAlign w:val="center"/>
          </w:tcPr>
          <w:p w14:paraId="1943E4EC" w14:textId="77777777" w:rsidR="00A619CA" w:rsidRPr="00CF02EB" w:rsidRDefault="00A619CA" w:rsidP="002420C1">
            <w:pPr>
              <w:tabs>
                <w:tab w:val="center" w:pos="4513"/>
              </w:tabs>
              <w:rPr>
                <w:rFonts w:ascii="Garamond" w:hAnsi="Garamond"/>
                <w:sz w:val="20"/>
                <w:szCs w:val="20"/>
              </w:rPr>
            </w:pPr>
            <w:r w:rsidRPr="00CF02EB">
              <w:rPr>
                <w:rFonts w:ascii="Garamond" w:hAnsi="Garamond"/>
                <w:sz w:val="20"/>
                <w:szCs w:val="20"/>
              </w:rPr>
              <w:t>High</w:t>
            </w:r>
          </w:p>
        </w:tc>
      </w:tr>
      <w:tr w:rsidR="00A619CA" w:rsidRPr="00CF02EB" w14:paraId="39224BC1" w14:textId="77777777" w:rsidTr="00A50500">
        <w:trPr>
          <w:trHeight w:val="360"/>
          <w:jc w:val="center"/>
        </w:trPr>
        <w:tc>
          <w:tcPr>
            <w:tcW w:w="1271" w:type="dxa"/>
            <w:vAlign w:val="center"/>
          </w:tcPr>
          <w:p w14:paraId="2FCA1941" w14:textId="77777777" w:rsidR="00A619CA" w:rsidRPr="00CF02EB" w:rsidRDefault="00A619CA" w:rsidP="002420C1">
            <w:pPr>
              <w:tabs>
                <w:tab w:val="center" w:pos="4513"/>
              </w:tabs>
              <w:rPr>
                <w:rFonts w:ascii="Garamond" w:hAnsi="Garamond"/>
                <w:i/>
                <w:sz w:val="20"/>
                <w:szCs w:val="20"/>
              </w:rPr>
            </w:pPr>
            <w:r w:rsidRPr="00CF02EB">
              <w:rPr>
                <w:rFonts w:ascii="Garamond" w:hAnsi="Garamond"/>
                <w:sz w:val="20"/>
                <w:szCs w:val="20"/>
              </w:rPr>
              <w:t>Scleraxonia</w:t>
            </w:r>
          </w:p>
        </w:tc>
        <w:tc>
          <w:tcPr>
            <w:tcW w:w="2191" w:type="dxa"/>
            <w:vAlign w:val="center"/>
          </w:tcPr>
          <w:p w14:paraId="7737B165" w14:textId="77777777" w:rsidR="00A619CA" w:rsidRPr="00CF02EB" w:rsidRDefault="00A619CA" w:rsidP="002420C1">
            <w:pPr>
              <w:tabs>
                <w:tab w:val="center" w:pos="4513"/>
              </w:tabs>
              <w:rPr>
                <w:rFonts w:ascii="Garamond" w:hAnsi="Garamond"/>
                <w:i/>
                <w:sz w:val="20"/>
                <w:szCs w:val="20"/>
              </w:rPr>
            </w:pPr>
            <w:r w:rsidRPr="00CF02EB">
              <w:rPr>
                <w:rFonts w:ascii="Garamond" w:hAnsi="Garamond"/>
                <w:i/>
                <w:sz w:val="20"/>
                <w:szCs w:val="20"/>
              </w:rPr>
              <w:t>Paragorgia johnsoni</w:t>
            </w:r>
          </w:p>
        </w:tc>
        <w:tc>
          <w:tcPr>
            <w:tcW w:w="1485" w:type="dxa"/>
            <w:vAlign w:val="center"/>
          </w:tcPr>
          <w:p w14:paraId="2E9D6747" w14:textId="77777777" w:rsidR="00A619CA" w:rsidRPr="00CF02EB" w:rsidRDefault="00BA6128" w:rsidP="002420C1">
            <w:pPr>
              <w:tabs>
                <w:tab w:val="center" w:pos="4513"/>
              </w:tabs>
              <w:rPr>
                <w:rFonts w:ascii="Garamond" w:hAnsi="Garamond"/>
                <w:sz w:val="20"/>
                <w:szCs w:val="20"/>
              </w:rPr>
            </w:pPr>
            <w:r>
              <w:rPr>
                <w:rFonts w:ascii="Garamond" w:hAnsi="Garamond"/>
                <w:sz w:val="20"/>
                <w:szCs w:val="20"/>
              </w:rPr>
              <w:t>Medium</w:t>
            </w:r>
          </w:p>
        </w:tc>
        <w:tc>
          <w:tcPr>
            <w:tcW w:w="1803" w:type="dxa"/>
            <w:vAlign w:val="center"/>
          </w:tcPr>
          <w:p w14:paraId="678FE4BC" w14:textId="77777777" w:rsidR="00A619CA" w:rsidRPr="00CF02EB" w:rsidRDefault="00A619CA" w:rsidP="002420C1">
            <w:pPr>
              <w:tabs>
                <w:tab w:val="center" w:pos="4513"/>
              </w:tabs>
              <w:rPr>
                <w:rFonts w:ascii="Garamond" w:hAnsi="Garamond"/>
                <w:sz w:val="20"/>
                <w:szCs w:val="20"/>
              </w:rPr>
            </w:pPr>
            <w:r w:rsidRPr="00CF02EB">
              <w:rPr>
                <w:rFonts w:ascii="Garamond" w:hAnsi="Garamond"/>
                <w:sz w:val="20"/>
                <w:szCs w:val="20"/>
              </w:rPr>
              <w:t>Large</w:t>
            </w:r>
          </w:p>
        </w:tc>
        <w:tc>
          <w:tcPr>
            <w:tcW w:w="1530" w:type="dxa"/>
            <w:vAlign w:val="center"/>
          </w:tcPr>
          <w:p w14:paraId="1646E740" w14:textId="77777777" w:rsidR="00A619CA" w:rsidRPr="00CF02EB" w:rsidRDefault="00A619CA" w:rsidP="002420C1">
            <w:pPr>
              <w:tabs>
                <w:tab w:val="center" w:pos="4513"/>
              </w:tabs>
              <w:rPr>
                <w:rFonts w:ascii="Garamond" w:hAnsi="Garamond"/>
                <w:sz w:val="20"/>
                <w:szCs w:val="20"/>
              </w:rPr>
            </w:pPr>
            <w:r w:rsidRPr="00CF02EB">
              <w:rPr>
                <w:rFonts w:ascii="Garamond" w:hAnsi="Garamond"/>
                <w:sz w:val="20"/>
                <w:szCs w:val="20"/>
              </w:rPr>
              <w:t>High</w:t>
            </w:r>
          </w:p>
        </w:tc>
      </w:tr>
      <w:tr w:rsidR="00A619CA" w:rsidRPr="00CF02EB" w14:paraId="0A9A24C5" w14:textId="77777777" w:rsidTr="00A50500">
        <w:trPr>
          <w:trHeight w:val="360"/>
          <w:jc w:val="center"/>
        </w:trPr>
        <w:tc>
          <w:tcPr>
            <w:tcW w:w="1271" w:type="dxa"/>
            <w:tcBorders>
              <w:bottom w:val="single" w:sz="4" w:space="0" w:color="auto"/>
            </w:tcBorders>
            <w:vAlign w:val="center"/>
          </w:tcPr>
          <w:p w14:paraId="73C10C38" w14:textId="77777777" w:rsidR="00A619CA" w:rsidRPr="00CF02EB" w:rsidRDefault="00A619CA" w:rsidP="002420C1">
            <w:pPr>
              <w:tabs>
                <w:tab w:val="center" w:pos="4513"/>
              </w:tabs>
              <w:rPr>
                <w:rFonts w:ascii="Garamond" w:hAnsi="Garamond"/>
                <w:i/>
                <w:sz w:val="20"/>
                <w:szCs w:val="20"/>
              </w:rPr>
            </w:pPr>
            <w:r w:rsidRPr="00CF02EB">
              <w:rPr>
                <w:rFonts w:ascii="Garamond" w:hAnsi="Garamond"/>
                <w:sz w:val="20"/>
                <w:szCs w:val="20"/>
              </w:rPr>
              <w:t>Stylasteridae</w:t>
            </w:r>
          </w:p>
        </w:tc>
        <w:tc>
          <w:tcPr>
            <w:tcW w:w="2191" w:type="dxa"/>
            <w:tcBorders>
              <w:bottom w:val="single" w:sz="4" w:space="0" w:color="auto"/>
            </w:tcBorders>
            <w:vAlign w:val="center"/>
          </w:tcPr>
          <w:p w14:paraId="4FFEA9C4" w14:textId="77777777" w:rsidR="00A619CA" w:rsidRPr="00CF02EB" w:rsidRDefault="00A619CA" w:rsidP="002420C1">
            <w:pPr>
              <w:tabs>
                <w:tab w:val="center" w:pos="4513"/>
              </w:tabs>
              <w:rPr>
                <w:rFonts w:ascii="Garamond" w:hAnsi="Garamond"/>
                <w:i/>
                <w:sz w:val="20"/>
                <w:szCs w:val="20"/>
              </w:rPr>
            </w:pPr>
            <w:r w:rsidRPr="00CF02EB">
              <w:rPr>
                <w:rFonts w:ascii="Garamond" w:hAnsi="Garamond"/>
                <w:i/>
                <w:sz w:val="20"/>
                <w:szCs w:val="20"/>
              </w:rPr>
              <w:t>Errina dabneyi</w:t>
            </w:r>
          </w:p>
        </w:tc>
        <w:tc>
          <w:tcPr>
            <w:tcW w:w="1485" w:type="dxa"/>
            <w:tcBorders>
              <w:bottom w:val="single" w:sz="4" w:space="0" w:color="auto"/>
            </w:tcBorders>
            <w:vAlign w:val="center"/>
          </w:tcPr>
          <w:p w14:paraId="77C3B3EB" w14:textId="77777777" w:rsidR="00A619CA" w:rsidRPr="00CF02EB" w:rsidRDefault="00A619CA" w:rsidP="00491184">
            <w:pPr>
              <w:tabs>
                <w:tab w:val="center" w:pos="4513"/>
              </w:tabs>
              <w:rPr>
                <w:rFonts w:ascii="Garamond" w:hAnsi="Garamond"/>
                <w:sz w:val="20"/>
                <w:szCs w:val="20"/>
              </w:rPr>
            </w:pPr>
            <w:r w:rsidRPr="00CF02EB">
              <w:rPr>
                <w:rFonts w:ascii="Garamond" w:hAnsi="Garamond"/>
                <w:sz w:val="20"/>
                <w:szCs w:val="20"/>
              </w:rPr>
              <w:t>Medium</w:t>
            </w:r>
          </w:p>
        </w:tc>
        <w:tc>
          <w:tcPr>
            <w:tcW w:w="1803" w:type="dxa"/>
            <w:tcBorders>
              <w:bottom w:val="single" w:sz="4" w:space="0" w:color="auto"/>
            </w:tcBorders>
            <w:vAlign w:val="center"/>
          </w:tcPr>
          <w:p w14:paraId="29DA37E8" w14:textId="77777777" w:rsidR="00A619CA" w:rsidRPr="00CF02EB" w:rsidRDefault="00A619CA" w:rsidP="00491184">
            <w:pPr>
              <w:tabs>
                <w:tab w:val="center" w:pos="4513"/>
              </w:tabs>
              <w:rPr>
                <w:rFonts w:ascii="Garamond" w:hAnsi="Garamond"/>
                <w:sz w:val="20"/>
                <w:szCs w:val="20"/>
              </w:rPr>
            </w:pPr>
            <w:r w:rsidRPr="00CF02EB">
              <w:rPr>
                <w:rFonts w:ascii="Garamond" w:hAnsi="Garamond"/>
                <w:sz w:val="20"/>
                <w:szCs w:val="20"/>
              </w:rPr>
              <w:t>Medium</w:t>
            </w:r>
          </w:p>
        </w:tc>
        <w:tc>
          <w:tcPr>
            <w:tcW w:w="1530" w:type="dxa"/>
            <w:tcBorders>
              <w:bottom w:val="single" w:sz="4" w:space="0" w:color="auto"/>
            </w:tcBorders>
            <w:vAlign w:val="center"/>
          </w:tcPr>
          <w:p w14:paraId="339F8ABC" w14:textId="77777777" w:rsidR="00A619CA" w:rsidRPr="00CF02EB" w:rsidRDefault="00A619CA" w:rsidP="00491184">
            <w:pPr>
              <w:tabs>
                <w:tab w:val="center" w:pos="4513"/>
              </w:tabs>
              <w:rPr>
                <w:rFonts w:ascii="Garamond" w:hAnsi="Garamond"/>
                <w:sz w:val="20"/>
                <w:szCs w:val="20"/>
              </w:rPr>
            </w:pPr>
            <w:r>
              <w:rPr>
                <w:rFonts w:ascii="Garamond" w:hAnsi="Garamond"/>
                <w:sz w:val="20"/>
                <w:szCs w:val="20"/>
              </w:rPr>
              <w:t>High</w:t>
            </w:r>
          </w:p>
        </w:tc>
      </w:tr>
    </w:tbl>
    <w:p w14:paraId="56813E35" w14:textId="77777777" w:rsidR="00A619CA" w:rsidRDefault="00A619CA" w:rsidP="00A619CA">
      <w:pPr>
        <w:spacing w:after="0" w:line="240" w:lineRule="auto"/>
        <w:jc w:val="both"/>
        <w:rPr>
          <w:rFonts w:ascii="Garamond" w:hAnsi="Garamond"/>
          <w:sz w:val="20"/>
          <w:vertAlign w:val="superscript"/>
          <w:lang w:val="en-US"/>
        </w:rPr>
      </w:pPr>
    </w:p>
    <w:p w14:paraId="373C4A46" w14:textId="77777777" w:rsidR="00A619CA" w:rsidRDefault="00A619CA" w:rsidP="00A619CA">
      <w:pPr>
        <w:spacing w:after="0" w:line="240" w:lineRule="auto"/>
        <w:jc w:val="both"/>
        <w:rPr>
          <w:rFonts w:ascii="Garamond" w:hAnsi="Garamond"/>
          <w:i/>
          <w:sz w:val="20"/>
          <w:lang w:val="en-US"/>
        </w:rPr>
      </w:pPr>
      <w:r w:rsidRPr="00162459">
        <w:rPr>
          <w:rFonts w:ascii="Garamond" w:hAnsi="Garamond"/>
          <w:sz w:val="20"/>
          <w:vertAlign w:val="superscript"/>
          <w:lang w:val="en-US"/>
        </w:rPr>
        <w:t xml:space="preserve">1 </w:t>
      </w:r>
      <w:r>
        <w:rPr>
          <w:rFonts w:ascii="Garamond" w:hAnsi="Garamond"/>
          <w:sz w:val="20"/>
          <w:lang w:val="en-US"/>
        </w:rPr>
        <w:t>in th</w:t>
      </w:r>
      <w:r w:rsidR="00F23CF5">
        <w:rPr>
          <w:rFonts w:ascii="Garamond" w:hAnsi="Garamond"/>
          <w:sz w:val="20"/>
          <w:lang w:val="en-US"/>
        </w:rPr>
        <w:t>is work, it includes the species</w:t>
      </w:r>
      <w:r>
        <w:rPr>
          <w:rFonts w:ascii="Garamond" w:hAnsi="Garamond"/>
          <w:sz w:val="20"/>
          <w:lang w:val="en-US"/>
        </w:rPr>
        <w:t xml:space="preserve"> </w:t>
      </w:r>
      <w:r w:rsidRPr="00162459">
        <w:rPr>
          <w:rFonts w:ascii="Garamond" w:hAnsi="Garamond"/>
          <w:i/>
          <w:sz w:val="20"/>
          <w:lang w:val="en-US"/>
        </w:rPr>
        <w:t>A. armata</w:t>
      </w:r>
      <w:r w:rsidRPr="00162459">
        <w:rPr>
          <w:rFonts w:ascii="Garamond" w:hAnsi="Garamond"/>
          <w:sz w:val="20"/>
          <w:lang w:val="en-US"/>
        </w:rPr>
        <w:t xml:space="preserve"> and </w:t>
      </w:r>
      <w:r w:rsidRPr="00162459">
        <w:rPr>
          <w:rFonts w:ascii="Garamond" w:hAnsi="Garamond"/>
          <w:i/>
          <w:sz w:val="20"/>
          <w:lang w:val="en-US"/>
        </w:rPr>
        <w:t>A. hirsuta;</w:t>
      </w:r>
    </w:p>
    <w:p w14:paraId="1EFA4329" w14:textId="77777777" w:rsidR="00A619CA" w:rsidRDefault="00A619CA" w:rsidP="00A619CA">
      <w:pPr>
        <w:spacing w:after="0" w:line="240" w:lineRule="auto"/>
        <w:jc w:val="both"/>
        <w:rPr>
          <w:rFonts w:ascii="Garamond" w:hAnsi="Garamond"/>
          <w:sz w:val="20"/>
          <w:lang w:val="en-US"/>
        </w:rPr>
      </w:pPr>
      <w:r w:rsidRPr="00162459">
        <w:rPr>
          <w:rFonts w:ascii="Garamond" w:hAnsi="Garamond"/>
          <w:sz w:val="20"/>
          <w:vertAlign w:val="superscript"/>
          <w:lang w:val="en-US"/>
        </w:rPr>
        <w:t>2</w:t>
      </w:r>
      <w:r w:rsidRPr="00162459">
        <w:rPr>
          <w:rFonts w:ascii="Garamond" w:hAnsi="Garamond"/>
          <w:sz w:val="20"/>
          <w:lang w:val="en-US"/>
        </w:rPr>
        <w:t xml:space="preserve"> </w:t>
      </w:r>
      <w:r w:rsidR="00F23CF5">
        <w:rPr>
          <w:rFonts w:ascii="Garamond" w:hAnsi="Garamond"/>
          <w:sz w:val="20"/>
          <w:lang w:val="en-US"/>
        </w:rPr>
        <w:t xml:space="preserve">previously known as </w:t>
      </w:r>
      <w:r w:rsidR="00F23CF5" w:rsidRPr="00491184">
        <w:rPr>
          <w:rFonts w:ascii="Garamond" w:hAnsi="Garamond"/>
          <w:i/>
          <w:sz w:val="20"/>
          <w:lang w:val="en-US"/>
        </w:rPr>
        <w:t>Lophelia pertusa</w:t>
      </w:r>
      <w:r w:rsidR="00F23CF5">
        <w:rPr>
          <w:rFonts w:ascii="Garamond" w:hAnsi="Garamond"/>
          <w:sz w:val="20"/>
          <w:lang w:val="en-US"/>
        </w:rPr>
        <w:t xml:space="preserve">, it </w:t>
      </w:r>
      <w:r w:rsidR="00F23CF5" w:rsidRPr="00162459">
        <w:rPr>
          <w:rFonts w:ascii="Garamond" w:hAnsi="Garamond"/>
          <w:sz w:val="20"/>
          <w:lang w:val="en-US"/>
        </w:rPr>
        <w:t>result</w:t>
      </w:r>
      <w:r w:rsidR="00F23CF5">
        <w:rPr>
          <w:rFonts w:ascii="Garamond" w:hAnsi="Garamond"/>
          <w:sz w:val="20"/>
          <w:lang w:val="en-US"/>
        </w:rPr>
        <w:t>s</w:t>
      </w:r>
      <w:r w:rsidR="00F23CF5" w:rsidRPr="00162459">
        <w:rPr>
          <w:rFonts w:ascii="Garamond" w:hAnsi="Garamond"/>
          <w:sz w:val="20"/>
          <w:lang w:val="en-US"/>
        </w:rPr>
        <w:t xml:space="preserve"> from </w:t>
      </w:r>
      <w:r w:rsidR="00F23CF5">
        <w:rPr>
          <w:rFonts w:ascii="Garamond" w:hAnsi="Garamond"/>
          <w:sz w:val="20"/>
          <w:lang w:val="en-US"/>
        </w:rPr>
        <w:t>the</w:t>
      </w:r>
      <w:r w:rsidR="00F23CF5" w:rsidRPr="00162459">
        <w:rPr>
          <w:rFonts w:ascii="Garamond" w:hAnsi="Garamond"/>
          <w:sz w:val="20"/>
          <w:lang w:val="en-US"/>
        </w:rPr>
        <w:t xml:space="preserve"> recent </w:t>
      </w:r>
      <w:r w:rsidR="00F23CF5">
        <w:rPr>
          <w:rFonts w:ascii="Garamond" w:hAnsi="Garamond"/>
          <w:sz w:val="20"/>
          <w:lang w:val="en-US"/>
        </w:rPr>
        <w:t xml:space="preserve">ascription of the genus </w:t>
      </w:r>
      <w:r w:rsidR="00F23CF5" w:rsidRPr="00491184">
        <w:rPr>
          <w:rFonts w:ascii="Garamond" w:hAnsi="Garamond"/>
          <w:i/>
          <w:sz w:val="20"/>
          <w:lang w:val="en-US"/>
        </w:rPr>
        <w:t>Lophelia</w:t>
      </w:r>
      <w:r w:rsidR="00F23CF5">
        <w:rPr>
          <w:rFonts w:ascii="Garamond" w:hAnsi="Garamond"/>
          <w:sz w:val="20"/>
          <w:lang w:val="en-US"/>
        </w:rPr>
        <w:t xml:space="preserve"> and </w:t>
      </w:r>
      <w:r w:rsidR="00F23CF5" w:rsidRPr="00491184">
        <w:rPr>
          <w:rFonts w:ascii="Garamond" w:hAnsi="Garamond"/>
          <w:i/>
          <w:sz w:val="20"/>
          <w:lang w:val="en-US"/>
        </w:rPr>
        <w:t>Demophyllum</w:t>
      </w:r>
      <w:r w:rsidR="00F23CF5">
        <w:rPr>
          <w:rFonts w:ascii="Garamond" w:hAnsi="Garamond"/>
          <w:sz w:val="20"/>
          <w:lang w:val="en-US"/>
        </w:rPr>
        <w:t xml:space="preserve"> into the generic name </w:t>
      </w:r>
      <w:r w:rsidR="00F23CF5" w:rsidRPr="00162459">
        <w:rPr>
          <w:rFonts w:ascii="Garamond" w:hAnsi="Garamond"/>
          <w:i/>
          <w:sz w:val="20"/>
          <w:lang w:val="en-US"/>
        </w:rPr>
        <w:t>Desmophyllum</w:t>
      </w:r>
      <w:r w:rsidR="00F23CF5" w:rsidRPr="00162459">
        <w:rPr>
          <w:rFonts w:ascii="Garamond" w:hAnsi="Garamond"/>
          <w:sz w:val="20"/>
          <w:lang w:val="en-US"/>
        </w:rPr>
        <w:t xml:space="preserve"> </w:t>
      </w:r>
      <w:r w:rsidR="005E4E50">
        <w:rPr>
          <w:rFonts w:ascii="Garamond" w:hAnsi="Garamond"/>
          <w:sz w:val="20"/>
          <w:lang w:val="en-US"/>
        </w:rPr>
        <w:fldChar w:fldCharType="begin" w:fldLock="1"/>
      </w:r>
      <w:r w:rsidR="004F4AAD">
        <w:rPr>
          <w:rFonts w:ascii="Garamond" w:hAnsi="Garamond"/>
          <w:sz w:val="20"/>
          <w:lang w:val="en-US"/>
        </w:rPr>
        <w:instrText>ADDIN CSL_CITATION {"citationItems":[{"id":"ITEM-1","itemData":{"DOI":"10.1186/s12862-016-0654-8","ISSN":"1471-2148","PMID":"27193263","abstract":"Background: In recent years, several types of molecular markers and new microscale skeletal characters have shown potential as powerful tools for phylogenetic reconstructions and higher-level taxonomy of scleractinian corals. Nonetheless, discrimination of closely related taxa is still highly controversial in scleractinian coral research. Here we used newly sequenced complete mitochondrial genomes and 30 microsatellites to define the genetic divergence between two closely related azooxanthellate taxa of the family Caryophylliidae: solitary Desmophyllum dianthus and colonial Lophelia pertusa. Results: In the mitochondrial control region, an astonishing 99.8 % of nucleotides between L. pertusa and D. dianthus were identical. Variability of the mitochondrial genomes of the two species is represented by only 12 non-synonymous out of 19 total nucleotide substitutions. Microsatellite sequence (37 loci) analysis of L. pertusa and D. dianthus showed genetic similarity is about 97 %. Our results also indicated that L. pertusa and D. dianthus show high skeletal plasticity in corallum shape and similarity in skeletal ontogeny, micromorphological (septal and wall granulations) and microstructural characters (arrangement of rapid accretion deposits, thickening deposits). Conclusions: Molecularly and morphologically, the solitary Desmophyllum and the dendroid Lophelia appear to be significantly more similar to each other than other unambiguous coral genera analysed to date. This consequently leads to ascribe both taxa under the generic name Desmophyllum (priority by date of publication). Findings of this study demonstrate that coloniality may not be a robust taxonomic character in scleractinian corals.","author":[{"dropping-particle":"","family":"Addamo","given":"Anna Maria","non-dropping-particle":"","parse-names":false,"suffix":""},{"dropping-particle":"","family":"Vertino","given":"Agostina","non-dropping-particle":"","parse-names":false,"suffix":""},{"dropping-particle":"","family":"Stolarski","given":"Jaroslaw","non-dropping-particle":"","parse-names":false,"suffix":""},{"dropping-particle":"","family":"García-Jiménez","given":"Ricardo","non-dropping-particle":"","parse-names":false,"suffix":""},{"dropping-particle":"","family":"Taviani","given":"Marco","non-dropping-particle":"","parse-names":false,"suffix":""},{"dropping-particle":"","family":"Machordom","given":"Annie","non-dropping-particle":"","parse-names":false,"suffix":""}],"container-title":"BMC Evolutionary Biology","id":"ITEM-1","issue":"1","issued":{"date-parts":[["2016","12","18"]]},"page":"108","publisher":"BMC Evolutionary Biology","title":"Merging scleractinian genera: the overwhelming genetic similarity between solitary Desmophyllum and colonial Lophelia","type":"article-journal","volume":"16"},"prefix":"see ","uris":["http://www.mendeley.com/documents/?uuid=120c443e-731d-43bf-90b4-cb0a28b185bf"]}],"mendeley":{"formattedCitation":"(see Addamo et al., 2016)","plainTextFormattedCitation":"(see Addamo et al., 2016)","previouslyFormattedCitation":"(see Addamo et al., 2016)"},"properties":{"noteIndex":0},"schema":"https://github.com/citation-style-language/schema/raw/master/csl-citation.json"}</w:instrText>
      </w:r>
      <w:r w:rsidR="005E4E50">
        <w:rPr>
          <w:rFonts w:ascii="Garamond" w:hAnsi="Garamond"/>
          <w:sz w:val="20"/>
          <w:lang w:val="en-US"/>
        </w:rPr>
        <w:fldChar w:fldCharType="separate"/>
      </w:r>
      <w:r w:rsidR="005E4E50" w:rsidRPr="005E4E50">
        <w:rPr>
          <w:rFonts w:ascii="Garamond" w:hAnsi="Garamond"/>
          <w:noProof/>
          <w:sz w:val="20"/>
          <w:lang w:val="en-US"/>
        </w:rPr>
        <w:t>(see Addamo et al., 2016)</w:t>
      </w:r>
      <w:r w:rsidR="005E4E50">
        <w:rPr>
          <w:rFonts w:ascii="Garamond" w:hAnsi="Garamond"/>
          <w:sz w:val="20"/>
          <w:lang w:val="en-US"/>
        </w:rPr>
        <w:fldChar w:fldCharType="end"/>
      </w:r>
      <w:r w:rsidR="00F23CF5" w:rsidRPr="00162459">
        <w:rPr>
          <w:rFonts w:ascii="Garamond" w:hAnsi="Garamond"/>
          <w:sz w:val="20"/>
          <w:lang w:val="en-US"/>
        </w:rPr>
        <w:t>;</w:t>
      </w:r>
      <w:r w:rsidRPr="00162459">
        <w:rPr>
          <w:rFonts w:ascii="Garamond" w:hAnsi="Garamond"/>
          <w:sz w:val="20"/>
          <w:lang w:val="en-US"/>
        </w:rPr>
        <w:t xml:space="preserve"> </w:t>
      </w:r>
    </w:p>
    <w:p w14:paraId="01EF4CAC" w14:textId="77777777" w:rsidR="00A619CA" w:rsidRDefault="00A619CA" w:rsidP="00A619CA">
      <w:pPr>
        <w:spacing w:after="0" w:line="240" w:lineRule="auto"/>
        <w:jc w:val="both"/>
        <w:rPr>
          <w:rFonts w:ascii="Garamond" w:hAnsi="Garamond"/>
          <w:sz w:val="20"/>
          <w:lang w:val="en-US"/>
        </w:rPr>
      </w:pPr>
      <w:r w:rsidRPr="00162459">
        <w:rPr>
          <w:rFonts w:ascii="Garamond" w:hAnsi="Garamond"/>
          <w:sz w:val="20"/>
          <w:vertAlign w:val="superscript"/>
          <w:lang w:val="en-US"/>
        </w:rPr>
        <w:t>3</w:t>
      </w:r>
      <w:r w:rsidRPr="00162459">
        <w:rPr>
          <w:rFonts w:ascii="Garamond" w:hAnsi="Garamond"/>
          <w:sz w:val="20"/>
          <w:lang w:val="en-US"/>
        </w:rPr>
        <w:t xml:space="preserve"> </w:t>
      </w:r>
      <w:r w:rsidR="00F23CF5">
        <w:rPr>
          <w:rFonts w:ascii="Garamond" w:hAnsi="Garamond"/>
          <w:sz w:val="20"/>
          <w:lang w:val="en-US"/>
        </w:rPr>
        <w:t xml:space="preserve">in this work, it </w:t>
      </w:r>
      <w:r w:rsidR="00F23CF5" w:rsidRPr="00162459">
        <w:rPr>
          <w:rFonts w:ascii="Garamond" w:hAnsi="Garamond"/>
          <w:sz w:val="20"/>
          <w:lang w:val="en-US"/>
        </w:rPr>
        <w:t xml:space="preserve">includes </w:t>
      </w:r>
      <w:r w:rsidR="00F23CF5">
        <w:rPr>
          <w:rFonts w:ascii="Garamond" w:hAnsi="Garamond"/>
          <w:sz w:val="20"/>
          <w:lang w:val="en-US"/>
        </w:rPr>
        <w:t xml:space="preserve">the species </w:t>
      </w:r>
      <w:r w:rsidRPr="00162459">
        <w:rPr>
          <w:rFonts w:ascii="Garamond" w:hAnsi="Garamond"/>
          <w:i/>
          <w:sz w:val="20"/>
          <w:lang w:val="en-US"/>
        </w:rPr>
        <w:t>Pleurocorallium johnsoni</w:t>
      </w:r>
      <w:r w:rsidRPr="00162459">
        <w:rPr>
          <w:rFonts w:ascii="Garamond" w:hAnsi="Garamond"/>
          <w:sz w:val="20"/>
          <w:lang w:val="en-US"/>
        </w:rPr>
        <w:t xml:space="preserve">, </w:t>
      </w:r>
      <w:r w:rsidRPr="00162459">
        <w:rPr>
          <w:rFonts w:ascii="Garamond" w:hAnsi="Garamond"/>
          <w:i/>
          <w:sz w:val="20"/>
          <w:lang w:val="en-US"/>
        </w:rPr>
        <w:t>Hemicorallium niobe</w:t>
      </w:r>
      <w:r w:rsidRPr="00162459">
        <w:rPr>
          <w:rFonts w:ascii="Garamond" w:hAnsi="Garamond"/>
          <w:sz w:val="20"/>
          <w:lang w:val="en-US"/>
        </w:rPr>
        <w:t xml:space="preserve"> and </w:t>
      </w:r>
      <w:r w:rsidRPr="00162459">
        <w:rPr>
          <w:rFonts w:ascii="Garamond" w:hAnsi="Garamond"/>
          <w:i/>
          <w:sz w:val="20"/>
          <w:lang w:val="en-US"/>
        </w:rPr>
        <w:t>Hemicorallium tricolor</w:t>
      </w:r>
      <w:r w:rsidRPr="00162459">
        <w:rPr>
          <w:rFonts w:ascii="Garamond" w:hAnsi="Garamond"/>
          <w:sz w:val="20"/>
          <w:lang w:val="en-US"/>
        </w:rPr>
        <w:t>.</w:t>
      </w:r>
    </w:p>
    <w:p w14:paraId="545D0E9E" w14:textId="77777777" w:rsidR="006122DE" w:rsidRDefault="006122DE" w:rsidP="00A619CA">
      <w:pPr>
        <w:spacing w:after="0" w:line="240" w:lineRule="auto"/>
        <w:jc w:val="both"/>
        <w:rPr>
          <w:rFonts w:ascii="Garamond" w:hAnsi="Garamond"/>
          <w:sz w:val="20"/>
          <w:lang w:val="en-US"/>
        </w:rPr>
      </w:pPr>
    </w:p>
    <w:p w14:paraId="11069CB8" w14:textId="77777777" w:rsidR="006122DE" w:rsidRDefault="006122DE" w:rsidP="00A619CA">
      <w:pPr>
        <w:spacing w:after="0" w:line="240" w:lineRule="auto"/>
        <w:jc w:val="both"/>
        <w:rPr>
          <w:rFonts w:ascii="Garamond" w:hAnsi="Garamond"/>
          <w:sz w:val="20"/>
          <w:lang w:val="en-US"/>
        </w:rPr>
      </w:pPr>
    </w:p>
    <w:p w14:paraId="10A03D54" w14:textId="77777777" w:rsidR="00802BCB" w:rsidRDefault="00802BCB" w:rsidP="00802BCB">
      <w:pPr>
        <w:rPr>
          <w:rFonts w:ascii="Garamond" w:hAnsi="Garamond"/>
          <w:noProof/>
          <w:sz w:val="20"/>
          <w:szCs w:val="20"/>
          <w:lang w:val="en-US" w:eastAsia="pt-PT"/>
        </w:rPr>
      </w:pPr>
      <w:r w:rsidRPr="005E4E50">
        <w:rPr>
          <w:rFonts w:ascii="Garamond" w:hAnsi="Garamond"/>
          <w:noProof/>
          <w:sz w:val="20"/>
          <w:szCs w:val="20"/>
          <w:lang w:val="en-US" w:eastAsia="pt-PT"/>
        </w:rPr>
        <w:br w:type="page"/>
      </w:r>
    </w:p>
    <w:p w14:paraId="6E5D7F2A" w14:textId="77777777" w:rsidR="00802BCB" w:rsidRDefault="00802BCB" w:rsidP="00802BCB">
      <w:pPr>
        <w:rPr>
          <w:lang w:val="en-US"/>
        </w:rPr>
      </w:pPr>
      <w:r>
        <w:rPr>
          <w:noProof/>
          <w:lang w:eastAsia="pt-PT"/>
        </w:rPr>
        <w:lastRenderedPageBreak/>
        <w:drawing>
          <wp:inline distT="0" distB="0" distL="0" distR="0" wp14:anchorId="629933C7" wp14:editId="2A643D79">
            <wp:extent cx="5723668" cy="556704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9mapTmpl"/>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723668" cy="5567045"/>
                    </a:xfrm>
                    <a:prstGeom prst="rect">
                      <a:avLst/>
                    </a:prstGeom>
                    <a:noFill/>
                    <a:ln>
                      <a:noFill/>
                    </a:ln>
                  </pic:spPr>
                </pic:pic>
              </a:graphicData>
            </a:graphic>
          </wp:inline>
        </w:drawing>
      </w:r>
    </w:p>
    <w:p w14:paraId="13E466EF" w14:textId="0063527F" w:rsidR="00802BCB" w:rsidRPr="006543DB" w:rsidRDefault="00802BCB" w:rsidP="00802BCB">
      <w:pPr>
        <w:pStyle w:val="Heading2"/>
        <w:jc w:val="both"/>
        <w:rPr>
          <w:rFonts w:eastAsia="Times New Roman" w:cs="Calibri"/>
          <w:color w:val="C00000"/>
          <w:szCs w:val="20"/>
          <w:lang w:val="en-US" w:eastAsia="pt-PT"/>
        </w:rPr>
      </w:pPr>
      <w:bookmarkStart w:id="6" w:name="_Toc54969977"/>
      <w:bookmarkStart w:id="7" w:name="_Toc129787429"/>
      <w:r w:rsidRPr="00D22B5D">
        <w:rPr>
          <w:b/>
          <w:color w:val="auto"/>
          <w:szCs w:val="20"/>
          <w:lang w:val="en-US"/>
        </w:rPr>
        <w:t xml:space="preserve">Figure </w:t>
      </w:r>
      <w:r w:rsidR="006C4CD3">
        <w:rPr>
          <w:b/>
          <w:color w:val="auto"/>
          <w:szCs w:val="20"/>
          <w:lang w:val="en-US"/>
        </w:rPr>
        <w:t>A</w:t>
      </w:r>
      <w:r w:rsidRPr="00D22B5D">
        <w:rPr>
          <w:b/>
          <w:color w:val="auto"/>
          <w:szCs w:val="20"/>
          <w:lang w:val="en-US"/>
        </w:rPr>
        <w:t>.</w:t>
      </w:r>
      <w:r w:rsidR="00952EC2">
        <w:rPr>
          <w:b/>
          <w:color w:val="auto"/>
          <w:szCs w:val="20"/>
          <w:lang w:val="en-US"/>
        </w:rPr>
        <w:t>1</w:t>
      </w:r>
      <w:r w:rsidRPr="00DD3662">
        <w:rPr>
          <w:color w:val="auto"/>
          <w:szCs w:val="20"/>
          <w:lang w:val="en-US"/>
        </w:rPr>
        <w:t xml:space="preserve"> – Presence records of </w:t>
      </w:r>
      <w:r w:rsidRPr="00DD3662">
        <w:rPr>
          <w:color w:val="auto"/>
          <w:szCs w:val="20"/>
          <w:lang w:val="en-GB"/>
        </w:rPr>
        <w:t>the selected octocoral (Alcyonacea) taxa</w:t>
      </w:r>
      <w:r w:rsidRPr="00DD3662">
        <w:rPr>
          <w:color w:val="auto"/>
          <w:szCs w:val="20"/>
          <w:lang w:val="en-US"/>
        </w:rPr>
        <w:t xml:space="preserve">. </w:t>
      </w:r>
      <w:r w:rsidRPr="00146BC3">
        <w:rPr>
          <w:color w:val="auto"/>
          <w:szCs w:val="20"/>
        </w:rPr>
        <w:t xml:space="preserve">Suborders: </w:t>
      </w:r>
      <w:r w:rsidRPr="00146BC3">
        <w:rPr>
          <w:rFonts w:eastAsia="Times New Roman" w:cs="Calibri"/>
          <w:color w:val="auto"/>
          <w:szCs w:val="20"/>
          <w:lang w:eastAsia="pt-PT"/>
        </w:rPr>
        <w:t>(a-e) Calcaxonia; (f-g) Holaxonia; (h-i) Scleraxonia.</w:t>
      </w:r>
      <w:bookmarkEnd w:id="6"/>
      <w:r w:rsidRPr="00146BC3">
        <w:rPr>
          <w:rFonts w:eastAsia="Times New Roman" w:cs="Calibri"/>
          <w:color w:val="auto"/>
          <w:szCs w:val="20"/>
          <w:lang w:eastAsia="pt-PT"/>
        </w:rPr>
        <w:t xml:space="preserve"> </w:t>
      </w:r>
      <w:r w:rsidRPr="006543DB">
        <w:rPr>
          <w:rFonts w:eastAsia="Times New Roman" w:cs="Calibri"/>
          <w:color w:val="auto"/>
          <w:szCs w:val="20"/>
          <w:lang w:val="en-US" w:eastAsia="pt-PT"/>
        </w:rPr>
        <w:t xml:space="preserve">In parenthesis the number of records used to </w:t>
      </w:r>
      <w:r w:rsidR="00995BB1">
        <w:rPr>
          <w:rFonts w:eastAsia="Times New Roman" w:cs="Calibri"/>
          <w:color w:val="auto"/>
          <w:szCs w:val="20"/>
          <w:lang w:val="en-US" w:eastAsia="pt-PT"/>
        </w:rPr>
        <w:t>develop</w:t>
      </w:r>
      <w:r w:rsidRPr="006543DB">
        <w:rPr>
          <w:rFonts w:eastAsia="Times New Roman" w:cs="Calibri"/>
          <w:color w:val="auto"/>
          <w:szCs w:val="20"/>
          <w:lang w:val="en-US" w:eastAsia="pt-PT"/>
        </w:rPr>
        <w:t xml:space="preserve"> the habitat suitability models.</w:t>
      </w:r>
      <w:bookmarkEnd w:id="7"/>
    </w:p>
    <w:p w14:paraId="3C4D93A6" w14:textId="77777777" w:rsidR="00802BCB" w:rsidRPr="006543DB" w:rsidRDefault="00802BCB" w:rsidP="00802BCB">
      <w:pPr>
        <w:rPr>
          <w:rFonts w:ascii="Garamond" w:hAnsi="Garamond"/>
          <w:sz w:val="20"/>
          <w:szCs w:val="20"/>
          <w:lang w:val="en-US"/>
        </w:rPr>
      </w:pPr>
      <w:r w:rsidRPr="006543DB">
        <w:rPr>
          <w:rFonts w:ascii="Garamond" w:hAnsi="Garamond"/>
          <w:sz w:val="20"/>
          <w:szCs w:val="20"/>
          <w:lang w:val="en-US"/>
        </w:rPr>
        <w:br w:type="page"/>
      </w:r>
    </w:p>
    <w:p w14:paraId="07262352" w14:textId="77777777" w:rsidR="00802BCB" w:rsidRPr="00B718FC" w:rsidRDefault="00802BCB" w:rsidP="00802BCB">
      <w:pPr>
        <w:rPr>
          <w:rFonts w:ascii="Garamond" w:hAnsi="Garamond"/>
          <w:noProof/>
          <w:sz w:val="20"/>
          <w:szCs w:val="20"/>
          <w:lang w:val="en-US" w:eastAsia="pt-PT"/>
        </w:rPr>
      </w:pPr>
      <w:r>
        <w:rPr>
          <w:rFonts w:ascii="Garamond" w:hAnsi="Garamond"/>
          <w:noProof/>
          <w:sz w:val="20"/>
          <w:szCs w:val="20"/>
          <w:lang w:eastAsia="pt-PT"/>
        </w:rPr>
        <w:lastRenderedPageBreak/>
        <w:drawing>
          <wp:inline distT="0" distB="0" distL="0" distR="0" wp14:anchorId="62971F2D" wp14:editId="5A93E17B">
            <wp:extent cx="5726704" cy="3716020"/>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mapTmpl"/>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5726704" cy="3716020"/>
                    </a:xfrm>
                    <a:prstGeom prst="rect">
                      <a:avLst/>
                    </a:prstGeom>
                    <a:noFill/>
                    <a:ln>
                      <a:noFill/>
                    </a:ln>
                  </pic:spPr>
                </pic:pic>
              </a:graphicData>
            </a:graphic>
          </wp:inline>
        </w:drawing>
      </w:r>
    </w:p>
    <w:p w14:paraId="5D25B65D" w14:textId="780AA6A1" w:rsidR="00802BCB" w:rsidRPr="00DD3662" w:rsidRDefault="00802BCB" w:rsidP="00802BCB">
      <w:pPr>
        <w:pStyle w:val="Heading2"/>
        <w:jc w:val="both"/>
        <w:rPr>
          <w:color w:val="auto"/>
          <w:szCs w:val="20"/>
          <w:lang w:val="en-US"/>
        </w:rPr>
      </w:pPr>
      <w:bookmarkStart w:id="8" w:name="_Toc54969978"/>
      <w:bookmarkStart w:id="9" w:name="_Toc129787430"/>
      <w:r w:rsidRPr="00D22B5D">
        <w:rPr>
          <w:b/>
          <w:color w:val="auto"/>
          <w:szCs w:val="20"/>
          <w:lang w:val="en-US"/>
        </w:rPr>
        <w:t xml:space="preserve">Figure </w:t>
      </w:r>
      <w:r w:rsidR="006C4CD3">
        <w:rPr>
          <w:b/>
          <w:color w:val="auto"/>
          <w:szCs w:val="20"/>
          <w:lang w:val="en-US"/>
        </w:rPr>
        <w:t>A</w:t>
      </w:r>
      <w:r w:rsidR="00952EC2">
        <w:rPr>
          <w:b/>
          <w:color w:val="auto"/>
          <w:szCs w:val="20"/>
          <w:lang w:val="en-US"/>
        </w:rPr>
        <w:t>.2</w:t>
      </w:r>
      <w:r w:rsidR="00354E52">
        <w:rPr>
          <w:b/>
          <w:color w:val="auto"/>
          <w:szCs w:val="20"/>
          <w:lang w:val="en-US"/>
        </w:rPr>
        <w:t xml:space="preserve"> </w:t>
      </w:r>
      <w:r w:rsidRPr="00DD3662">
        <w:rPr>
          <w:color w:val="auto"/>
          <w:szCs w:val="20"/>
          <w:lang w:val="en-US"/>
        </w:rPr>
        <w:t>– Presence records of the selected Scleractinia (a-c), Anthoathecata (Stylasteridae) (d) and Antipatharia (e) species.</w:t>
      </w:r>
      <w:bookmarkEnd w:id="8"/>
      <w:r w:rsidRPr="006543DB">
        <w:rPr>
          <w:rFonts w:eastAsia="Times New Roman" w:cs="Calibri"/>
          <w:color w:val="auto"/>
          <w:szCs w:val="20"/>
          <w:lang w:val="en-US" w:eastAsia="pt-PT"/>
        </w:rPr>
        <w:t xml:space="preserve"> In parenthesis the of number records used to </w:t>
      </w:r>
      <w:r w:rsidR="00995BB1">
        <w:rPr>
          <w:rFonts w:eastAsia="Times New Roman" w:cs="Calibri"/>
          <w:color w:val="auto"/>
          <w:szCs w:val="20"/>
          <w:lang w:val="en-US" w:eastAsia="pt-PT"/>
        </w:rPr>
        <w:t>develop</w:t>
      </w:r>
      <w:r w:rsidR="00995BB1" w:rsidRPr="006543DB">
        <w:rPr>
          <w:rFonts w:eastAsia="Times New Roman" w:cs="Calibri"/>
          <w:color w:val="auto"/>
          <w:szCs w:val="20"/>
          <w:lang w:val="en-US" w:eastAsia="pt-PT"/>
        </w:rPr>
        <w:t xml:space="preserve"> </w:t>
      </w:r>
      <w:r w:rsidRPr="006543DB">
        <w:rPr>
          <w:rFonts w:eastAsia="Times New Roman" w:cs="Calibri"/>
          <w:color w:val="auto"/>
          <w:szCs w:val="20"/>
          <w:lang w:val="en-US" w:eastAsia="pt-PT"/>
        </w:rPr>
        <w:t>the habitat suitability models.</w:t>
      </w:r>
      <w:bookmarkEnd w:id="9"/>
    </w:p>
    <w:p w14:paraId="0AD1E2C2" w14:textId="77777777" w:rsidR="00802BCB" w:rsidRDefault="00802BCB" w:rsidP="00802BCB">
      <w:pPr>
        <w:rPr>
          <w:rFonts w:ascii="Garamond" w:hAnsi="Garamond"/>
          <w:sz w:val="20"/>
          <w:szCs w:val="20"/>
          <w:lang w:val="en-US"/>
        </w:rPr>
      </w:pPr>
      <w:r>
        <w:rPr>
          <w:rFonts w:ascii="Garamond" w:hAnsi="Garamond"/>
          <w:sz w:val="20"/>
          <w:szCs w:val="20"/>
          <w:lang w:val="en-US"/>
        </w:rPr>
        <w:br w:type="page"/>
      </w:r>
    </w:p>
    <w:p w14:paraId="30F4DF34" w14:textId="3322D41B" w:rsidR="00A2754D" w:rsidRPr="00F415FF" w:rsidRDefault="00A2754D" w:rsidP="00A2754D">
      <w:pPr>
        <w:pStyle w:val="Heading1"/>
        <w:rPr>
          <w:b/>
          <w:sz w:val="28"/>
          <w:szCs w:val="28"/>
          <w:lang w:val="en-US"/>
        </w:rPr>
      </w:pPr>
      <w:bookmarkStart w:id="10" w:name="_Toc129787431"/>
      <w:r>
        <w:rPr>
          <w:b/>
          <w:sz w:val="28"/>
          <w:szCs w:val="28"/>
          <w:lang w:val="en-US"/>
        </w:rPr>
        <w:lastRenderedPageBreak/>
        <w:t xml:space="preserve">Appendix </w:t>
      </w:r>
      <w:r w:rsidR="00A07125">
        <w:rPr>
          <w:b/>
          <w:sz w:val="28"/>
          <w:szCs w:val="28"/>
          <w:lang w:val="en-US"/>
        </w:rPr>
        <w:t>B</w:t>
      </w:r>
      <w:r>
        <w:rPr>
          <w:b/>
          <w:sz w:val="28"/>
          <w:szCs w:val="28"/>
          <w:lang w:val="en-US"/>
        </w:rPr>
        <w:t>.</w:t>
      </w:r>
      <w:r w:rsidRPr="00F415FF">
        <w:rPr>
          <w:b/>
          <w:sz w:val="28"/>
          <w:szCs w:val="28"/>
          <w:lang w:val="en-US"/>
        </w:rPr>
        <w:t xml:space="preserve"> </w:t>
      </w:r>
      <w:r>
        <w:rPr>
          <w:b/>
          <w:sz w:val="28"/>
          <w:szCs w:val="28"/>
          <w:lang w:val="en-US"/>
        </w:rPr>
        <w:t>Predictor layers</w:t>
      </w:r>
      <w:bookmarkEnd w:id="10"/>
    </w:p>
    <w:p w14:paraId="3D23A69B" w14:textId="77777777" w:rsidR="00A2754D" w:rsidRPr="00A2754D" w:rsidRDefault="00A2754D" w:rsidP="00935329">
      <w:pPr>
        <w:pStyle w:val="Caption"/>
        <w:keepNext/>
        <w:jc w:val="both"/>
        <w:rPr>
          <w:sz w:val="20"/>
          <w:szCs w:val="20"/>
          <w:lang w:val="en-US"/>
        </w:rPr>
      </w:pPr>
    </w:p>
    <w:p w14:paraId="1BBB648C" w14:textId="243BAB9B" w:rsidR="00935329" w:rsidRPr="004F625E" w:rsidRDefault="00935329" w:rsidP="004F625E">
      <w:pPr>
        <w:pStyle w:val="Heading2"/>
        <w:jc w:val="both"/>
      </w:pPr>
      <w:bookmarkStart w:id="11" w:name="_Toc129787432"/>
      <w:r w:rsidRPr="000130A1">
        <w:rPr>
          <w:rStyle w:val="Heading2Char"/>
          <w:b/>
          <w:lang w:val="en-US"/>
        </w:rPr>
        <w:t xml:space="preserve">Table </w:t>
      </w:r>
      <w:r w:rsidR="00A07125">
        <w:rPr>
          <w:rStyle w:val="Heading2Char"/>
          <w:b/>
          <w:lang w:val="en-US"/>
        </w:rPr>
        <w:t>B</w:t>
      </w:r>
      <w:r w:rsidR="008663AC" w:rsidRPr="000130A1">
        <w:rPr>
          <w:rStyle w:val="Heading2Char"/>
          <w:b/>
          <w:lang w:val="en-US"/>
        </w:rPr>
        <w:t>.1</w:t>
      </w:r>
      <w:r w:rsidRPr="000130A1">
        <w:rPr>
          <w:rStyle w:val="Heading2Char"/>
          <w:lang w:val="en-US"/>
        </w:rPr>
        <w:t xml:space="preserve"> –</w:t>
      </w:r>
      <w:r w:rsidRPr="000130A1">
        <w:rPr>
          <w:lang w:val="en-US"/>
        </w:rPr>
        <w:t xml:space="preserve"> </w:t>
      </w:r>
      <w:r w:rsidRPr="000130A1">
        <w:rPr>
          <w:noProof/>
          <w:lang w:val="en-US"/>
        </w:rPr>
        <w:t xml:space="preserve">Environmental layers considered in this study. </w:t>
      </w:r>
      <w:r w:rsidRPr="00406C56">
        <w:rPr>
          <w:noProof/>
          <w:lang w:val="en-US"/>
        </w:rPr>
        <w:t>The layers selected to develop habitat suitability models are highlighted in bold. Values of mean and standard deviation (SD) only consider areas shallower than 2000 m. (</w:t>
      </w:r>
      <w:r w:rsidRPr="00406C56">
        <w:rPr>
          <w:vertAlign w:val="superscript"/>
          <w:lang w:val="en-US"/>
        </w:rPr>
        <w:t>‡</w:t>
      </w:r>
      <w:r w:rsidRPr="00406C56">
        <w:rPr>
          <w:lang w:val="en-US"/>
        </w:rPr>
        <w:t xml:space="preserve">) Depth-derived layers computed in ArcGIS using the Benthic Terrain Modeller toolbox </w:t>
      </w:r>
      <w:r w:rsidRPr="004F625E">
        <w:rPr>
          <w:b/>
        </w:rPr>
        <w:fldChar w:fldCharType="begin" w:fldLock="1"/>
      </w:r>
      <w:r w:rsidRPr="00406C56">
        <w:rPr>
          <w:lang w:val="en-US"/>
        </w:rPr>
        <w:instrText>ADDIN CSL_CITATION {"citationItems":[{"id":"ITEM-1","itemData":{"DOI":"10.3390/geosciences8030094","ISSN":"2076-3263","abstract":"High resolution remotely sensed bathymetric data is rapidly increasing in volume, but analyzing this data requires a mastery of a complex toolchain of disparate software, including computing derived measurements of the environment. Bathymetric gradients play a fundamental role in energy transport through the seascape. Benthic Terrain Modeler (BTM) uses bathymetric data to enable simple characterization of benthic biotic communities and geologic types, and produces a collection of key geomorphological variables known to affect marine ecosystems and processes. BTM has received continual improvements since its 2008 release; here we describe the tools and morphometrics BTM can produce, the research context which this enables, and we conclude with an example application using data from a protected reef in St. Croix, US Virgin Islands.","author":[{"dropping-particle":"","family":"Walbridge","given":"Shaun","non-dropping-particle":"","parse-names":false,"suffix":""},{"dropping-particle":"","family":"Slocum","given":"Noah","non-dropping-particle":"","parse-names":false,"suffix":""},{"dropping-particle":"","family":"Pobuda","given":"Marjean","non-dropping-particle":"","parse-names":false,"suffix":""},{"dropping-particle":"","family":"Wright","given":"Dawn","non-dropping-particle":"","parse-names":false,"suffix":""}],"container-title":"Geosciences","id":"ITEM-1","issue":"3","issued":{"date-parts":[["2018","3","11"]]},"page":"94","title":"Unified Geomorphological Analysis Workflows with Benthic Terrain Modeler","type":"article-journal","volume":"8"},"uris":["http://www.mendeley.com/documents/?uuid=2769838e-0e64-4b3b-b788-145e1ba1cdf6"]}],"mendeley":{"formattedCitation":"(Walbridge et al., 2018)","plainTextFormattedCitation":"(Walbridge et al., 2018)","previouslyFormattedCitation":"(Walbridge et al., 2018)"},"properties":{"noteIndex":0},"schema":"https://github.com/citation-style-language/schema/raw/master/csl-citation.json"}</w:instrText>
      </w:r>
      <w:r w:rsidRPr="004F625E">
        <w:rPr>
          <w:b/>
        </w:rPr>
        <w:fldChar w:fldCharType="separate"/>
      </w:r>
      <w:r w:rsidRPr="00406C56">
        <w:rPr>
          <w:noProof/>
          <w:lang w:val="en-US"/>
        </w:rPr>
        <w:t>(Walbridge et al., 2018)</w:t>
      </w:r>
      <w:r w:rsidRPr="004F625E">
        <w:rPr>
          <w:b/>
        </w:rPr>
        <w:fldChar w:fldCharType="end"/>
      </w:r>
      <w:r w:rsidRPr="00406C56">
        <w:rPr>
          <w:lang w:val="en-US"/>
        </w:rPr>
        <w:t>. (</w:t>
      </w:r>
      <w:r w:rsidRPr="00406C56">
        <w:rPr>
          <w:vertAlign w:val="superscript"/>
          <w:lang w:val="en-US"/>
        </w:rPr>
        <w:t>†</w:t>
      </w:r>
      <w:r w:rsidRPr="00406C56">
        <w:rPr>
          <w:lang w:val="en-US"/>
        </w:rPr>
        <w:t xml:space="preserve">) Seafloor conditions derived from the VIKING20 oceanographic model computed as the mean of monthly values for the period 1989-2009 </w:t>
      </w:r>
      <w:r w:rsidRPr="004F625E">
        <w:rPr>
          <w:b/>
        </w:rPr>
        <w:fldChar w:fldCharType="begin" w:fldLock="1"/>
      </w:r>
      <w:r w:rsidRPr="00406C56">
        <w:rPr>
          <w:lang w:val="en-US"/>
        </w:rPr>
        <w:instrText>ADDIN CSL_CITATION {"citationItems":[{"id":"ITEM-1","itemData":{"DOI":"10.1038/ngeo2740","ISSN":"1752-0894","abstract":"© 2016 Macmillan Publishers Limited. The Greenland ice sheet has experienced increasing mass loss since the 1990s. The enhanced freshwater flux due to both surface melt and outlet glacier discharge is assuming an increasingly important role in the changing freshwater budget of the subarctic Atlantic. The sustained and increasing freshwater fluxes from Greenland to the surface ocean could lead to a suppression of deep winter convection in the Labrador Sea, with potential ramifications for the strength of the Atlantic meridional overturning circulation. Here we assess the impact of the increases in the freshwater fluxes, reconstructed with full spatial resolution, using a global ocean circulation model with a grid spacing fine enough to capture the small-scale, eddying transport processes in the subpolar North Atlantic. Our simulations suggest that the invasion of meltwater from the West Greenland shelf has initiated a gradual freshening trend at the surface of the Labrador Sea. Although the freshening is still smaller than the variability associated with the episodic â great salinity anomalies', the accumulation of meltwater may become large enough to progressively dampen the deep winter convection in the coming years. We conc</w:instrText>
      </w:r>
      <w:r w:rsidRPr="004F625E">
        <w:instrText>lude that the freshwater anomaly has not yet had a significant impact on the Atlantic meridional overturning circulation.","author":[{"dropping-particle":"","family":"Böning","given":"Claus W.","non-dropping-particle":"","parse-names":false,"suffix":""},{"dropping-particle":"","family":"Behrens","given":"Erik","non-dropping-particle":"","parse-names":false,"suffix":""},{"dropping-particle":"","family":"Biastoch","given":"Arne","non-dropping-particle":"","parse-names":false,"suffix":""},{"dropping-particle":"","family":"Getzlaff","given":"Klaus","non-dropping-particle":"","parse-names":false,"suffix":""},{"dropping-particle":"","family":"Bamber","given":"Jonathan L.","non-dropping-particle":"","parse-names":false,"suffix":""}],"container-title":"Nature Geoscience","id":"ITEM-1","issue":"7","issued":{"date-parts":[["2016","7","20"]]},"page":"523-527","title":"Emerging impact of Greenland meltwater on deepwater formation in the North Atlantic Ocean","type":"article-journal","volume":"9"},"uris":["http://www.mendeley.com/documents/?uuid=701b73f4-8641-4ecc-8550-8eaa5b09343e"]}],"mendeley":{"formattedCitation":"(Böning et al., 2016)","plainTextFormattedCitation":"(Böning et al., 2016)","previouslyFormattedCitation":"(Böning et al., 2016)"},"properties":{"noteIndex":0},"schema":"https://github.com/citation-style-language/schema/raw/master/csl-citation.json"}</w:instrText>
      </w:r>
      <w:r w:rsidRPr="004F625E">
        <w:rPr>
          <w:b/>
        </w:rPr>
        <w:fldChar w:fldCharType="separate"/>
      </w:r>
      <w:r w:rsidRPr="004F625E">
        <w:rPr>
          <w:noProof/>
        </w:rPr>
        <w:t>(Böning et al., 2016)</w:t>
      </w:r>
      <w:r w:rsidRPr="004F625E">
        <w:rPr>
          <w:b/>
        </w:rPr>
        <w:fldChar w:fldCharType="end"/>
      </w:r>
      <w:r w:rsidRPr="004F625E">
        <w:t xml:space="preserve">. All layers from Amorim et al. </w:t>
      </w:r>
      <w:r w:rsidRPr="004F625E">
        <w:rPr>
          <w:b/>
        </w:rPr>
        <w:fldChar w:fldCharType="begin" w:fldLock="1"/>
      </w:r>
      <w:r w:rsidRPr="004F625E">
        <w:instrText>ADDIN CSL_CITATION {"citationItems":[{"id":"ITEM-1","itemData":{"DOI":"10.3389/fmars.2017.00056","ISSN":"2296-7745","abstract":"Obtaining a comprehensive knowledge of the spatial and temporal variations of the environmental factors characterising the Azores region is essential for conservation and management purposes. Although many studies are available for the region, there is a need for a general overview of the best available information. Here, we assembled a comprehensive collection of environmental data and briefly described the ocean climatology and its variability in the Azores. Data sources used in this study included remote sensing oceanographic data for 2003-2013 (sea surface temperature, chlorophyll-a concentration, particulate inorganic carbon and particulate organic carbon), derived oceanographic data (primary productivity and North Atlantic oscillation index) for 2003-2013, and in situ data (temperature, salinity, oxygen, phosphate, nitrate and silicate) obtained from the World Ocean Atlas 2013. We have produced 78 geographic datasets of environmental data for the Azores region that were deposited at the World Data Center Pangaea and also made available at the SIGMAR Azores website. As with previous studies, our results confirmed a high spatial, seasonal and inter-annual variability of the marine environment in the Azores region, typical of mid latitudes. For example, lower sea surface temperature was found in the northern part of the study area coinciding with higher values for chlorophyll-a concentration, net primary production, and particulate organic and inorganic carbon. Higher values for some of these parameters were also found on island slopes and some seamounts. Compiled data on the environmental conditions at near-seabed revealed some notable variations across the study area (e.g. oxygen and nutrients) and with depth (e.g. temperature, salinity, and oxygen). Knowledge of these patterns will help improve our understanding of the distribution of many deep-sea organisms such as fish, cold-water corals and sponges, thereby supporting the implementation of marine spatial planning and other management measures. It should be noted, that the assembled datasets suffer from a number of limitations related to the accuracy of remote sensing and global bathymetry data, or to the limited and unevenly distributed historical environmental observations. Accordingly, an effective global network of observing systems for detecting oceanic change with adequate accuracy and precision is still required.","author":[{"dropping-particle":"","family":"Am</w:instrText>
      </w:r>
      <w:r w:rsidRPr="00406C56">
        <w:rPr>
          <w:lang w:val="en-US"/>
        </w:rPr>
        <w:instrText>orim","given":"Patrícia","non-dropping-particle":"","parse-names":false,"suffix":""},{"dropping-particle":"","family":"Perán","given":"António D.","non-dropping-particle":"","parse-names":false,"suffix":""},{"dropping-particle":"","family":"Pham","given":"Christopher K.","non-dropping-particle":"","parse-names":false,"suffix":""},{"dropping-particle":"","family":"Juliano","given":"Manuela","non-dropping-particle":"","parse-names":false,"suffix":""},{"dropping-particle":"","family":"Cardigos","given":"Frederico","non-dropping-particle":"","parse-names":false,"suffix":""},{"dropping-particle":"","family":"Tempera","given":"Fernando","non-dropping-particle":"","parse-names":false,"suffix":""},{"dropping-particle":"","family":"Morato","given":"Telmo","non-dropping-particle":"","parse-names":false,"suffix":""}],"container-title":"Frontiers in Marine Science","id":"ITEM-1","issue":"MAR","issued":{"date-parts":[["2017","3","7"]]},"page":"1-16","title":"Overview of the Ocean Climatology and Its Variability in the Azores Region of the North Atlantic Including Environmental Characteristics at the Seabed","type":"article-journal","volume":"4"},"suppress-author":1,"uris":["http://www.mendeley.com/documents/?uuid=fa8f8b3e-53e8-438b-86bf-1832b51f630a"]}],"mendeley":{"formattedCitation":"(2017)","plainTextFormattedCitation":"(2017)","previouslyFormattedCitation":"(2017)"},"properties":{"noteIndex":0},"schema":"https://github.com/citation-style-language/schema/raw/master/csl-citation.json"}</w:instrText>
      </w:r>
      <w:r w:rsidRPr="004F625E">
        <w:rPr>
          <w:b/>
        </w:rPr>
        <w:fldChar w:fldCharType="separate"/>
      </w:r>
      <w:r w:rsidRPr="00406C56">
        <w:rPr>
          <w:noProof/>
          <w:lang w:val="en-US"/>
        </w:rPr>
        <w:t>(2017)</w:t>
      </w:r>
      <w:r w:rsidRPr="004F625E">
        <w:rPr>
          <w:b/>
        </w:rPr>
        <w:fldChar w:fldCharType="end"/>
      </w:r>
      <w:r w:rsidRPr="00406C56">
        <w:rPr>
          <w:lang w:val="en-US"/>
        </w:rPr>
        <w:t xml:space="preserve">, </w:t>
      </w:r>
      <w:r w:rsidRPr="00406C56">
        <w:rPr>
          <w:noProof/>
          <w:lang w:val="en-US"/>
        </w:rPr>
        <w:t>Böning et al.</w:t>
      </w:r>
      <w:r w:rsidRPr="00406C56">
        <w:rPr>
          <w:lang w:val="en-US"/>
        </w:rPr>
        <w:t xml:space="preserve"> </w:t>
      </w:r>
      <w:r w:rsidRPr="004F625E">
        <w:rPr>
          <w:b/>
        </w:rPr>
        <w:fldChar w:fldCharType="begin" w:fldLock="1"/>
      </w:r>
      <w:r w:rsidRPr="00406C56">
        <w:rPr>
          <w:lang w:val="en-US"/>
        </w:rPr>
        <w:instrText>ADDIN CSL_CITATION {"citationItems":[{"id":"ITEM-1","itemData":{"DOI":"10.1038/ngeo2740","ISSN":"1752-0894","abstract":"© 2016 Macmillan Publishers Limited. The Greenland ice sheet has experienced increasing mass loss since the 1990s. The enhanced freshwater flux due to both surface melt and outlet glacier discharge is assuming an increasingly important role in the changing freshwater budget of the subarctic Atlantic. The sustained and increasing freshwater fluxes from Greenland to the surface ocean could lead to a suppression of deep winter convection in the Labrador Sea, with potential ramifications for the strength of the Atlantic meridional overturning circulation. Here we assess the impact of the increases in the freshwater fluxes, reconstructed with full spatial resolution, using a global ocean circulation model with a grid spacing fine enough to capture the small-scale, eddying transport processes in the subpolar North Atlantic. Our simulations suggest that the invasion of meltwater from the West Greenland shelf has initiated a gradual freshening trend at the surface of the Labrador Sea. Although the freshening is still smaller than the variability associated with the episodic â great salinity anomalies', the accumulation of meltwater may become large enough to progressively dampen the deep winter convection in the coming years. We conclude that the freshwater anomaly has not yet had a significant impact on the Atlantic meridional overturning circulation.","author":[{"dropping-particle":"","family":"Böning","given":"Claus W.","non-dropping-particle":"","parse-names":false,"suffix":""},{"dropping-particle":"","family":"Behrens","given":"Erik","non-dropping-particle":"","parse-names":false,"suffix":""},{"dropping-particle":"","family":"Biastoch","given":"Arne","non-dropping-particle":"","parse-names":false,"suffix":""},{"dropping-particle":"","family":"Getzlaff","given":"Klaus","non-dropping-particle":"","parse-names":false,"suffix":""},{"dropping-particle":"","family":"Bamber","given":"Jonathan L.","non-dropping-particle":"","parse-names":false,"suffix":""}],"container-title":"Nature Geoscience","id":"ITEM-1","issue":"7","issued":{"date-parts":[["2016","7","20"]]},"page":"523-527","title":"Emerging impact of Greenland meltwater on deepwater formation in the North Atlantic Ocean","type":"article-journal","volume":"9"},"suppress-author":1,"uris":["http://www.mendeley.com/documents/?uuid=701b73f4-8641-4ecc-8550-8eaa5b09343e"]}],"mendeley":{"formattedCitation":"(2016)","plainTextFormattedCitation":"(2016)","previouslyFormattedCitation":"(2016)"},"properties":{"noteIndex":0},"schema":"https://github.com/citation-style-language/schema/raw/master/csl-citation.json"}</w:instrText>
      </w:r>
      <w:r w:rsidRPr="004F625E">
        <w:rPr>
          <w:b/>
        </w:rPr>
        <w:fldChar w:fldCharType="separate"/>
      </w:r>
      <w:r w:rsidRPr="00406C56">
        <w:rPr>
          <w:noProof/>
          <w:lang w:val="en-US"/>
        </w:rPr>
        <w:t>(2016)</w:t>
      </w:r>
      <w:r w:rsidRPr="004F625E">
        <w:rPr>
          <w:b/>
        </w:rPr>
        <w:fldChar w:fldCharType="end"/>
      </w:r>
      <w:r w:rsidRPr="00406C56">
        <w:rPr>
          <w:lang w:val="en-US"/>
        </w:rPr>
        <w:t xml:space="preserve"> and </w:t>
      </w:r>
      <w:r w:rsidRPr="00406C56">
        <w:rPr>
          <w:noProof/>
          <w:lang w:val="en-US"/>
        </w:rPr>
        <w:t>Wei et al.</w:t>
      </w:r>
      <w:r w:rsidRPr="00406C56">
        <w:rPr>
          <w:lang w:val="en-US"/>
        </w:rPr>
        <w:t xml:space="preserve"> </w:t>
      </w:r>
      <w:r w:rsidRPr="004F625E">
        <w:rPr>
          <w:b/>
        </w:rPr>
        <w:fldChar w:fldCharType="begin" w:fldLock="1"/>
      </w:r>
      <w:r w:rsidR="008A7BE4" w:rsidRPr="00406C56">
        <w:rPr>
          <w:lang w:val="en-US"/>
        </w:rPr>
        <w:instrText>ADDIN CSL_CITATION {"citationItems":[{"id":"ITEM-1","itemData":{"DOI":"10.1594/PANGAEA.911117","author":[{"dropping-particle":"","family":"Wei","given":"Chih-Lin","non-dropping-particle":"","parse-names":false,"suffix":""},{"dropping-particle":"","family":"González</w:instrText>
      </w:r>
      <w:r w:rsidR="008A7BE4" w:rsidRPr="00406C56">
        <w:rPr>
          <w:rFonts w:ascii="Times New Roman" w:hAnsi="Times New Roman" w:cs="Times New Roman"/>
          <w:lang w:val="en-US"/>
        </w:rPr>
        <w:instrText>‐</w:instrText>
      </w:r>
      <w:r w:rsidR="008A7BE4" w:rsidRPr="00406C56">
        <w:rPr>
          <w:lang w:val="en-US"/>
        </w:rPr>
        <w:instrText>Irusta","given":"Jos</w:instrText>
      </w:r>
      <w:r w:rsidR="008A7BE4" w:rsidRPr="00406C56">
        <w:rPr>
          <w:rFonts w:cs="Garamond"/>
          <w:lang w:val="en-US"/>
        </w:rPr>
        <w:instrText>é</w:instrText>
      </w:r>
      <w:r w:rsidR="008A7BE4" w:rsidRPr="00406C56">
        <w:rPr>
          <w:rFonts w:ascii="Times New Roman" w:hAnsi="Times New Roman" w:cs="Times New Roman"/>
          <w:lang w:val="en-US"/>
        </w:rPr>
        <w:instrText>‐</w:instrText>
      </w:r>
      <w:r w:rsidR="008A7BE4" w:rsidRPr="00406C56">
        <w:rPr>
          <w:lang w:val="en-US"/>
        </w:rPr>
        <w:instrText>Manuel","non-dropping-particle":"","parse-names":false,"suffix":""},{"dropping-particle":"","family":"Dominguez</w:instrText>
      </w:r>
      <w:r w:rsidR="008A7BE4" w:rsidRPr="00406C56">
        <w:rPr>
          <w:rFonts w:ascii="Times New Roman" w:hAnsi="Times New Roman" w:cs="Times New Roman"/>
          <w:lang w:val="en-US"/>
        </w:rPr>
        <w:instrText>‐</w:instrText>
      </w:r>
      <w:r w:rsidR="008A7BE4" w:rsidRPr="00406C56">
        <w:rPr>
          <w:lang w:val="en-US"/>
        </w:rPr>
        <w:instrText>Carri</w:instrText>
      </w:r>
      <w:r w:rsidR="008A7BE4" w:rsidRPr="00406C56">
        <w:rPr>
          <w:rFonts w:cs="Garamond"/>
          <w:lang w:val="en-US"/>
        </w:rPr>
        <w:instrText>ó</w:instrText>
      </w:r>
      <w:r w:rsidR="008A7BE4" w:rsidRPr="00406C56">
        <w:rPr>
          <w:lang w:val="en-US"/>
        </w:rPr>
        <w:instrText>","given":"Carlos","non-dropping-particle":"","parse-names":false,"suffix":""},{"dropping-particle":"","family":"Morato","given":"Telmo","non-dropping-particle":"","parse-names":false,"suffix":""}],"container-title":"PANGEA","id":"ITEM-1","issued":{"date-parts":[["2020"]]},"title":"Set of terrain (static in time) and environmental (dynamic in time) variables used as candidate predictors of present-day (1951-2000) and future (2081-2100) suitable habitat of cold-water corals and deep-sea fishes in the North Atlantic","type":"report"},"suppress-author":1,"uris":["http://www.mendeley.com/documents/?uuid=de1e0449-e4d4-45da-9d01-e6fee4d5baa4"]}],"mendeley":{"formattedCitation":"(2020)","plainTextFormattedCitation":"(2020)","previouslyFormattedCitation":"(2020)"},"properties":{"noteIndex":0},"schema":"https://github.com/citation-style-language/schema/raw/master/csl-citation.json"}</w:instrText>
      </w:r>
      <w:r w:rsidRPr="004F625E">
        <w:rPr>
          <w:b/>
        </w:rPr>
        <w:fldChar w:fldCharType="separate"/>
      </w:r>
      <w:r w:rsidRPr="00406C56">
        <w:rPr>
          <w:noProof/>
          <w:lang w:val="en-US"/>
        </w:rPr>
        <w:t>(2020)</w:t>
      </w:r>
      <w:r w:rsidRPr="004F625E">
        <w:rPr>
          <w:b/>
        </w:rPr>
        <w:fldChar w:fldCharType="end"/>
      </w:r>
      <w:r w:rsidRPr="00406C56">
        <w:rPr>
          <w:lang w:val="en-US"/>
        </w:rPr>
        <w:t xml:space="preserve"> refer to seafloor conditions only. </w:t>
      </w:r>
      <w:r w:rsidRPr="004F625E">
        <w:t>BPI</w:t>
      </w:r>
      <w:r w:rsidR="00666717" w:rsidRPr="004F625E">
        <w:t>:</w:t>
      </w:r>
      <w:r w:rsidRPr="004F625E">
        <w:t xml:space="preserve"> bathymetric position index; POC</w:t>
      </w:r>
      <w:r w:rsidR="006D4469" w:rsidRPr="004F625E">
        <w:t>:</w:t>
      </w:r>
      <w:r w:rsidRPr="004F625E">
        <w:t xml:space="preserve"> particulate organic carbon.</w:t>
      </w:r>
      <w:bookmarkEnd w:id="11"/>
      <w:r w:rsidRPr="004F625E">
        <w:t xml:space="preserve">  </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2586"/>
        <w:gridCol w:w="1241"/>
        <w:gridCol w:w="1654"/>
        <w:gridCol w:w="1449"/>
        <w:gridCol w:w="2096"/>
      </w:tblGrid>
      <w:tr w:rsidR="00935329" w:rsidRPr="00C65517" w14:paraId="052F6996" w14:textId="77777777" w:rsidTr="00491184">
        <w:trPr>
          <w:trHeight w:val="432"/>
          <w:jc w:val="center"/>
        </w:trPr>
        <w:tc>
          <w:tcPr>
            <w:tcW w:w="2586" w:type="dxa"/>
            <w:tcBorders>
              <w:top w:val="single" w:sz="4" w:space="0" w:color="auto"/>
              <w:bottom w:val="single" w:sz="4" w:space="0" w:color="auto"/>
            </w:tcBorders>
            <w:shd w:val="clear" w:color="auto" w:fill="auto"/>
            <w:tcMar>
              <w:top w:w="58" w:type="dxa"/>
              <w:bottom w:w="58" w:type="dxa"/>
            </w:tcMar>
            <w:vAlign w:val="center"/>
          </w:tcPr>
          <w:p w14:paraId="7F0D1956" w14:textId="77777777" w:rsidR="004F625E" w:rsidRDefault="004F625E" w:rsidP="00491184">
            <w:pPr>
              <w:tabs>
                <w:tab w:val="center" w:pos="4513"/>
              </w:tabs>
              <w:rPr>
                <w:rFonts w:ascii="Garamond" w:hAnsi="Garamond"/>
                <w:b/>
                <w:sz w:val="20"/>
                <w:szCs w:val="20"/>
              </w:rPr>
            </w:pPr>
          </w:p>
          <w:p w14:paraId="3491E736" w14:textId="77777777" w:rsidR="00935329" w:rsidRPr="00C65517" w:rsidRDefault="00935329" w:rsidP="00491184">
            <w:pPr>
              <w:tabs>
                <w:tab w:val="center" w:pos="4513"/>
              </w:tabs>
              <w:rPr>
                <w:rFonts w:ascii="Garamond" w:hAnsi="Garamond"/>
                <w:b/>
                <w:sz w:val="20"/>
                <w:szCs w:val="20"/>
              </w:rPr>
            </w:pPr>
            <w:r w:rsidRPr="00C65517">
              <w:rPr>
                <w:rFonts w:ascii="Garamond" w:hAnsi="Garamond"/>
                <w:b/>
                <w:sz w:val="20"/>
                <w:szCs w:val="20"/>
              </w:rPr>
              <w:t>Available predictors</w:t>
            </w:r>
          </w:p>
        </w:tc>
        <w:tc>
          <w:tcPr>
            <w:tcW w:w="1241" w:type="dxa"/>
            <w:tcBorders>
              <w:top w:val="single" w:sz="4" w:space="0" w:color="auto"/>
              <w:bottom w:val="single" w:sz="4" w:space="0" w:color="auto"/>
            </w:tcBorders>
            <w:shd w:val="clear" w:color="auto" w:fill="auto"/>
            <w:vAlign w:val="center"/>
          </w:tcPr>
          <w:p w14:paraId="5C5FDCE8" w14:textId="77777777" w:rsidR="00935329" w:rsidRPr="00C65517" w:rsidRDefault="00935329" w:rsidP="00491184">
            <w:pPr>
              <w:tabs>
                <w:tab w:val="center" w:pos="4513"/>
              </w:tabs>
              <w:jc w:val="center"/>
              <w:rPr>
                <w:rFonts w:ascii="Garamond" w:hAnsi="Garamond"/>
                <w:b/>
                <w:sz w:val="20"/>
                <w:szCs w:val="20"/>
              </w:rPr>
            </w:pPr>
            <w:r w:rsidRPr="00C65517">
              <w:rPr>
                <w:rFonts w:ascii="Garamond" w:hAnsi="Garamond"/>
                <w:b/>
                <w:sz w:val="20"/>
                <w:szCs w:val="20"/>
              </w:rPr>
              <w:t>Original resolution</w:t>
            </w:r>
          </w:p>
        </w:tc>
        <w:tc>
          <w:tcPr>
            <w:tcW w:w="1654" w:type="dxa"/>
            <w:tcBorders>
              <w:top w:val="single" w:sz="4" w:space="0" w:color="auto"/>
              <w:bottom w:val="single" w:sz="4" w:space="0" w:color="auto"/>
            </w:tcBorders>
            <w:shd w:val="clear" w:color="auto" w:fill="auto"/>
            <w:vAlign w:val="center"/>
          </w:tcPr>
          <w:p w14:paraId="64AA8566" w14:textId="77777777" w:rsidR="00935329" w:rsidRPr="00C65517" w:rsidRDefault="00935329" w:rsidP="00491184">
            <w:pPr>
              <w:tabs>
                <w:tab w:val="center" w:pos="4513"/>
              </w:tabs>
              <w:jc w:val="center"/>
              <w:rPr>
                <w:rFonts w:ascii="Garamond" w:hAnsi="Garamond"/>
                <w:b/>
                <w:sz w:val="20"/>
                <w:szCs w:val="20"/>
              </w:rPr>
            </w:pPr>
            <w:r w:rsidRPr="00C65517">
              <w:rPr>
                <w:rFonts w:ascii="Garamond" w:hAnsi="Garamond"/>
                <w:b/>
                <w:sz w:val="20"/>
                <w:szCs w:val="20"/>
              </w:rPr>
              <w:t>Mean and SD</w:t>
            </w:r>
          </w:p>
        </w:tc>
        <w:tc>
          <w:tcPr>
            <w:tcW w:w="1449" w:type="dxa"/>
            <w:tcBorders>
              <w:top w:val="single" w:sz="4" w:space="0" w:color="auto"/>
              <w:bottom w:val="single" w:sz="4" w:space="0" w:color="auto"/>
            </w:tcBorders>
            <w:vAlign w:val="center"/>
          </w:tcPr>
          <w:p w14:paraId="7CCC8114" w14:textId="77777777" w:rsidR="00935329" w:rsidRPr="00C65517" w:rsidRDefault="00935329" w:rsidP="00491184">
            <w:pPr>
              <w:tabs>
                <w:tab w:val="center" w:pos="4513"/>
              </w:tabs>
              <w:jc w:val="center"/>
              <w:rPr>
                <w:rFonts w:ascii="Garamond" w:hAnsi="Garamond"/>
                <w:b/>
                <w:sz w:val="20"/>
                <w:szCs w:val="20"/>
              </w:rPr>
            </w:pPr>
            <w:r w:rsidRPr="00C65517">
              <w:rPr>
                <w:rFonts w:ascii="Garamond" w:hAnsi="Garamond"/>
                <w:b/>
                <w:sz w:val="20"/>
                <w:szCs w:val="20"/>
              </w:rPr>
              <w:t>Units</w:t>
            </w:r>
          </w:p>
        </w:tc>
        <w:tc>
          <w:tcPr>
            <w:tcW w:w="2096" w:type="dxa"/>
            <w:tcBorders>
              <w:top w:val="single" w:sz="4" w:space="0" w:color="auto"/>
              <w:bottom w:val="single" w:sz="4" w:space="0" w:color="auto"/>
            </w:tcBorders>
            <w:vAlign w:val="center"/>
          </w:tcPr>
          <w:p w14:paraId="4C80D31A" w14:textId="77777777" w:rsidR="00935329" w:rsidRPr="00C65517" w:rsidRDefault="00935329" w:rsidP="00491184">
            <w:pPr>
              <w:tabs>
                <w:tab w:val="center" w:pos="4513"/>
              </w:tabs>
              <w:jc w:val="center"/>
              <w:rPr>
                <w:rFonts w:ascii="Garamond" w:hAnsi="Garamond"/>
                <w:b/>
                <w:sz w:val="20"/>
                <w:szCs w:val="20"/>
              </w:rPr>
            </w:pPr>
            <w:r w:rsidRPr="00C65517">
              <w:rPr>
                <w:rFonts w:ascii="Garamond" w:hAnsi="Garamond"/>
                <w:b/>
                <w:sz w:val="20"/>
                <w:szCs w:val="20"/>
              </w:rPr>
              <w:t>Source</w:t>
            </w:r>
          </w:p>
        </w:tc>
      </w:tr>
      <w:tr w:rsidR="00935329" w:rsidRPr="00C65517" w14:paraId="280D5C2C" w14:textId="77777777" w:rsidTr="00491184">
        <w:trPr>
          <w:trHeight w:val="360"/>
          <w:jc w:val="center"/>
        </w:trPr>
        <w:tc>
          <w:tcPr>
            <w:tcW w:w="2586" w:type="dxa"/>
            <w:tcBorders>
              <w:top w:val="single" w:sz="4" w:space="0" w:color="auto"/>
            </w:tcBorders>
            <w:tcMar>
              <w:top w:w="72" w:type="dxa"/>
              <w:left w:w="72" w:type="dxa"/>
              <w:right w:w="72" w:type="dxa"/>
            </w:tcMar>
            <w:vAlign w:val="center"/>
          </w:tcPr>
          <w:p w14:paraId="06F24A81" w14:textId="77777777" w:rsidR="00935329" w:rsidRPr="00C65517" w:rsidRDefault="00935329" w:rsidP="00491184">
            <w:pPr>
              <w:tabs>
                <w:tab w:val="center" w:pos="4513"/>
              </w:tabs>
              <w:rPr>
                <w:rFonts w:ascii="Garamond" w:hAnsi="Garamond"/>
                <w:sz w:val="20"/>
                <w:szCs w:val="20"/>
              </w:rPr>
            </w:pPr>
            <w:r w:rsidRPr="00C65517">
              <w:rPr>
                <w:rFonts w:ascii="Garamond" w:hAnsi="Garamond"/>
                <w:sz w:val="20"/>
                <w:szCs w:val="20"/>
              </w:rPr>
              <w:t>Depth</w:t>
            </w:r>
          </w:p>
        </w:tc>
        <w:tc>
          <w:tcPr>
            <w:tcW w:w="1241" w:type="dxa"/>
            <w:tcBorders>
              <w:top w:val="single" w:sz="4" w:space="0" w:color="auto"/>
            </w:tcBorders>
            <w:tcMar>
              <w:top w:w="72" w:type="dxa"/>
              <w:left w:w="72" w:type="dxa"/>
              <w:right w:w="72" w:type="dxa"/>
            </w:tcMar>
            <w:vAlign w:val="center"/>
          </w:tcPr>
          <w:p w14:paraId="1820F462"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115 m</w:t>
            </w:r>
          </w:p>
        </w:tc>
        <w:tc>
          <w:tcPr>
            <w:tcW w:w="1654" w:type="dxa"/>
            <w:tcBorders>
              <w:top w:val="single" w:sz="4" w:space="0" w:color="auto"/>
            </w:tcBorders>
            <w:tcMar>
              <w:top w:w="72" w:type="dxa"/>
              <w:left w:w="72" w:type="dxa"/>
              <w:right w:w="72" w:type="dxa"/>
            </w:tcMar>
            <w:vAlign w:val="center"/>
          </w:tcPr>
          <w:p w14:paraId="434C0BF3"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1507 ± 415</w:t>
            </w:r>
          </w:p>
        </w:tc>
        <w:tc>
          <w:tcPr>
            <w:tcW w:w="1449" w:type="dxa"/>
            <w:tcBorders>
              <w:top w:val="single" w:sz="4" w:space="0" w:color="auto"/>
            </w:tcBorders>
            <w:vAlign w:val="center"/>
          </w:tcPr>
          <w:p w14:paraId="57733388"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m</w:t>
            </w:r>
          </w:p>
        </w:tc>
        <w:tc>
          <w:tcPr>
            <w:tcW w:w="2096" w:type="dxa"/>
            <w:tcBorders>
              <w:top w:val="single" w:sz="4" w:space="0" w:color="auto"/>
            </w:tcBorders>
            <w:vAlign w:val="center"/>
          </w:tcPr>
          <w:p w14:paraId="798CC278"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fldChar w:fldCharType="begin" w:fldLock="1"/>
            </w:r>
            <w:r>
              <w:rPr>
                <w:rFonts w:ascii="Garamond" w:hAnsi="Garamond"/>
                <w:sz w:val="20"/>
                <w:szCs w:val="20"/>
              </w:rPr>
              <w:instrText>ADDIN CSL_CITATION {"citationItems":[{"id":"ITEM-1","itemData":{"DOI":"10.12770/18ff0d48-b203-4a65-94a9-5fd8b0ec35f6","author":[{"dropping-particle":"","family":"EMODnet","given":"","non-dropping-particle":"","parse-names":false,"suffix":""}],"id":"ITEM-1","issued":{"date-parts":[["2018"]]},"publisher":"EMODnet Bathymetry Consortium","title":"EMODnet Digital Bathymetry (DTM 2018)","type":"article"},"uris":["http://www.mendeley.com/documents/?uuid=30d4f205-6623-4b15-88e3-3fb01f84627b"]}],"mendeley":{"formattedCitation":"(EMODnet, 2018)","manualFormatting":"EMODnet, 2018","plainTextFormattedCitation":"(EMODnet, 2018)","previouslyFormattedCitation":"(EMODnet, 2018)"},"properties":{"noteIndex":0},"schema":"https://github.com/citation-style-language/schema/raw/master/csl-citation.json"}</w:instrText>
            </w:r>
            <w:r w:rsidRPr="00C65517">
              <w:rPr>
                <w:rFonts w:ascii="Garamond" w:hAnsi="Garamond"/>
                <w:sz w:val="20"/>
                <w:szCs w:val="20"/>
              </w:rPr>
              <w:fldChar w:fldCharType="separate"/>
            </w:r>
            <w:r w:rsidRPr="00C65517">
              <w:rPr>
                <w:rFonts w:ascii="Garamond" w:hAnsi="Garamond"/>
                <w:noProof/>
                <w:sz w:val="20"/>
                <w:szCs w:val="20"/>
              </w:rPr>
              <w:t>EMODnet, 2018</w:t>
            </w:r>
            <w:r w:rsidRPr="00C65517">
              <w:rPr>
                <w:rFonts w:ascii="Garamond" w:hAnsi="Garamond"/>
                <w:sz w:val="20"/>
                <w:szCs w:val="20"/>
              </w:rPr>
              <w:fldChar w:fldCharType="end"/>
            </w:r>
          </w:p>
        </w:tc>
      </w:tr>
      <w:tr w:rsidR="00935329" w:rsidRPr="00C65517" w14:paraId="2282D740" w14:textId="77777777" w:rsidTr="00491184">
        <w:trPr>
          <w:trHeight w:val="360"/>
          <w:jc w:val="center"/>
        </w:trPr>
        <w:tc>
          <w:tcPr>
            <w:tcW w:w="2586" w:type="dxa"/>
            <w:tcMar>
              <w:top w:w="72" w:type="dxa"/>
              <w:left w:w="72" w:type="dxa"/>
              <w:right w:w="72" w:type="dxa"/>
            </w:tcMar>
            <w:vAlign w:val="center"/>
          </w:tcPr>
          <w:p w14:paraId="2395D116" w14:textId="77777777" w:rsidR="00935329" w:rsidRPr="00C65517" w:rsidRDefault="00935329" w:rsidP="00326D50">
            <w:pPr>
              <w:tabs>
                <w:tab w:val="center" w:pos="4513"/>
              </w:tabs>
              <w:rPr>
                <w:rFonts w:ascii="Garamond" w:hAnsi="Garamond"/>
                <w:b/>
                <w:i/>
                <w:sz w:val="20"/>
                <w:szCs w:val="20"/>
              </w:rPr>
            </w:pPr>
            <w:r w:rsidRPr="00C65517">
              <w:rPr>
                <w:rFonts w:ascii="Garamond" w:hAnsi="Garamond"/>
                <w:b/>
                <w:sz w:val="20"/>
                <w:szCs w:val="20"/>
              </w:rPr>
              <w:t>BPI</w:t>
            </w:r>
            <w:r w:rsidR="00326D50">
              <w:rPr>
                <w:rFonts w:ascii="Garamond" w:hAnsi="Garamond"/>
                <w:b/>
                <w:sz w:val="20"/>
                <w:szCs w:val="20"/>
              </w:rPr>
              <w:t>_</w:t>
            </w:r>
            <w:r>
              <w:rPr>
                <w:rFonts w:ascii="Garamond" w:hAnsi="Garamond"/>
                <w:b/>
                <w:sz w:val="20"/>
                <w:szCs w:val="20"/>
              </w:rPr>
              <w:t>5</w:t>
            </w:r>
            <w:r w:rsidR="00326D50">
              <w:rPr>
                <w:rFonts w:ascii="Garamond" w:hAnsi="Garamond"/>
                <w:b/>
                <w:sz w:val="20"/>
                <w:szCs w:val="20"/>
              </w:rPr>
              <w:t>km</w:t>
            </w:r>
            <w:r w:rsidRPr="00C65517">
              <w:rPr>
                <w:rFonts w:ascii="Garamond" w:hAnsi="Garamond"/>
                <w:b/>
                <w:sz w:val="20"/>
                <w:szCs w:val="20"/>
              </w:rPr>
              <w:t xml:space="preserve"> (5 km radius)</w:t>
            </w:r>
            <w:r w:rsidRPr="00C65517">
              <w:rPr>
                <w:rFonts w:ascii="Garamond" w:hAnsi="Garamond"/>
                <w:sz w:val="20"/>
                <w:szCs w:val="20"/>
                <w:vertAlign w:val="superscript"/>
              </w:rPr>
              <w:t>‡</w:t>
            </w:r>
          </w:p>
        </w:tc>
        <w:tc>
          <w:tcPr>
            <w:tcW w:w="1241" w:type="dxa"/>
            <w:tcMar>
              <w:top w:w="72" w:type="dxa"/>
              <w:left w:w="72" w:type="dxa"/>
              <w:right w:w="72" w:type="dxa"/>
            </w:tcMar>
            <w:vAlign w:val="center"/>
          </w:tcPr>
          <w:p w14:paraId="45830F4F" w14:textId="77777777" w:rsidR="00935329" w:rsidRPr="00C65517" w:rsidRDefault="00935329" w:rsidP="00491184">
            <w:pPr>
              <w:tabs>
                <w:tab w:val="center" w:pos="4513"/>
              </w:tabs>
              <w:jc w:val="center"/>
              <w:rPr>
                <w:rFonts w:ascii="Garamond" w:hAnsi="Garamond"/>
                <w:b/>
                <w:sz w:val="20"/>
                <w:szCs w:val="20"/>
              </w:rPr>
            </w:pPr>
            <w:r w:rsidRPr="00C65517">
              <w:rPr>
                <w:rFonts w:ascii="Garamond" w:hAnsi="Garamond"/>
                <w:sz w:val="20"/>
                <w:szCs w:val="20"/>
              </w:rPr>
              <w:t>115 m</w:t>
            </w:r>
          </w:p>
        </w:tc>
        <w:tc>
          <w:tcPr>
            <w:tcW w:w="1654" w:type="dxa"/>
            <w:tcMar>
              <w:top w:w="72" w:type="dxa"/>
              <w:left w:w="72" w:type="dxa"/>
              <w:right w:w="72" w:type="dxa"/>
            </w:tcMar>
            <w:vAlign w:val="center"/>
          </w:tcPr>
          <w:p w14:paraId="4FEF2D21" w14:textId="77777777" w:rsidR="00935329" w:rsidRPr="00C65517" w:rsidRDefault="00935329" w:rsidP="00491184">
            <w:pPr>
              <w:tabs>
                <w:tab w:val="center" w:pos="4513"/>
              </w:tabs>
              <w:jc w:val="center"/>
              <w:rPr>
                <w:rFonts w:ascii="Garamond" w:hAnsi="Garamond"/>
                <w:sz w:val="20"/>
                <w:szCs w:val="20"/>
              </w:rPr>
            </w:pPr>
            <w:r>
              <w:rPr>
                <w:rFonts w:ascii="Garamond" w:hAnsi="Garamond"/>
                <w:sz w:val="20"/>
                <w:szCs w:val="20"/>
              </w:rPr>
              <w:t>29.6</w:t>
            </w:r>
            <w:r w:rsidRPr="00C65517">
              <w:rPr>
                <w:rFonts w:ascii="Garamond" w:hAnsi="Garamond"/>
                <w:sz w:val="20"/>
                <w:szCs w:val="20"/>
              </w:rPr>
              <w:t xml:space="preserve"> ± </w:t>
            </w:r>
            <w:r>
              <w:rPr>
                <w:rFonts w:ascii="Garamond" w:hAnsi="Garamond"/>
                <w:sz w:val="20"/>
                <w:szCs w:val="20"/>
              </w:rPr>
              <w:t>107.5</w:t>
            </w:r>
          </w:p>
        </w:tc>
        <w:tc>
          <w:tcPr>
            <w:tcW w:w="1449" w:type="dxa"/>
            <w:vAlign w:val="center"/>
          </w:tcPr>
          <w:p w14:paraId="25A32641"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w:t>
            </w:r>
          </w:p>
        </w:tc>
        <w:tc>
          <w:tcPr>
            <w:tcW w:w="2096" w:type="dxa"/>
            <w:vAlign w:val="center"/>
          </w:tcPr>
          <w:p w14:paraId="7EFF483A" w14:textId="77777777" w:rsidR="00935329" w:rsidRPr="00C65517" w:rsidRDefault="00935329" w:rsidP="00491184">
            <w:pPr>
              <w:tabs>
                <w:tab w:val="center" w:pos="4513"/>
              </w:tabs>
              <w:jc w:val="center"/>
              <w:rPr>
                <w:rFonts w:ascii="Garamond" w:hAnsi="Garamond"/>
                <w:sz w:val="20"/>
                <w:szCs w:val="20"/>
              </w:rPr>
            </w:pPr>
            <w:r>
              <w:rPr>
                <w:rFonts w:ascii="Garamond" w:hAnsi="Garamond"/>
                <w:sz w:val="20"/>
                <w:szCs w:val="20"/>
              </w:rPr>
              <w:t>Derived from depth</w:t>
            </w:r>
          </w:p>
        </w:tc>
      </w:tr>
      <w:tr w:rsidR="00935329" w:rsidRPr="00C65517" w14:paraId="0950DBEA" w14:textId="77777777" w:rsidTr="00491184">
        <w:trPr>
          <w:trHeight w:val="360"/>
          <w:jc w:val="center"/>
        </w:trPr>
        <w:tc>
          <w:tcPr>
            <w:tcW w:w="2586" w:type="dxa"/>
            <w:tcMar>
              <w:top w:w="43" w:type="dxa"/>
              <w:left w:w="72" w:type="dxa"/>
              <w:right w:w="72" w:type="dxa"/>
            </w:tcMar>
            <w:vAlign w:val="center"/>
          </w:tcPr>
          <w:p w14:paraId="10888799" w14:textId="77777777" w:rsidR="00935329" w:rsidRPr="00C65517" w:rsidRDefault="00935329" w:rsidP="00326D50">
            <w:pPr>
              <w:tabs>
                <w:tab w:val="center" w:pos="4513"/>
              </w:tabs>
              <w:rPr>
                <w:rFonts w:ascii="Garamond" w:hAnsi="Garamond"/>
                <w:b/>
                <w:sz w:val="20"/>
                <w:szCs w:val="20"/>
              </w:rPr>
            </w:pPr>
            <w:r w:rsidRPr="00C65517">
              <w:rPr>
                <w:rFonts w:ascii="Garamond" w:hAnsi="Garamond"/>
                <w:b/>
                <w:sz w:val="20"/>
                <w:szCs w:val="20"/>
              </w:rPr>
              <w:t>BPI</w:t>
            </w:r>
            <w:r w:rsidR="00326D50">
              <w:rPr>
                <w:rFonts w:ascii="Garamond" w:hAnsi="Garamond"/>
                <w:b/>
                <w:sz w:val="20"/>
                <w:szCs w:val="20"/>
              </w:rPr>
              <w:t>_</w:t>
            </w:r>
            <w:r>
              <w:rPr>
                <w:rFonts w:ascii="Garamond" w:hAnsi="Garamond"/>
                <w:b/>
                <w:sz w:val="20"/>
                <w:szCs w:val="20"/>
              </w:rPr>
              <w:t>20</w:t>
            </w:r>
            <w:r w:rsidR="00326D50">
              <w:rPr>
                <w:rFonts w:ascii="Garamond" w:hAnsi="Garamond"/>
                <w:b/>
                <w:sz w:val="20"/>
                <w:szCs w:val="20"/>
              </w:rPr>
              <w:t>km</w:t>
            </w:r>
            <w:r>
              <w:rPr>
                <w:rFonts w:ascii="Garamond" w:hAnsi="Garamond"/>
                <w:b/>
                <w:sz w:val="20"/>
                <w:szCs w:val="20"/>
              </w:rPr>
              <w:t xml:space="preserve"> </w:t>
            </w:r>
            <w:r w:rsidRPr="00C65517">
              <w:rPr>
                <w:rFonts w:ascii="Garamond" w:hAnsi="Garamond"/>
                <w:b/>
                <w:sz w:val="20"/>
                <w:szCs w:val="20"/>
              </w:rPr>
              <w:t>(20 km radius)</w:t>
            </w:r>
            <w:r w:rsidRPr="00C65517">
              <w:rPr>
                <w:rFonts w:ascii="Garamond" w:hAnsi="Garamond"/>
                <w:b/>
                <w:sz w:val="20"/>
                <w:szCs w:val="20"/>
                <w:vertAlign w:val="superscript"/>
              </w:rPr>
              <w:t xml:space="preserve"> </w:t>
            </w:r>
            <w:r w:rsidRPr="00C65517">
              <w:rPr>
                <w:rFonts w:ascii="Garamond" w:hAnsi="Garamond"/>
                <w:sz w:val="20"/>
                <w:szCs w:val="20"/>
                <w:vertAlign w:val="superscript"/>
              </w:rPr>
              <w:t>‡</w:t>
            </w:r>
          </w:p>
        </w:tc>
        <w:tc>
          <w:tcPr>
            <w:tcW w:w="1241" w:type="dxa"/>
            <w:tcMar>
              <w:top w:w="43" w:type="dxa"/>
              <w:left w:w="72" w:type="dxa"/>
              <w:right w:w="72" w:type="dxa"/>
            </w:tcMar>
            <w:vAlign w:val="center"/>
          </w:tcPr>
          <w:p w14:paraId="60C6A7C9" w14:textId="77777777" w:rsidR="00935329" w:rsidRPr="00C65517" w:rsidRDefault="00935329" w:rsidP="00491184">
            <w:pPr>
              <w:tabs>
                <w:tab w:val="center" w:pos="4513"/>
              </w:tabs>
              <w:jc w:val="center"/>
              <w:rPr>
                <w:rFonts w:ascii="Garamond" w:hAnsi="Garamond"/>
                <w:b/>
                <w:sz w:val="20"/>
                <w:szCs w:val="20"/>
              </w:rPr>
            </w:pPr>
            <w:r w:rsidRPr="00C65517">
              <w:rPr>
                <w:rFonts w:ascii="Garamond" w:hAnsi="Garamond"/>
                <w:sz w:val="20"/>
                <w:szCs w:val="20"/>
              </w:rPr>
              <w:t>115 m</w:t>
            </w:r>
          </w:p>
        </w:tc>
        <w:tc>
          <w:tcPr>
            <w:tcW w:w="1654" w:type="dxa"/>
            <w:tcMar>
              <w:top w:w="43" w:type="dxa"/>
              <w:left w:w="72" w:type="dxa"/>
              <w:right w:w="72" w:type="dxa"/>
            </w:tcMar>
            <w:vAlign w:val="center"/>
          </w:tcPr>
          <w:p w14:paraId="401FB47E" w14:textId="77777777" w:rsidR="00935329" w:rsidRPr="00C65517" w:rsidRDefault="00935329" w:rsidP="00491184">
            <w:pPr>
              <w:tabs>
                <w:tab w:val="center" w:pos="4513"/>
              </w:tabs>
              <w:jc w:val="center"/>
              <w:rPr>
                <w:rFonts w:ascii="Garamond" w:hAnsi="Garamond"/>
                <w:sz w:val="20"/>
                <w:szCs w:val="20"/>
              </w:rPr>
            </w:pPr>
            <w:r>
              <w:rPr>
                <w:rFonts w:ascii="Garamond" w:hAnsi="Garamond"/>
                <w:sz w:val="20"/>
                <w:szCs w:val="20"/>
              </w:rPr>
              <w:t>158.4 ± 316.3</w:t>
            </w:r>
          </w:p>
        </w:tc>
        <w:tc>
          <w:tcPr>
            <w:tcW w:w="1449" w:type="dxa"/>
            <w:vAlign w:val="center"/>
          </w:tcPr>
          <w:p w14:paraId="1B5C23E3"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w:t>
            </w:r>
          </w:p>
        </w:tc>
        <w:tc>
          <w:tcPr>
            <w:tcW w:w="2096" w:type="dxa"/>
            <w:vAlign w:val="center"/>
          </w:tcPr>
          <w:p w14:paraId="38D97456" w14:textId="77777777" w:rsidR="00935329" w:rsidRPr="00C65517" w:rsidRDefault="00935329" w:rsidP="00491184">
            <w:pPr>
              <w:tabs>
                <w:tab w:val="center" w:pos="4513"/>
              </w:tabs>
              <w:jc w:val="center"/>
              <w:rPr>
                <w:rFonts w:ascii="Garamond" w:hAnsi="Garamond"/>
                <w:sz w:val="20"/>
                <w:szCs w:val="20"/>
              </w:rPr>
            </w:pPr>
            <w:r>
              <w:rPr>
                <w:rFonts w:ascii="Garamond" w:hAnsi="Garamond"/>
                <w:sz w:val="20"/>
                <w:szCs w:val="20"/>
              </w:rPr>
              <w:t>Derived from depth</w:t>
            </w:r>
          </w:p>
        </w:tc>
      </w:tr>
      <w:tr w:rsidR="00935329" w:rsidRPr="00C65517" w14:paraId="3931B288" w14:textId="77777777" w:rsidTr="00491184">
        <w:trPr>
          <w:trHeight w:val="360"/>
          <w:jc w:val="center"/>
        </w:trPr>
        <w:tc>
          <w:tcPr>
            <w:tcW w:w="2586" w:type="dxa"/>
            <w:tcMar>
              <w:top w:w="43" w:type="dxa"/>
              <w:left w:w="72" w:type="dxa"/>
              <w:right w:w="72" w:type="dxa"/>
            </w:tcMar>
            <w:vAlign w:val="center"/>
          </w:tcPr>
          <w:p w14:paraId="7E115D39" w14:textId="77777777" w:rsidR="00935329" w:rsidRPr="00C65517" w:rsidRDefault="00935329" w:rsidP="00491184">
            <w:pPr>
              <w:tabs>
                <w:tab w:val="center" w:pos="4513"/>
              </w:tabs>
              <w:rPr>
                <w:rFonts w:ascii="Garamond" w:hAnsi="Garamond"/>
                <w:b/>
                <w:sz w:val="20"/>
                <w:szCs w:val="20"/>
              </w:rPr>
            </w:pPr>
            <w:r w:rsidRPr="00C65517">
              <w:rPr>
                <w:rFonts w:ascii="Garamond" w:hAnsi="Garamond"/>
                <w:b/>
                <w:sz w:val="20"/>
                <w:szCs w:val="20"/>
              </w:rPr>
              <w:t>Slope</w:t>
            </w:r>
            <w:r w:rsidRPr="00C65517">
              <w:rPr>
                <w:rFonts w:ascii="Garamond" w:hAnsi="Garamond"/>
                <w:sz w:val="20"/>
                <w:szCs w:val="20"/>
                <w:vertAlign w:val="superscript"/>
              </w:rPr>
              <w:t>‡</w:t>
            </w:r>
          </w:p>
        </w:tc>
        <w:tc>
          <w:tcPr>
            <w:tcW w:w="1241" w:type="dxa"/>
            <w:tcMar>
              <w:top w:w="43" w:type="dxa"/>
              <w:left w:w="72" w:type="dxa"/>
              <w:right w:w="72" w:type="dxa"/>
            </w:tcMar>
            <w:vAlign w:val="center"/>
          </w:tcPr>
          <w:p w14:paraId="7B323CE7" w14:textId="77777777" w:rsidR="00935329" w:rsidRPr="00C65517" w:rsidRDefault="00935329" w:rsidP="00491184">
            <w:pPr>
              <w:tabs>
                <w:tab w:val="center" w:pos="4513"/>
              </w:tabs>
              <w:jc w:val="center"/>
              <w:rPr>
                <w:rFonts w:ascii="Garamond" w:hAnsi="Garamond"/>
                <w:b/>
                <w:sz w:val="20"/>
                <w:szCs w:val="20"/>
              </w:rPr>
            </w:pPr>
            <w:r w:rsidRPr="00C65517">
              <w:rPr>
                <w:rFonts w:ascii="Garamond" w:hAnsi="Garamond"/>
                <w:sz w:val="20"/>
                <w:szCs w:val="20"/>
              </w:rPr>
              <w:t>115 m</w:t>
            </w:r>
          </w:p>
        </w:tc>
        <w:tc>
          <w:tcPr>
            <w:tcW w:w="1654" w:type="dxa"/>
            <w:tcMar>
              <w:top w:w="43" w:type="dxa"/>
              <w:left w:w="72" w:type="dxa"/>
              <w:right w:w="72" w:type="dxa"/>
            </w:tcMar>
            <w:vAlign w:val="center"/>
          </w:tcPr>
          <w:p w14:paraId="51576B05" w14:textId="77777777" w:rsidR="00935329" w:rsidRPr="00C65517" w:rsidRDefault="00935329" w:rsidP="00491184">
            <w:pPr>
              <w:tabs>
                <w:tab w:val="center" w:pos="4513"/>
              </w:tabs>
              <w:jc w:val="center"/>
              <w:rPr>
                <w:rFonts w:ascii="Garamond" w:hAnsi="Garamond"/>
                <w:sz w:val="20"/>
                <w:szCs w:val="20"/>
              </w:rPr>
            </w:pPr>
            <w:r>
              <w:rPr>
                <w:rFonts w:ascii="Garamond" w:hAnsi="Garamond"/>
                <w:sz w:val="20"/>
                <w:szCs w:val="20"/>
              </w:rPr>
              <w:t>6.19</w:t>
            </w:r>
            <w:r w:rsidRPr="00C65517">
              <w:rPr>
                <w:rFonts w:ascii="Garamond" w:hAnsi="Garamond"/>
                <w:sz w:val="20"/>
                <w:szCs w:val="20"/>
              </w:rPr>
              <w:t xml:space="preserve"> ± </w:t>
            </w:r>
            <w:r>
              <w:rPr>
                <w:rFonts w:ascii="Garamond" w:hAnsi="Garamond"/>
                <w:sz w:val="20"/>
                <w:szCs w:val="20"/>
              </w:rPr>
              <w:t>4.97</w:t>
            </w:r>
          </w:p>
        </w:tc>
        <w:tc>
          <w:tcPr>
            <w:tcW w:w="1449" w:type="dxa"/>
            <w:vAlign w:val="center"/>
          </w:tcPr>
          <w:p w14:paraId="21B17775"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w:t>
            </w:r>
          </w:p>
        </w:tc>
        <w:tc>
          <w:tcPr>
            <w:tcW w:w="2096" w:type="dxa"/>
            <w:vAlign w:val="center"/>
          </w:tcPr>
          <w:p w14:paraId="304098C6" w14:textId="77777777" w:rsidR="00935329" w:rsidRPr="00C65517" w:rsidRDefault="00935329" w:rsidP="00491184">
            <w:pPr>
              <w:tabs>
                <w:tab w:val="center" w:pos="4513"/>
              </w:tabs>
              <w:jc w:val="center"/>
              <w:rPr>
                <w:rFonts w:ascii="Garamond" w:hAnsi="Garamond"/>
                <w:sz w:val="20"/>
                <w:szCs w:val="20"/>
              </w:rPr>
            </w:pPr>
            <w:r>
              <w:rPr>
                <w:rFonts w:ascii="Garamond" w:hAnsi="Garamond"/>
                <w:sz w:val="20"/>
                <w:szCs w:val="20"/>
              </w:rPr>
              <w:t>Derived from depth</w:t>
            </w:r>
          </w:p>
        </w:tc>
      </w:tr>
      <w:tr w:rsidR="00935329" w:rsidRPr="00C65517" w14:paraId="210F0951" w14:textId="77777777" w:rsidTr="00491184">
        <w:trPr>
          <w:trHeight w:val="360"/>
          <w:jc w:val="center"/>
        </w:trPr>
        <w:tc>
          <w:tcPr>
            <w:tcW w:w="2586" w:type="dxa"/>
            <w:tcMar>
              <w:top w:w="43" w:type="dxa"/>
              <w:left w:w="72" w:type="dxa"/>
              <w:right w:w="72" w:type="dxa"/>
            </w:tcMar>
            <w:vAlign w:val="center"/>
          </w:tcPr>
          <w:p w14:paraId="429AD3A3" w14:textId="77777777" w:rsidR="00935329" w:rsidRPr="00C65517" w:rsidRDefault="00935329" w:rsidP="00491184">
            <w:pPr>
              <w:tabs>
                <w:tab w:val="center" w:pos="4513"/>
              </w:tabs>
              <w:rPr>
                <w:rFonts w:ascii="Garamond" w:hAnsi="Garamond"/>
                <w:sz w:val="20"/>
                <w:szCs w:val="20"/>
              </w:rPr>
            </w:pPr>
            <w:r w:rsidRPr="00C65517">
              <w:rPr>
                <w:rFonts w:ascii="Garamond" w:hAnsi="Garamond"/>
                <w:sz w:val="20"/>
                <w:szCs w:val="20"/>
              </w:rPr>
              <w:t>Ruggedness (5km radius)</w:t>
            </w:r>
            <w:r w:rsidRPr="00C65517">
              <w:rPr>
                <w:rFonts w:ascii="Garamond" w:hAnsi="Garamond"/>
                <w:sz w:val="20"/>
                <w:szCs w:val="20"/>
                <w:vertAlign w:val="superscript"/>
              </w:rPr>
              <w:t>‡</w:t>
            </w:r>
          </w:p>
        </w:tc>
        <w:tc>
          <w:tcPr>
            <w:tcW w:w="1241" w:type="dxa"/>
            <w:tcMar>
              <w:top w:w="43" w:type="dxa"/>
              <w:left w:w="72" w:type="dxa"/>
              <w:right w:w="72" w:type="dxa"/>
            </w:tcMar>
            <w:vAlign w:val="center"/>
          </w:tcPr>
          <w:p w14:paraId="48B5F1F3"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115 m</w:t>
            </w:r>
          </w:p>
        </w:tc>
        <w:tc>
          <w:tcPr>
            <w:tcW w:w="1654" w:type="dxa"/>
            <w:tcMar>
              <w:top w:w="43" w:type="dxa"/>
              <w:left w:w="72" w:type="dxa"/>
              <w:right w:w="72" w:type="dxa"/>
            </w:tcMar>
            <w:vAlign w:val="center"/>
          </w:tcPr>
          <w:p w14:paraId="070FDA09"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0.00</w:t>
            </w:r>
            <w:r>
              <w:rPr>
                <w:rFonts w:ascii="Garamond" w:hAnsi="Garamond"/>
                <w:sz w:val="20"/>
                <w:szCs w:val="20"/>
              </w:rPr>
              <w:t>1</w:t>
            </w:r>
            <w:r w:rsidRPr="00C65517">
              <w:rPr>
                <w:rFonts w:ascii="Garamond" w:hAnsi="Garamond"/>
                <w:sz w:val="20"/>
                <w:szCs w:val="20"/>
              </w:rPr>
              <w:t>6 ± 0.00</w:t>
            </w:r>
            <w:r>
              <w:rPr>
                <w:rFonts w:ascii="Garamond" w:hAnsi="Garamond"/>
                <w:sz w:val="20"/>
                <w:szCs w:val="20"/>
              </w:rPr>
              <w:t>2</w:t>
            </w:r>
            <w:r w:rsidRPr="00C65517">
              <w:rPr>
                <w:rFonts w:ascii="Garamond" w:hAnsi="Garamond"/>
                <w:sz w:val="20"/>
                <w:szCs w:val="20"/>
              </w:rPr>
              <w:t>5</w:t>
            </w:r>
          </w:p>
        </w:tc>
        <w:tc>
          <w:tcPr>
            <w:tcW w:w="1449" w:type="dxa"/>
            <w:vAlign w:val="center"/>
          </w:tcPr>
          <w:p w14:paraId="062C4E2F"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w:t>
            </w:r>
          </w:p>
        </w:tc>
        <w:tc>
          <w:tcPr>
            <w:tcW w:w="2096" w:type="dxa"/>
            <w:vAlign w:val="center"/>
          </w:tcPr>
          <w:p w14:paraId="6CC01C6A" w14:textId="77777777" w:rsidR="00935329" w:rsidRPr="00C65517" w:rsidRDefault="00935329" w:rsidP="00491184">
            <w:pPr>
              <w:tabs>
                <w:tab w:val="center" w:pos="4513"/>
              </w:tabs>
              <w:jc w:val="center"/>
              <w:rPr>
                <w:rFonts w:ascii="Garamond" w:hAnsi="Garamond"/>
                <w:sz w:val="20"/>
                <w:szCs w:val="20"/>
              </w:rPr>
            </w:pPr>
            <w:r>
              <w:rPr>
                <w:rFonts w:ascii="Garamond" w:hAnsi="Garamond"/>
                <w:sz w:val="20"/>
                <w:szCs w:val="20"/>
              </w:rPr>
              <w:t>Derived from depth</w:t>
            </w:r>
          </w:p>
        </w:tc>
      </w:tr>
      <w:tr w:rsidR="00935329" w:rsidRPr="00C65517" w14:paraId="67A3F9B1" w14:textId="77777777" w:rsidTr="00491184">
        <w:trPr>
          <w:trHeight w:val="360"/>
          <w:jc w:val="center"/>
        </w:trPr>
        <w:tc>
          <w:tcPr>
            <w:tcW w:w="2586" w:type="dxa"/>
            <w:tcMar>
              <w:top w:w="43" w:type="dxa"/>
              <w:left w:w="72" w:type="dxa"/>
              <w:right w:w="72" w:type="dxa"/>
            </w:tcMar>
            <w:vAlign w:val="center"/>
          </w:tcPr>
          <w:p w14:paraId="58E5372D" w14:textId="77777777" w:rsidR="00935329" w:rsidRPr="00C65517" w:rsidRDefault="00935329" w:rsidP="00491184">
            <w:pPr>
              <w:tabs>
                <w:tab w:val="center" w:pos="4513"/>
              </w:tabs>
              <w:rPr>
                <w:rFonts w:ascii="Garamond" w:hAnsi="Garamond"/>
                <w:sz w:val="20"/>
                <w:szCs w:val="20"/>
              </w:rPr>
            </w:pPr>
            <w:r w:rsidRPr="00C65517">
              <w:rPr>
                <w:rFonts w:ascii="Garamond" w:hAnsi="Garamond"/>
                <w:sz w:val="20"/>
                <w:szCs w:val="20"/>
              </w:rPr>
              <w:t>Eastness</w:t>
            </w:r>
            <w:r w:rsidRPr="00874BE3">
              <w:rPr>
                <w:rFonts w:ascii="Garamond" w:hAnsi="Garamond"/>
                <w:sz w:val="20"/>
                <w:szCs w:val="20"/>
                <w:vertAlign w:val="superscript"/>
              </w:rPr>
              <w:t>‡</w:t>
            </w:r>
          </w:p>
        </w:tc>
        <w:tc>
          <w:tcPr>
            <w:tcW w:w="1241" w:type="dxa"/>
            <w:tcMar>
              <w:top w:w="43" w:type="dxa"/>
              <w:left w:w="72" w:type="dxa"/>
              <w:right w:w="72" w:type="dxa"/>
            </w:tcMar>
            <w:vAlign w:val="center"/>
          </w:tcPr>
          <w:p w14:paraId="6C828F83"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115 m</w:t>
            </w:r>
          </w:p>
        </w:tc>
        <w:tc>
          <w:tcPr>
            <w:tcW w:w="1654" w:type="dxa"/>
            <w:tcMar>
              <w:top w:w="43" w:type="dxa"/>
              <w:left w:w="72" w:type="dxa"/>
              <w:right w:w="72" w:type="dxa"/>
            </w:tcMar>
            <w:vAlign w:val="center"/>
          </w:tcPr>
          <w:p w14:paraId="67C89072"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0.0</w:t>
            </w:r>
            <w:r>
              <w:rPr>
                <w:rFonts w:ascii="Garamond" w:hAnsi="Garamond"/>
                <w:sz w:val="20"/>
                <w:szCs w:val="20"/>
              </w:rPr>
              <w:t>04</w:t>
            </w:r>
            <w:r w:rsidRPr="00C65517">
              <w:rPr>
                <w:rFonts w:ascii="Garamond" w:hAnsi="Garamond"/>
                <w:sz w:val="20"/>
                <w:szCs w:val="20"/>
              </w:rPr>
              <w:t xml:space="preserve"> ± 0.</w:t>
            </w:r>
            <w:r>
              <w:rPr>
                <w:rFonts w:ascii="Garamond" w:hAnsi="Garamond"/>
                <w:sz w:val="20"/>
                <w:szCs w:val="20"/>
              </w:rPr>
              <w:t>553</w:t>
            </w:r>
          </w:p>
        </w:tc>
        <w:tc>
          <w:tcPr>
            <w:tcW w:w="1449" w:type="dxa"/>
            <w:vAlign w:val="center"/>
          </w:tcPr>
          <w:p w14:paraId="145A48FF"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w:t>
            </w:r>
          </w:p>
        </w:tc>
        <w:tc>
          <w:tcPr>
            <w:tcW w:w="2096" w:type="dxa"/>
            <w:vAlign w:val="center"/>
          </w:tcPr>
          <w:p w14:paraId="66AF2179" w14:textId="77777777" w:rsidR="00935329" w:rsidRPr="00C65517" w:rsidRDefault="00935329" w:rsidP="00491184">
            <w:pPr>
              <w:tabs>
                <w:tab w:val="center" w:pos="4513"/>
              </w:tabs>
              <w:jc w:val="center"/>
              <w:rPr>
                <w:rFonts w:ascii="Garamond" w:hAnsi="Garamond"/>
                <w:sz w:val="20"/>
                <w:szCs w:val="20"/>
              </w:rPr>
            </w:pPr>
            <w:r>
              <w:rPr>
                <w:rFonts w:ascii="Garamond" w:hAnsi="Garamond"/>
                <w:sz w:val="20"/>
                <w:szCs w:val="20"/>
              </w:rPr>
              <w:t>Derived from depth</w:t>
            </w:r>
          </w:p>
        </w:tc>
      </w:tr>
      <w:tr w:rsidR="00935329" w:rsidRPr="00C65517" w14:paraId="1BF11606" w14:textId="77777777" w:rsidTr="00491184">
        <w:trPr>
          <w:trHeight w:val="360"/>
          <w:jc w:val="center"/>
        </w:trPr>
        <w:tc>
          <w:tcPr>
            <w:tcW w:w="2586" w:type="dxa"/>
            <w:tcMar>
              <w:top w:w="43" w:type="dxa"/>
              <w:left w:w="72" w:type="dxa"/>
              <w:right w:w="72" w:type="dxa"/>
            </w:tcMar>
            <w:vAlign w:val="center"/>
          </w:tcPr>
          <w:p w14:paraId="18AEFA3B" w14:textId="77777777" w:rsidR="00935329" w:rsidRPr="00C65517" w:rsidRDefault="00935329" w:rsidP="00491184">
            <w:pPr>
              <w:tabs>
                <w:tab w:val="center" w:pos="4513"/>
              </w:tabs>
              <w:rPr>
                <w:rFonts w:ascii="Garamond" w:hAnsi="Garamond"/>
                <w:sz w:val="20"/>
                <w:szCs w:val="20"/>
              </w:rPr>
            </w:pPr>
            <w:r w:rsidRPr="00C65517">
              <w:rPr>
                <w:rFonts w:ascii="Garamond" w:hAnsi="Garamond"/>
                <w:sz w:val="20"/>
                <w:szCs w:val="20"/>
              </w:rPr>
              <w:t>Northness</w:t>
            </w:r>
            <w:r w:rsidRPr="00874BE3">
              <w:rPr>
                <w:rFonts w:ascii="Garamond" w:hAnsi="Garamond"/>
                <w:sz w:val="20"/>
                <w:szCs w:val="20"/>
                <w:vertAlign w:val="superscript"/>
              </w:rPr>
              <w:t>‡</w:t>
            </w:r>
          </w:p>
        </w:tc>
        <w:tc>
          <w:tcPr>
            <w:tcW w:w="1241" w:type="dxa"/>
            <w:tcMar>
              <w:top w:w="43" w:type="dxa"/>
              <w:left w:w="72" w:type="dxa"/>
              <w:right w:w="72" w:type="dxa"/>
            </w:tcMar>
            <w:vAlign w:val="center"/>
          </w:tcPr>
          <w:p w14:paraId="0BC277BD"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115 m</w:t>
            </w:r>
          </w:p>
        </w:tc>
        <w:tc>
          <w:tcPr>
            <w:tcW w:w="1654" w:type="dxa"/>
            <w:tcMar>
              <w:top w:w="43" w:type="dxa"/>
              <w:left w:w="72" w:type="dxa"/>
              <w:right w:w="72" w:type="dxa"/>
            </w:tcMar>
            <w:vAlign w:val="center"/>
          </w:tcPr>
          <w:p w14:paraId="3E783A05" w14:textId="77777777" w:rsidR="00935329" w:rsidRPr="00C65517" w:rsidRDefault="00935329" w:rsidP="00491184">
            <w:pPr>
              <w:tabs>
                <w:tab w:val="center" w:pos="4513"/>
              </w:tabs>
              <w:jc w:val="center"/>
              <w:rPr>
                <w:rFonts w:ascii="Garamond" w:hAnsi="Garamond"/>
                <w:sz w:val="20"/>
                <w:szCs w:val="20"/>
              </w:rPr>
            </w:pPr>
            <w:r>
              <w:rPr>
                <w:rFonts w:ascii="Garamond" w:hAnsi="Garamond"/>
                <w:sz w:val="20"/>
                <w:szCs w:val="20"/>
              </w:rPr>
              <w:t>-</w:t>
            </w:r>
            <w:r w:rsidRPr="00C65517">
              <w:rPr>
                <w:rFonts w:ascii="Garamond" w:hAnsi="Garamond"/>
                <w:sz w:val="20"/>
                <w:szCs w:val="20"/>
              </w:rPr>
              <w:t>0.0</w:t>
            </w:r>
            <w:r>
              <w:rPr>
                <w:rFonts w:ascii="Garamond" w:hAnsi="Garamond"/>
                <w:sz w:val="20"/>
                <w:szCs w:val="20"/>
              </w:rPr>
              <w:t>17</w:t>
            </w:r>
            <w:r w:rsidRPr="00C65517">
              <w:rPr>
                <w:rFonts w:ascii="Garamond" w:hAnsi="Garamond"/>
                <w:sz w:val="20"/>
                <w:szCs w:val="20"/>
              </w:rPr>
              <w:t xml:space="preserve"> ± 0.</w:t>
            </w:r>
            <w:r>
              <w:rPr>
                <w:rFonts w:ascii="Garamond" w:hAnsi="Garamond"/>
                <w:sz w:val="20"/>
                <w:szCs w:val="20"/>
              </w:rPr>
              <w:t>556</w:t>
            </w:r>
          </w:p>
        </w:tc>
        <w:tc>
          <w:tcPr>
            <w:tcW w:w="1449" w:type="dxa"/>
            <w:vAlign w:val="center"/>
          </w:tcPr>
          <w:p w14:paraId="255699AD"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w:t>
            </w:r>
          </w:p>
        </w:tc>
        <w:tc>
          <w:tcPr>
            <w:tcW w:w="2096" w:type="dxa"/>
            <w:vAlign w:val="center"/>
          </w:tcPr>
          <w:p w14:paraId="06523CBF" w14:textId="77777777" w:rsidR="00935329" w:rsidRPr="00C65517" w:rsidRDefault="00935329" w:rsidP="00491184">
            <w:pPr>
              <w:tabs>
                <w:tab w:val="center" w:pos="4513"/>
              </w:tabs>
              <w:jc w:val="center"/>
              <w:rPr>
                <w:rFonts w:ascii="Garamond" w:hAnsi="Garamond"/>
                <w:sz w:val="20"/>
                <w:szCs w:val="20"/>
              </w:rPr>
            </w:pPr>
            <w:r>
              <w:rPr>
                <w:rFonts w:ascii="Garamond" w:hAnsi="Garamond"/>
                <w:sz w:val="20"/>
                <w:szCs w:val="20"/>
              </w:rPr>
              <w:t>Derived from depth</w:t>
            </w:r>
          </w:p>
        </w:tc>
      </w:tr>
      <w:tr w:rsidR="00935329" w:rsidRPr="00C65517" w14:paraId="38B3099A" w14:textId="77777777" w:rsidTr="00491184">
        <w:trPr>
          <w:trHeight w:val="360"/>
          <w:jc w:val="center"/>
        </w:trPr>
        <w:tc>
          <w:tcPr>
            <w:tcW w:w="2586" w:type="dxa"/>
            <w:tcMar>
              <w:top w:w="43" w:type="dxa"/>
              <w:left w:w="72" w:type="dxa"/>
              <w:right w:w="72" w:type="dxa"/>
            </w:tcMar>
            <w:vAlign w:val="center"/>
          </w:tcPr>
          <w:p w14:paraId="0AE6A539" w14:textId="77777777" w:rsidR="00935329" w:rsidRPr="00C65517" w:rsidRDefault="00935329" w:rsidP="00491184">
            <w:pPr>
              <w:tabs>
                <w:tab w:val="center" w:pos="4513"/>
              </w:tabs>
              <w:rPr>
                <w:rFonts w:ascii="Garamond" w:hAnsi="Garamond"/>
                <w:sz w:val="20"/>
                <w:szCs w:val="20"/>
              </w:rPr>
            </w:pPr>
            <w:r w:rsidRPr="00C65517">
              <w:rPr>
                <w:rFonts w:ascii="Garamond" w:hAnsi="Garamond"/>
                <w:b/>
                <w:sz w:val="20"/>
                <w:szCs w:val="20"/>
              </w:rPr>
              <w:t>Temperature</w:t>
            </w:r>
            <w:r w:rsidRPr="00C65517">
              <w:rPr>
                <w:rFonts w:ascii="Garamond" w:hAnsi="Garamond"/>
                <w:sz w:val="20"/>
                <w:szCs w:val="20"/>
                <w:vertAlign w:val="superscript"/>
              </w:rPr>
              <w:t>†</w:t>
            </w:r>
            <w:r>
              <w:rPr>
                <w:rFonts w:ascii="Garamond" w:hAnsi="Garamond"/>
                <w:sz w:val="20"/>
                <w:szCs w:val="20"/>
                <w:vertAlign w:val="superscript"/>
              </w:rPr>
              <w:t xml:space="preserve"> </w:t>
            </w:r>
          </w:p>
        </w:tc>
        <w:tc>
          <w:tcPr>
            <w:tcW w:w="1241" w:type="dxa"/>
            <w:tcMar>
              <w:top w:w="43" w:type="dxa"/>
              <w:left w:w="72" w:type="dxa"/>
              <w:right w:w="72" w:type="dxa"/>
            </w:tcMar>
            <w:vAlign w:val="center"/>
          </w:tcPr>
          <w:p w14:paraId="4D5D224B" w14:textId="77777777" w:rsidR="00935329" w:rsidRPr="00C65517" w:rsidRDefault="00935329" w:rsidP="00491184">
            <w:pPr>
              <w:tabs>
                <w:tab w:val="center" w:pos="4513"/>
              </w:tabs>
              <w:jc w:val="center"/>
              <w:rPr>
                <w:rFonts w:ascii="Garamond" w:hAnsi="Garamond"/>
                <w:b/>
                <w:sz w:val="20"/>
                <w:szCs w:val="20"/>
              </w:rPr>
            </w:pPr>
            <w:r w:rsidRPr="00C65517">
              <w:rPr>
                <w:rFonts w:ascii="Garamond" w:hAnsi="Garamond"/>
                <w:sz w:val="20"/>
                <w:szCs w:val="20"/>
              </w:rPr>
              <w:t>0.05°</w:t>
            </w:r>
          </w:p>
        </w:tc>
        <w:tc>
          <w:tcPr>
            <w:tcW w:w="1654" w:type="dxa"/>
            <w:tcMar>
              <w:top w:w="43" w:type="dxa"/>
              <w:left w:w="72" w:type="dxa"/>
              <w:right w:w="72" w:type="dxa"/>
            </w:tcMar>
            <w:vAlign w:val="center"/>
          </w:tcPr>
          <w:p w14:paraId="08F985FE" w14:textId="77777777" w:rsidR="00935329" w:rsidRPr="00C65517" w:rsidRDefault="00935329" w:rsidP="00491184">
            <w:pPr>
              <w:tabs>
                <w:tab w:val="center" w:pos="4513"/>
              </w:tabs>
              <w:jc w:val="center"/>
              <w:rPr>
                <w:rFonts w:ascii="Garamond" w:hAnsi="Garamond"/>
                <w:sz w:val="20"/>
                <w:szCs w:val="20"/>
              </w:rPr>
            </w:pPr>
            <w:r>
              <w:rPr>
                <w:rFonts w:ascii="Garamond" w:hAnsi="Garamond"/>
                <w:sz w:val="20"/>
                <w:szCs w:val="20"/>
              </w:rPr>
              <w:t>5</w:t>
            </w:r>
            <w:r w:rsidRPr="00C65517">
              <w:rPr>
                <w:rFonts w:ascii="Garamond" w:hAnsi="Garamond"/>
                <w:sz w:val="20"/>
                <w:szCs w:val="20"/>
              </w:rPr>
              <w:t>.</w:t>
            </w:r>
            <w:r>
              <w:rPr>
                <w:rFonts w:ascii="Garamond" w:hAnsi="Garamond"/>
                <w:sz w:val="20"/>
                <w:szCs w:val="20"/>
              </w:rPr>
              <w:t>63</w:t>
            </w:r>
            <w:r w:rsidRPr="00C65517">
              <w:rPr>
                <w:rFonts w:ascii="Garamond" w:hAnsi="Garamond"/>
                <w:sz w:val="20"/>
                <w:szCs w:val="20"/>
              </w:rPr>
              <w:t xml:space="preserve"> ± 2.</w:t>
            </w:r>
            <w:r>
              <w:rPr>
                <w:rFonts w:ascii="Garamond" w:hAnsi="Garamond"/>
                <w:sz w:val="20"/>
                <w:szCs w:val="20"/>
              </w:rPr>
              <w:t>56</w:t>
            </w:r>
          </w:p>
        </w:tc>
        <w:tc>
          <w:tcPr>
            <w:tcW w:w="1449" w:type="dxa"/>
            <w:vAlign w:val="center"/>
          </w:tcPr>
          <w:p w14:paraId="67962694"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°C</w:t>
            </w:r>
          </w:p>
        </w:tc>
        <w:tc>
          <w:tcPr>
            <w:tcW w:w="2096" w:type="dxa"/>
            <w:vAlign w:val="center"/>
          </w:tcPr>
          <w:p w14:paraId="0652FCA5"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fldChar w:fldCharType="begin" w:fldLock="1"/>
            </w:r>
            <w:r>
              <w:rPr>
                <w:rFonts w:ascii="Garamond" w:hAnsi="Garamond"/>
                <w:sz w:val="20"/>
                <w:szCs w:val="20"/>
              </w:rPr>
              <w:instrText>ADDIN CSL_CITATION {"citationItems":[{"id":"ITEM-1","itemData":{"DOI":"10.1038/ngeo2740","ISSN":"1752-0894","abstract":"© 2016 Macmillan Publishers Limited. The Greenland ice sheet has experienced increasing mass loss since the 1990s. The enhanced freshwater flux due to both surface melt and outlet glacier discharge is assuming an increasingly important role in the changing freshwater budget of the subarctic Atlantic. The sustained and increasing freshwater fluxes from Greenland to the surface ocean could lead to a suppression of deep winter convection in the Labrador Sea, with potential ramifications for the strength of the Atlantic meridional overturning circulation. Here we assess the impact of the increases in the freshwater fluxes, reconstructed with full spatial resolution, using a global ocean circulation model with a grid spacing fine enough to capture the small-scale, eddying transport processes in the subpolar North Atlantic. Our simulations suggest that the invasion of meltwater from the West Greenland shelf has initiated a gradual freshening trend at the surface of the Labrador Sea. Although the freshening is still smaller than the variability associated with the episodic â great salinity anomalies', the accumulation of meltwater may become large enough to progressively dampen the deep winter convection in the coming years. We conclude that the freshwater anomaly has not yet had a significant impact on the Atlantic meridional overturning circulation.","author":[{"dropping-particle":"","family":"Böning","given":"Claus W.","non-dropping-particle":"","parse-names":false,"suffix":""},{"dropping-particle":"","family":"Behrens","given":"Erik","non-dropping-particle":"","parse-names":false,"suffix":""},{"dropping-particle":"","family":"Biastoch","given":"Arne","non-dropping-particle":"","parse-names":false,"suffix":""},{"dropping-particle":"","family":"Getzlaff","given":"Klaus","non-dropping-particle":"","parse-names":false,"suffix":""},{"dropping-particle":"","family":"Bamber","given":"Jonathan L.","non-dropping-particle":"","parse-names":false,"suffix":""}],"container-title":"Nature Geoscience","id":"ITEM-1","issue":"7","issued":{"date-parts":[["2016","7","20"]]},"page":"523-527","title":"Emerging impact of Greenland meltwater on deepwater formation in the North Atlantic Ocean","type":"article-journal","volume":"9"},"uris":["http://www.mendeley.com/documents/?uuid=701b73f4-8641-4ecc-8550-8eaa5b09343e"]}],"mendeley":{"formattedCitation":"(Böning et al., 2016)","manualFormatting":"Böning et al., 2016","plainTextFormattedCitation":"(Böning et al., 2016)","previouslyFormattedCitation":"(Böning et al., 2016)"},"properties":{"noteIndex":0},"schema":"https://github.com/citation-style-language/schema/raw/master/csl-citation.json"}</w:instrText>
            </w:r>
            <w:r w:rsidRPr="00C65517">
              <w:rPr>
                <w:rFonts w:ascii="Garamond" w:hAnsi="Garamond"/>
                <w:sz w:val="20"/>
                <w:szCs w:val="20"/>
              </w:rPr>
              <w:fldChar w:fldCharType="separate"/>
            </w:r>
            <w:r w:rsidRPr="00C65517">
              <w:rPr>
                <w:rFonts w:ascii="Garamond" w:hAnsi="Garamond"/>
                <w:noProof/>
                <w:sz w:val="20"/>
                <w:szCs w:val="20"/>
              </w:rPr>
              <w:t>Böning et al., 2016</w:t>
            </w:r>
            <w:r w:rsidRPr="00C65517">
              <w:rPr>
                <w:rFonts w:ascii="Garamond" w:hAnsi="Garamond"/>
                <w:sz w:val="20"/>
                <w:szCs w:val="20"/>
              </w:rPr>
              <w:fldChar w:fldCharType="end"/>
            </w:r>
          </w:p>
        </w:tc>
      </w:tr>
      <w:tr w:rsidR="00935329" w:rsidRPr="00C65517" w14:paraId="520D7535" w14:textId="77777777" w:rsidTr="00491184">
        <w:trPr>
          <w:trHeight w:val="360"/>
          <w:jc w:val="center"/>
        </w:trPr>
        <w:tc>
          <w:tcPr>
            <w:tcW w:w="2586" w:type="dxa"/>
            <w:tcMar>
              <w:top w:w="43" w:type="dxa"/>
              <w:left w:w="72" w:type="dxa"/>
              <w:right w:w="72" w:type="dxa"/>
            </w:tcMar>
            <w:vAlign w:val="center"/>
          </w:tcPr>
          <w:p w14:paraId="4784339C" w14:textId="77777777" w:rsidR="00935329" w:rsidRPr="00C65517" w:rsidRDefault="00935329" w:rsidP="00491184">
            <w:pPr>
              <w:tabs>
                <w:tab w:val="center" w:pos="4513"/>
              </w:tabs>
              <w:rPr>
                <w:rFonts w:ascii="Garamond" w:hAnsi="Garamond"/>
                <w:sz w:val="20"/>
                <w:szCs w:val="20"/>
              </w:rPr>
            </w:pPr>
            <w:r w:rsidRPr="00C65517">
              <w:rPr>
                <w:rFonts w:ascii="Garamond" w:hAnsi="Garamond"/>
                <w:sz w:val="20"/>
                <w:szCs w:val="20"/>
              </w:rPr>
              <w:t>Salinity</w:t>
            </w:r>
            <w:r w:rsidRPr="00C65517">
              <w:rPr>
                <w:rFonts w:ascii="Garamond" w:hAnsi="Garamond"/>
                <w:sz w:val="20"/>
                <w:szCs w:val="20"/>
                <w:vertAlign w:val="superscript"/>
              </w:rPr>
              <w:t>†</w:t>
            </w:r>
            <w:r>
              <w:rPr>
                <w:rFonts w:ascii="Garamond" w:hAnsi="Garamond"/>
                <w:sz w:val="20"/>
                <w:szCs w:val="20"/>
                <w:vertAlign w:val="superscript"/>
              </w:rPr>
              <w:t xml:space="preserve"> </w:t>
            </w:r>
          </w:p>
        </w:tc>
        <w:tc>
          <w:tcPr>
            <w:tcW w:w="1241" w:type="dxa"/>
            <w:tcMar>
              <w:top w:w="43" w:type="dxa"/>
              <w:left w:w="72" w:type="dxa"/>
              <w:right w:w="72" w:type="dxa"/>
            </w:tcMar>
            <w:vAlign w:val="center"/>
          </w:tcPr>
          <w:p w14:paraId="35BCB945" w14:textId="77777777" w:rsidR="00935329" w:rsidRPr="00C65517" w:rsidRDefault="00935329" w:rsidP="00491184">
            <w:pPr>
              <w:tabs>
                <w:tab w:val="center" w:pos="4513"/>
              </w:tabs>
              <w:jc w:val="center"/>
              <w:rPr>
                <w:rFonts w:ascii="Garamond" w:hAnsi="Garamond"/>
                <w:b/>
                <w:sz w:val="20"/>
                <w:szCs w:val="20"/>
              </w:rPr>
            </w:pPr>
            <w:r w:rsidRPr="00C65517">
              <w:rPr>
                <w:rFonts w:ascii="Garamond" w:hAnsi="Garamond"/>
                <w:sz w:val="20"/>
                <w:szCs w:val="20"/>
              </w:rPr>
              <w:t>0.05°</w:t>
            </w:r>
          </w:p>
        </w:tc>
        <w:tc>
          <w:tcPr>
            <w:tcW w:w="1654" w:type="dxa"/>
            <w:tcMar>
              <w:top w:w="43" w:type="dxa"/>
              <w:left w:w="72" w:type="dxa"/>
              <w:right w:w="72" w:type="dxa"/>
            </w:tcMar>
            <w:vAlign w:val="center"/>
          </w:tcPr>
          <w:p w14:paraId="241C5E7D" w14:textId="77777777" w:rsidR="00935329" w:rsidRPr="00C65517" w:rsidRDefault="00935329" w:rsidP="00491184">
            <w:pPr>
              <w:tabs>
                <w:tab w:val="center" w:pos="4513"/>
              </w:tabs>
              <w:jc w:val="center"/>
              <w:rPr>
                <w:rFonts w:ascii="Garamond" w:hAnsi="Garamond"/>
                <w:sz w:val="20"/>
                <w:szCs w:val="20"/>
              </w:rPr>
            </w:pPr>
            <w:r>
              <w:rPr>
                <w:rFonts w:ascii="Garamond" w:hAnsi="Garamond"/>
                <w:sz w:val="20"/>
                <w:szCs w:val="20"/>
              </w:rPr>
              <w:t>35</w:t>
            </w:r>
            <w:r w:rsidRPr="00C65517">
              <w:rPr>
                <w:rFonts w:ascii="Garamond" w:hAnsi="Garamond"/>
                <w:sz w:val="20"/>
                <w:szCs w:val="20"/>
              </w:rPr>
              <w:t>.</w:t>
            </w:r>
            <w:r>
              <w:rPr>
                <w:rFonts w:ascii="Garamond" w:hAnsi="Garamond"/>
                <w:sz w:val="20"/>
                <w:szCs w:val="20"/>
              </w:rPr>
              <w:t>2</w:t>
            </w:r>
            <w:r w:rsidRPr="00C65517">
              <w:rPr>
                <w:rFonts w:ascii="Garamond" w:hAnsi="Garamond"/>
                <w:sz w:val="20"/>
                <w:szCs w:val="20"/>
              </w:rPr>
              <w:t>0 ± 0.</w:t>
            </w:r>
            <w:r>
              <w:rPr>
                <w:rFonts w:ascii="Garamond" w:hAnsi="Garamond"/>
                <w:sz w:val="20"/>
                <w:szCs w:val="20"/>
              </w:rPr>
              <w:t>27</w:t>
            </w:r>
          </w:p>
        </w:tc>
        <w:tc>
          <w:tcPr>
            <w:tcW w:w="1449" w:type="dxa"/>
            <w:vAlign w:val="center"/>
          </w:tcPr>
          <w:p w14:paraId="6F61B3C1"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PSU</w:t>
            </w:r>
          </w:p>
        </w:tc>
        <w:tc>
          <w:tcPr>
            <w:tcW w:w="2096" w:type="dxa"/>
            <w:vAlign w:val="center"/>
          </w:tcPr>
          <w:p w14:paraId="1239E4DC"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fldChar w:fldCharType="begin" w:fldLock="1"/>
            </w:r>
            <w:r>
              <w:rPr>
                <w:rFonts w:ascii="Garamond" w:hAnsi="Garamond"/>
                <w:sz w:val="20"/>
                <w:szCs w:val="20"/>
              </w:rPr>
              <w:instrText>ADDIN CSL_CITATION {"citationItems":[{"id":"ITEM-1","itemData":{"DOI":"10.1038/ngeo2740","ISSN":"1752-0894","abstract":"© 2016 Macmillan Publishers Limited. The Greenland ice sheet has experienced increasing mass loss since the 1990s. The enhanced freshwater flux due to both surface melt and outlet glacier discharge is assuming an increasingly important role in the changing freshwater budget of the subarctic Atlantic. The sustained and increasing freshwater fluxes from Greenland to the surface ocean could lead to a suppression of deep winter convection in the Labrador Sea, with potential ramifications for the strength of the Atlantic meridional overturning circulation. Here we assess the impact of the increases in the freshwater fluxes, reconstructed with full spatial resolution, using a global ocean circulation model with a grid spacing fine enough to capture the small-scale, eddying transport processes in the subpolar North Atlantic. Our simulations suggest that the invasion of meltwater from the West Greenland shelf has initiated a gradual freshening trend at the surface of the Labrador Sea. Although the freshening is still smaller than the variability associated with the episodic â great salinity anomalies', the accumulation of meltwater may become large enough to progressively dampen the deep winter convection in the coming years. We conclude that the freshwater anomaly has not yet had a significant impact on the Atlantic meridional overturning circulation.","author":[{"dropping-particle":"","family":"Böning","given":"Claus W.","non-dropping-particle":"","parse-names":false,"suffix":""},{"dropping-particle":"","family":"Behrens","given":"Erik","non-dropping-particle":"","parse-names":false,"suffix":""},{"dropping-particle":"","family":"Biastoch","given":"Arne","non-dropping-particle":"","parse-names":false,"suffix":""},{"dropping-particle":"","family":"Getzlaff","given":"Klaus","non-dropping-particle":"","parse-names":false,"suffix":""},{"dropping-particle":"","family":"Bamber","given":"Jonathan L.","non-dropping-particle":"","parse-names":false,"suffix":""}],"container-title":"Nature Geoscience","id":"ITEM-1","issue":"7","issued":{"date-parts":[["2016","7","20"]]},"page":"523-527","title":"Emerging impact of Greenland meltwater on deepwater formation in the North Atlantic Ocean","type":"article-journal","volume":"9"},"uris":["http://www.mendeley.com/documents/?uuid=701b73f4-8641-4ecc-8550-8eaa5b09343e"]}],"mendeley":{"formattedCitation":"(Böning et al., 2016)","manualFormatting":"Böning et al., 2016","plainTextFormattedCitation":"(Böning et al., 2016)","previouslyFormattedCitation":"(Böning et al., 2016)"},"properties":{"noteIndex":0},"schema":"https://github.com/citation-style-language/schema/raw/master/csl-citation.json"}</w:instrText>
            </w:r>
            <w:r w:rsidRPr="00C65517">
              <w:rPr>
                <w:rFonts w:ascii="Garamond" w:hAnsi="Garamond"/>
                <w:sz w:val="20"/>
                <w:szCs w:val="20"/>
              </w:rPr>
              <w:fldChar w:fldCharType="separate"/>
            </w:r>
            <w:r w:rsidRPr="00C65517">
              <w:rPr>
                <w:rFonts w:ascii="Garamond" w:hAnsi="Garamond"/>
                <w:noProof/>
                <w:sz w:val="20"/>
                <w:szCs w:val="20"/>
              </w:rPr>
              <w:t>Böning et al., 2016</w:t>
            </w:r>
            <w:r w:rsidRPr="00C65517">
              <w:rPr>
                <w:rFonts w:ascii="Garamond" w:hAnsi="Garamond"/>
                <w:sz w:val="20"/>
                <w:szCs w:val="20"/>
              </w:rPr>
              <w:fldChar w:fldCharType="end"/>
            </w:r>
          </w:p>
        </w:tc>
      </w:tr>
      <w:tr w:rsidR="00935329" w:rsidRPr="00C65517" w14:paraId="3B9F4433" w14:textId="77777777" w:rsidTr="00491184">
        <w:trPr>
          <w:trHeight w:val="360"/>
          <w:jc w:val="center"/>
        </w:trPr>
        <w:tc>
          <w:tcPr>
            <w:tcW w:w="2586" w:type="dxa"/>
            <w:tcMar>
              <w:top w:w="43" w:type="dxa"/>
              <w:left w:w="72" w:type="dxa"/>
              <w:right w:w="72" w:type="dxa"/>
            </w:tcMar>
            <w:vAlign w:val="center"/>
          </w:tcPr>
          <w:p w14:paraId="69564F50" w14:textId="77777777" w:rsidR="00935329" w:rsidRPr="00C65517" w:rsidRDefault="00935329" w:rsidP="00491184">
            <w:pPr>
              <w:tabs>
                <w:tab w:val="center" w:pos="4513"/>
              </w:tabs>
              <w:rPr>
                <w:rFonts w:ascii="Garamond" w:hAnsi="Garamond"/>
                <w:b/>
                <w:sz w:val="20"/>
                <w:szCs w:val="20"/>
              </w:rPr>
            </w:pPr>
            <w:r w:rsidRPr="00C65517">
              <w:rPr>
                <w:rFonts w:ascii="Garamond" w:hAnsi="Garamond"/>
                <w:b/>
                <w:sz w:val="20"/>
                <w:szCs w:val="20"/>
              </w:rPr>
              <w:t>Current</w:t>
            </w:r>
            <w:r>
              <w:rPr>
                <w:rFonts w:ascii="Garamond" w:hAnsi="Garamond"/>
                <w:b/>
                <w:sz w:val="20"/>
                <w:szCs w:val="20"/>
              </w:rPr>
              <w:t xml:space="preserve"> speed</w:t>
            </w:r>
            <w:r w:rsidRPr="00C65517">
              <w:rPr>
                <w:rFonts w:ascii="Garamond" w:hAnsi="Garamond"/>
                <w:sz w:val="20"/>
                <w:szCs w:val="20"/>
                <w:vertAlign w:val="superscript"/>
              </w:rPr>
              <w:t>†</w:t>
            </w:r>
            <w:r>
              <w:rPr>
                <w:rFonts w:ascii="Garamond" w:hAnsi="Garamond"/>
                <w:sz w:val="20"/>
                <w:szCs w:val="20"/>
                <w:vertAlign w:val="superscript"/>
              </w:rPr>
              <w:t xml:space="preserve"> </w:t>
            </w:r>
          </w:p>
        </w:tc>
        <w:tc>
          <w:tcPr>
            <w:tcW w:w="1241" w:type="dxa"/>
            <w:tcMar>
              <w:top w:w="43" w:type="dxa"/>
              <w:left w:w="72" w:type="dxa"/>
              <w:right w:w="72" w:type="dxa"/>
            </w:tcMar>
            <w:vAlign w:val="center"/>
          </w:tcPr>
          <w:p w14:paraId="2F2DA0D5" w14:textId="77777777" w:rsidR="00935329" w:rsidRPr="00C65517" w:rsidRDefault="00935329" w:rsidP="00491184">
            <w:pPr>
              <w:tabs>
                <w:tab w:val="center" w:pos="4513"/>
              </w:tabs>
              <w:jc w:val="center"/>
              <w:rPr>
                <w:rFonts w:ascii="Garamond" w:hAnsi="Garamond"/>
                <w:b/>
                <w:sz w:val="20"/>
                <w:szCs w:val="20"/>
              </w:rPr>
            </w:pPr>
            <w:r w:rsidRPr="00C65517">
              <w:rPr>
                <w:rFonts w:ascii="Garamond" w:hAnsi="Garamond"/>
                <w:sz w:val="20"/>
                <w:szCs w:val="20"/>
              </w:rPr>
              <w:t>0.05°</w:t>
            </w:r>
          </w:p>
        </w:tc>
        <w:tc>
          <w:tcPr>
            <w:tcW w:w="1654" w:type="dxa"/>
            <w:tcMar>
              <w:top w:w="43" w:type="dxa"/>
              <w:left w:w="72" w:type="dxa"/>
              <w:right w:w="72" w:type="dxa"/>
            </w:tcMar>
            <w:vAlign w:val="center"/>
          </w:tcPr>
          <w:p w14:paraId="047FCD05"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0.0</w:t>
            </w:r>
            <w:r>
              <w:rPr>
                <w:rFonts w:ascii="Garamond" w:hAnsi="Garamond"/>
                <w:sz w:val="20"/>
                <w:szCs w:val="20"/>
              </w:rPr>
              <w:t>10</w:t>
            </w:r>
            <w:r w:rsidRPr="00C65517">
              <w:rPr>
                <w:rFonts w:ascii="Garamond" w:hAnsi="Garamond"/>
                <w:sz w:val="20"/>
                <w:szCs w:val="20"/>
              </w:rPr>
              <w:t xml:space="preserve"> ± 0.00</w:t>
            </w:r>
            <w:r>
              <w:rPr>
                <w:rFonts w:ascii="Garamond" w:hAnsi="Garamond"/>
                <w:sz w:val="20"/>
                <w:szCs w:val="20"/>
              </w:rPr>
              <w:t>8</w:t>
            </w:r>
          </w:p>
        </w:tc>
        <w:tc>
          <w:tcPr>
            <w:tcW w:w="1449" w:type="dxa"/>
            <w:vAlign w:val="center"/>
          </w:tcPr>
          <w:p w14:paraId="35E8F0CA"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m s</w:t>
            </w:r>
            <w:r w:rsidRPr="00C65517">
              <w:rPr>
                <w:rFonts w:ascii="Garamond" w:hAnsi="Garamond"/>
                <w:sz w:val="20"/>
                <w:szCs w:val="20"/>
                <w:vertAlign w:val="superscript"/>
              </w:rPr>
              <w:t>-1</w:t>
            </w:r>
          </w:p>
        </w:tc>
        <w:tc>
          <w:tcPr>
            <w:tcW w:w="2096" w:type="dxa"/>
            <w:vAlign w:val="center"/>
          </w:tcPr>
          <w:p w14:paraId="446A4329"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fldChar w:fldCharType="begin" w:fldLock="1"/>
            </w:r>
            <w:r>
              <w:rPr>
                <w:rFonts w:ascii="Garamond" w:hAnsi="Garamond"/>
                <w:sz w:val="20"/>
                <w:szCs w:val="20"/>
              </w:rPr>
              <w:instrText>ADDIN CSL_CITATION {"citationItems":[{"id":"ITEM-1","itemData":{"DOI":"10.1038/ngeo2740","ISSN":"1752-0894","abstract":"© 2016 Macmillan Publishers Limited. The Greenland ice sheet has experienced increasing mass loss since the 1990s. The enhanced freshwater flux due to both surface melt and outlet glacier discharge is assuming an increasingly important role in the changing freshwater budget of the subarctic Atlantic. The sustained and increasing freshwater fluxes from Greenland to the surface ocean could lead to a suppression of deep winter convection in the Labrador Sea, with potential ramifications for the strength of the Atlantic meridional overturning circulation. Here we assess the impact of the increases in the freshwater fluxes, reconstructed with full spatial resolution, using a global ocean circulation model with a grid spacing fine enough to capture the small-scale, eddying transport processes in the subpolar North Atlantic. Our simulations suggest that the invasion of meltwater from the West Greenland shelf has initiated a gradual freshening trend at the surface of the Labrador Sea. Although the freshening is still smaller than the variability associated with the episodic â great salinity anomalies', the accumulation of meltwater may become large enough to progressively dampen the deep winter convection in the coming years. We conclude that the freshwater anomaly has not yet had a significant impact on the Atlantic meridional overturning circulation.","author":[{"dropping-particle":"","family":"Böning","given":"Claus W.","non-dropping-particle":"","parse-names":false,"suffix":""},{"dropping-particle":"","family":"Behrens","given":"Erik","non-dropping-particle":"","parse-names":false,"suffix":""},{"dropping-particle":"","family":"Biastoch","given":"Arne","non-dropping-particle":"","parse-names":false,"suffix":""},{"dropping-particle":"","family":"Getzlaff","given":"Klaus","non-dropping-particle":"","parse-names":false,"suffix":""},{"dropping-particle":"","family":"Bamber","given":"Jonathan L.","non-dropping-particle":"","parse-names":false,"suffix":""}],"container-title":"Nature Geoscience","id":"ITEM-1","issue":"7","issued":{"date-parts":[["2016","7","20"]]},"page":"523-527","title":"Emerging impact of Greenland meltwater on deepwater formation in the North Atlantic Ocean","type":"article-journal","volume":"9"},"uris":["http://www.mendeley.com/documents/?uuid=701b73f4-8641-4ecc-8550-8eaa5b09343e"]}],"mendeley":{"formattedCitation":"(Böning et al., 2016)","manualFormatting":"Böning et al., 2016","plainTextFormattedCitation":"(Böning et al., 2016)","previouslyFormattedCitation":"(Böning et al., 2016)"},"properties":{"noteIndex":0},"schema":"https://github.com/citation-style-language/schema/raw/master/csl-citation.json"}</w:instrText>
            </w:r>
            <w:r w:rsidRPr="00C65517">
              <w:rPr>
                <w:rFonts w:ascii="Garamond" w:hAnsi="Garamond"/>
                <w:sz w:val="20"/>
                <w:szCs w:val="20"/>
              </w:rPr>
              <w:fldChar w:fldCharType="separate"/>
            </w:r>
            <w:r w:rsidRPr="00C65517">
              <w:rPr>
                <w:rFonts w:ascii="Garamond" w:hAnsi="Garamond"/>
                <w:noProof/>
                <w:sz w:val="20"/>
                <w:szCs w:val="20"/>
              </w:rPr>
              <w:t>Böning et al., 2016</w:t>
            </w:r>
            <w:r w:rsidRPr="00C65517">
              <w:rPr>
                <w:rFonts w:ascii="Garamond" w:hAnsi="Garamond"/>
                <w:sz w:val="20"/>
                <w:szCs w:val="20"/>
              </w:rPr>
              <w:fldChar w:fldCharType="end"/>
            </w:r>
          </w:p>
        </w:tc>
      </w:tr>
      <w:tr w:rsidR="00935329" w:rsidRPr="00C65517" w14:paraId="4DC26355" w14:textId="77777777" w:rsidTr="00491184">
        <w:trPr>
          <w:trHeight w:val="360"/>
          <w:jc w:val="center"/>
        </w:trPr>
        <w:tc>
          <w:tcPr>
            <w:tcW w:w="2586" w:type="dxa"/>
            <w:tcMar>
              <w:top w:w="43" w:type="dxa"/>
              <w:left w:w="72" w:type="dxa"/>
              <w:right w:w="72" w:type="dxa"/>
            </w:tcMar>
            <w:vAlign w:val="center"/>
          </w:tcPr>
          <w:p w14:paraId="68083D3B" w14:textId="77777777" w:rsidR="00935329" w:rsidRPr="00C65517" w:rsidRDefault="00935329" w:rsidP="00491184">
            <w:pPr>
              <w:tabs>
                <w:tab w:val="center" w:pos="4513"/>
              </w:tabs>
              <w:rPr>
                <w:rFonts w:ascii="Garamond" w:hAnsi="Garamond"/>
                <w:sz w:val="20"/>
                <w:szCs w:val="20"/>
                <w:lang w:val="pt-PT"/>
              </w:rPr>
            </w:pPr>
            <w:r w:rsidRPr="00C65517">
              <w:rPr>
                <w:rFonts w:ascii="Garamond" w:hAnsi="Garamond"/>
                <w:sz w:val="20"/>
                <w:szCs w:val="20"/>
                <w:lang w:val="pt-PT"/>
              </w:rPr>
              <w:t>Aragonite</w:t>
            </w:r>
          </w:p>
        </w:tc>
        <w:tc>
          <w:tcPr>
            <w:tcW w:w="1241" w:type="dxa"/>
            <w:tcMar>
              <w:top w:w="43" w:type="dxa"/>
              <w:left w:w="72" w:type="dxa"/>
              <w:right w:w="72" w:type="dxa"/>
            </w:tcMar>
            <w:vAlign w:val="center"/>
          </w:tcPr>
          <w:p w14:paraId="1F21DF12"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1°</w:t>
            </w:r>
          </w:p>
        </w:tc>
        <w:tc>
          <w:tcPr>
            <w:tcW w:w="1654" w:type="dxa"/>
            <w:tcMar>
              <w:top w:w="43" w:type="dxa"/>
              <w:left w:w="72" w:type="dxa"/>
              <w:right w:w="72" w:type="dxa"/>
            </w:tcMar>
            <w:vAlign w:val="center"/>
          </w:tcPr>
          <w:p w14:paraId="717778D2"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1.3</w:t>
            </w:r>
            <w:r>
              <w:rPr>
                <w:rFonts w:ascii="Garamond" w:hAnsi="Garamond"/>
                <w:sz w:val="20"/>
                <w:szCs w:val="20"/>
              </w:rPr>
              <w:t>4</w:t>
            </w:r>
            <w:r w:rsidRPr="00C65517">
              <w:rPr>
                <w:rFonts w:ascii="Garamond" w:hAnsi="Garamond"/>
                <w:sz w:val="20"/>
                <w:szCs w:val="20"/>
              </w:rPr>
              <w:t xml:space="preserve"> ± 0.27</w:t>
            </w:r>
          </w:p>
        </w:tc>
        <w:tc>
          <w:tcPr>
            <w:tcW w:w="1449" w:type="dxa"/>
            <w:vAlign w:val="center"/>
          </w:tcPr>
          <w:p w14:paraId="0F6314D7"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Ω</w:t>
            </w:r>
          </w:p>
        </w:tc>
        <w:tc>
          <w:tcPr>
            <w:tcW w:w="2096" w:type="dxa"/>
            <w:vAlign w:val="center"/>
          </w:tcPr>
          <w:p w14:paraId="67233C04"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fldChar w:fldCharType="begin" w:fldLock="1"/>
            </w:r>
            <w:r w:rsidR="008A7BE4">
              <w:rPr>
                <w:rFonts w:ascii="Garamond" w:hAnsi="Garamond"/>
                <w:sz w:val="20"/>
                <w:szCs w:val="20"/>
              </w:rPr>
              <w:instrText>ADDIN CSL_CITATION {"citationItems":[{"id":"ITEM-1","itemData":{"DOI":"10.1594/PANGAEA.911117","author":[{"dropping-particle":"","family":"Wei","given":"Chih-Lin","non-dropping-particle":"","parse-names":false,"suffix":""},{"dropping-particle":"","family":"González</w:instrText>
            </w:r>
            <w:r w:rsidR="008A7BE4">
              <w:rPr>
                <w:rFonts w:ascii="Times New Roman" w:hAnsi="Times New Roman" w:cs="Times New Roman"/>
                <w:sz w:val="20"/>
                <w:szCs w:val="20"/>
              </w:rPr>
              <w:instrText>‐</w:instrText>
            </w:r>
            <w:r w:rsidR="008A7BE4">
              <w:rPr>
                <w:rFonts w:ascii="Garamond" w:hAnsi="Garamond"/>
                <w:sz w:val="20"/>
                <w:szCs w:val="20"/>
              </w:rPr>
              <w:instrText>Irusta","given":"Jos</w:instrText>
            </w:r>
            <w:r w:rsidR="008A7BE4">
              <w:rPr>
                <w:rFonts w:ascii="Garamond" w:hAnsi="Garamond" w:cs="Garamond"/>
                <w:sz w:val="20"/>
                <w:szCs w:val="20"/>
              </w:rPr>
              <w:instrText>é</w:instrText>
            </w:r>
            <w:r w:rsidR="008A7BE4">
              <w:rPr>
                <w:rFonts w:ascii="Times New Roman" w:hAnsi="Times New Roman" w:cs="Times New Roman"/>
                <w:sz w:val="20"/>
                <w:szCs w:val="20"/>
              </w:rPr>
              <w:instrText>‐</w:instrText>
            </w:r>
            <w:r w:rsidR="008A7BE4">
              <w:rPr>
                <w:rFonts w:ascii="Garamond" w:hAnsi="Garamond"/>
                <w:sz w:val="20"/>
                <w:szCs w:val="20"/>
              </w:rPr>
              <w:instrText>Manuel","non-dropping-particle":"","parse-names":false,"suffix":""},{"dropping-particle":"","family":"Dominguez</w:instrText>
            </w:r>
            <w:r w:rsidR="008A7BE4">
              <w:rPr>
                <w:rFonts w:ascii="Times New Roman" w:hAnsi="Times New Roman" w:cs="Times New Roman"/>
                <w:sz w:val="20"/>
                <w:szCs w:val="20"/>
              </w:rPr>
              <w:instrText>‐</w:instrText>
            </w:r>
            <w:r w:rsidR="008A7BE4">
              <w:rPr>
                <w:rFonts w:ascii="Garamond" w:hAnsi="Garamond"/>
                <w:sz w:val="20"/>
                <w:szCs w:val="20"/>
              </w:rPr>
              <w:instrText>Carri</w:instrText>
            </w:r>
            <w:r w:rsidR="008A7BE4">
              <w:rPr>
                <w:rFonts w:ascii="Garamond" w:hAnsi="Garamond" w:cs="Garamond"/>
                <w:sz w:val="20"/>
                <w:szCs w:val="20"/>
              </w:rPr>
              <w:instrText>ó</w:instrText>
            </w:r>
            <w:r w:rsidR="008A7BE4">
              <w:rPr>
                <w:rFonts w:ascii="Garamond" w:hAnsi="Garamond"/>
                <w:sz w:val="20"/>
                <w:szCs w:val="20"/>
              </w:rPr>
              <w:instrText>","given":"Carlos","non-dropping-particle":"","parse-names":false,"suffix":""},{"dropping-particle":"","family":"Morato","given":"Telmo","non-dropping-particle":"","parse-names":false,"suffix":""}],"container-title":"PANGEA","id":"ITEM-1","issued":{"date-parts":[["2020"]]},"title":"Set of terrain (static in time) and environmental (dynamic in time) variables used as candidate predictors of present-day (1951-2000) and future (2081-2100) suitable habitat of cold-water corals and deep-sea fishes in the North Atlantic","type":"report"},"uris":["http://www.mendeley.com/documents/?uuid=de1e0449-e4d4-45da-9d01-e6fee4d5baa4"]}],"mendeley":{"formattedCitation":"(Wei et al., 2020)","manualFormatting":"Wei et al., 2020","plainTextFormattedCitation":"(Wei et al., 2020)","previouslyFormattedCitation":"(Wei et al., 2020)"},"properties":{"noteIndex":0},"schema":"https://github.com/citation-style-language/schema/raw/master/csl-citation.json"}</w:instrText>
            </w:r>
            <w:r w:rsidRPr="00C65517">
              <w:rPr>
                <w:rFonts w:ascii="Garamond" w:hAnsi="Garamond"/>
                <w:sz w:val="20"/>
                <w:szCs w:val="20"/>
              </w:rPr>
              <w:fldChar w:fldCharType="separate"/>
            </w:r>
            <w:r w:rsidRPr="001548CF">
              <w:rPr>
                <w:rFonts w:ascii="Garamond" w:hAnsi="Garamond"/>
                <w:noProof/>
                <w:sz w:val="20"/>
                <w:szCs w:val="20"/>
              </w:rPr>
              <w:t>Wei et al., 2020</w:t>
            </w:r>
            <w:r w:rsidRPr="00C65517">
              <w:rPr>
                <w:rFonts w:ascii="Garamond" w:hAnsi="Garamond"/>
                <w:sz w:val="20"/>
                <w:szCs w:val="20"/>
              </w:rPr>
              <w:fldChar w:fldCharType="end"/>
            </w:r>
          </w:p>
        </w:tc>
      </w:tr>
      <w:tr w:rsidR="00935329" w:rsidRPr="00C65517" w14:paraId="7F2C30DC" w14:textId="77777777" w:rsidTr="00491184">
        <w:trPr>
          <w:trHeight w:val="360"/>
          <w:jc w:val="center"/>
        </w:trPr>
        <w:tc>
          <w:tcPr>
            <w:tcW w:w="2586" w:type="dxa"/>
            <w:tcMar>
              <w:top w:w="43" w:type="dxa"/>
              <w:left w:w="72" w:type="dxa"/>
              <w:right w:w="72" w:type="dxa"/>
            </w:tcMar>
            <w:vAlign w:val="center"/>
          </w:tcPr>
          <w:p w14:paraId="356993B7" w14:textId="77777777" w:rsidR="00935329" w:rsidRPr="00C65517" w:rsidRDefault="00935329" w:rsidP="00491184">
            <w:pPr>
              <w:tabs>
                <w:tab w:val="center" w:pos="4513"/>
              </w:tabs>
              <w:rPr>
                <w:rFonts w:ascii="Garamond" w:hAnsi="Garamond"/>
                <w:sz w:val="20"/>
                <w:szCs w:val="20"/>
              </w:rPr>
            </w:pPr>
            <w:r w:rsidRPr="00C65517">
              <w:rPr>
                <w:rFonts w:ascii="Garamond" w:hAnsi="Garamond"/>
                <w:sz w:val="20"/>
                <w:szCs w:val="20"/>
              </w:rPr>
              <w:t>Calcite</w:t>
            </w:r>
          </w:p>
        </w:tc>
        <w:tc>
          <w:tcPr>
            <w:tcW w:w="1241" w:type="dxa"/>
            <w:tcMar>
              <w:top w:w="43" w:type="dxa"/>
              <w:left w:w="72" w:type="dxa"/>
              <w:right w:w="72" w:type="dxa"/>
            </w:tcMar>
            <w:vAlign w:val="center"/>
          </w:tcPr>
          <w:p w14:paraId="2E54932C"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1°</w:t>
            </w:r>
          </w:p>
        </w:tc>
        <w:tc>
          <w:tcPr>
            <w:tcW w:w="1654" w:type="dxa"/>
            <w:tcMar>
              <w:top w:w="43" w:type="dxa"/>
              <w:left w:w="72" w:type="dxa"/>
              <w:right w:w="72" w:type="dxa"/>
            </w:tcMar>
            <w:vAlign w:val="center"/>
          </w:tcPr>
          <w:p w14:paraId="7D9EC198"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2.07 ± 0.43</w:t>
            </w:r>
          </w:p>
        </w:tc>
        <w:tc>
          <w:tcPr>
            <w:tcW w:w="1449" w:type="dxa"/>
            <w:vAlign w:val="center"/>
          </w:tcPr>
          <w:p w14:paraId="4E75D06A"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Ω</w:t>
            </w:r>
          </w:p>
        </w:tc>
        <w:tc>
          <w:tcPr>
            <w:tcW w:w="2096" w:type="dxa"/>
            <w:vAlign w:val="center"/>
          </w:tcPr>
          <w:p w14:paraId="18C95770"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fldChar w:fldCharType="begin" w:fldLock="1"/>
            </w:r>
            <w:r w:rsidR="008A7BE4">
              <w:rPr>
                <w:rFonts w:ascii="Garamond" w:hAnsi="Garamond"/>
                <w:sz w:val="20"/>
                <w:szCs w:val="20"/>
              </w:rPr>
              <w:instrText>ADDIN CSL_CITATION {"citationItems":[{"id":"ITEM-1","itemData":{"DOI":"10.1594/PANGAEA.911117","author":[{"dropping-particle":"","family":"Wei","given":"Chih-Lin","non-dropping-particle":"","parse-names":false,"suffix":""},{"dropping-particle":"","family":"González</w:instrText>
            </w:r>
            <w:r w:rsidR="008A7BE4">
              <w:rPr>
                <w:rFonts w:ascii="Times New Roman" w:hAnsi="Times New Roman" w:cs="Times New Roman"/>
                <w:sz w:val="20"/>
                <w:szCs w:val="20"/>
              </w:rPr>
              <w:instrText>‐</w:instrText>
            </w:r>
            <w:r w:rsidR="008A7BE4">
              <w:rPr>
                <w:rFonts w:ascii="Garamond" w:hAnsi="Garamond"/>
                <w:sz w:val="20"/>
                <w:szCs w:val="20"/>
              </w:rPr>
              <w:instrText>Irusta","given":"Jos</w:instrText>
            </w:r>
            <w:r w:rsidR="008A7BE4">
              <w:rPr>
                <w:rFonts w:ascii="Garamond" w:hAnsi="Garamond" w:cs="Garamond"/>
                <w:sz w:val="20"/>
                <w:szCs w:val="20"/>
              </w:rPr>
              <w:instrText>é</w:instrText>
            </w:r>
            <w:r w:rsidR="008A7BE4">
              <w:rPr>
                <w:rFonts w:ascii="Times New Roman" w:hAnsi="Times New Roman" w:cs="Times New Roman"/>
                <w:sz w:val="20"/>
                <w:szCs w:val="20"/>
              </w:rPr>
              <w:instrText>‐</w:instrText>
            </w:r>
            <w:r w:rsidR="008A7BE4">
              <w:rPr>
                <w:rFonts w:ascii="Garamond" w:hAnsi="Garamond"/>
                <w:sz w:val="20"/>
                <w:szCs w:val="20"/>
              </w:rPr>
              <w:instrText>Manuel","non-dropping-particle":"","parse-names":false,"suffix":""},{"dropping-particle":"","family":"Dominguez</w:instrText>
            </w:r>
            <w:r w:rsidR="008A7BE4">
              <w:rPr>
                <w:rFonts w:ascii="Times New Roman" w:hAnsi="Times New Roman" w:cs="Times New Roman"/>
                <w:sz w:val="20"/>
                <w:szCs w:val="20"/>
              </w:rPr>
              <w:instrText>‐</w:instrText>
            </w:r>
            <w:r w:rsidR="008A7BE4">
              <w:rPr>
                <w:rFonts w:ascii="Garamond" w:hAnsi="Garamond"/>
                <w:sz w:val="20"/>
                <w:szCs w:val="20"/>
              </w:rPr>
              <w:instrText>Carri</w:instrText>
            </w:r>
            <w:r w:rsidR="008A7BE4">
              <w:rPr>
                <w:rFonts w:ascii="Garamond" w:hAnsi="Garamond" w:cs="Garamond"/>
                <w:sz w:val="20"/>
                <w:szCs w:val="20"/>
              </w:rPr>
              <w:instrText>ó</w:instrText>
            </w:r>
            <w:r w:rsidR="008A7BE4">
              <w:rPr>
                <w:rFonts w:ascii="Garamond" w:hAnsi="Garamond"/>
                <w:sz w:val="20"/>
                <w:szCs w:val="20"/>
              </w:rPr>
              <w:instrText>","given":"Carlos","non-dropping-particle":"","parse-names":false,"suffix":""},{"dropping-particle":"","family":"Morato","given":"Telmo","non-dropping-particle":"","parse-names":false,"suffix":""}],"container-title":"PANGEA","id":"ITEM-1","issued":{"date-parts":[["2020"]]},"title":"Set of terrain (static in time) and environmental (dynamic in time) variables used as candidate predictors of present-day (1951-2000) and future (2081-2100) suitable habitat of cold-water corals and deep-sea fishes in the North Atlantic","type":"report"},"uris":["http://www.mendeley.com/documents/?uuid=de1e0449-e4d4-45da-9d01-e6fee4d5baa4"]}],"mendeley":{"formattedCitation":"(Wei et al., 2020)","manualFormatting":"Wei et al., 2020","plainTextFormattedCitation":"(Wei et al., 2020)","previouslyFormattedCitation":"(Wei et al., 2020)"},"properties":{"noteIndex":0},"schema":"https://github.com/citation-style-language/schema/raw/master/csl-citation.json"}</w:instrText>
            </w:r>
            <w:r w:rsidRPr="00C65517">
              <w:rPr>
                <w:rFonts w:ascii="Garamond" w:hAnsi="Garamond"/>
                <w:sz w:val="20"/>
                <w:szCs w:val="20"/>
              </w:rPr>
              <w:fldChar w:fldCharType="separate"/>
            </w:r>
            <w:r w:rsidRPr="001548CF">
              <w:rPr>
                <w:rFonts w:ascii="Garamond" w:hAnsi="Garamond"/>
                <w:noProof/>
                <w:sz w:val="20"/>
                <w:szCs w:val="20"/>
              </w:rPr>
              <w:t>Wei et al., 2020</w:t>
            </w:r>
            <w:r w:rsidRPr="00C65517">
              <w:rPr>
                <w:rFonts w:ascii="Garamond" w:hAnsi="Garamond"/>
                <w:sz w:val="20"/>
                <w:szCs w:val="20"/>
              </w:rPr>
              <w:fldChar w:fldCharType="end"/>
            </w:r>
          </w:p>
        </w:tc>
      </w:tr>
      <w:tr w:rsidR="00935329" w:rsidRPr="00C65517" w14:paraId="5A33B7B2" w14:textId="77777777" w:rsidTr="00491184">
        <w:trPr>
          <w:trHeight w:val="360"/>
          <w:jc w:val="center"/>
        </w:trPr>
        <w:tc>
          <w:tcPr>
            <w:tcW w:w="2586" w:type="dxa"/>
            <w:tcMar>
              <w:top w:w="43" w:type="dxa"/>
              <w:left w:w="72" w:type="dxa"/>
              <w:right w:w="72" w:type="dxa"/>
            </w:tcMar>
            <w:vAlign w:val="center"/>
          </w:tcPr>
          <w:p w14:paraId="5D5B6B92" w14:textId="77777777" w:rsidR="00935329" w:rsidRPr="00C65517" w:rsidRDefault="00935329" w:rsidP="00491184">
            <w:pPr>
              <w:tabs>
                <w:tab w:val="center" w:pos="4513"/>
              </w:tabs>
              <w:rPr>
                <w:rFonts w:ascii="Garamond" w:hAnsi="Garamond"/>
                <w:sz w:val="20"/>
                <w:szCs w:val="20"/>
              </w:rPr>
            </w:pPr>
            <w:r w:rsidRPr="00C65517">
              <w:rPr>
                <w:rFonts w:ascii="Garamond" w:hAnsi="Garamond"/>
                <w:sz w:val="20"/>
                <w:szCs w:val="20"/>
              </w:rPr>
              <w:t>Nitrate</w:t>
            </w:r>
          </w:p>
        </w:tc>
        <w:tc>
          <w:tcPr>
            <w:tcW w:w="1241" w:type="dxa"/>
            <w:tcMar>
              <w:top w:w="43" w:type="dxa"/>
              <w:left w:w="72" w:type="dxa"/>
              <w:right w:w="72" w:type="dxa"/>
            </w:tcMar>
            <w:vAlign w:val="center"/>
          </w:tcPr>
          <w:p w14:paraId="173A9F6D"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1°</w:t>
            </w:r>
          </w:p>
        </w:tc>
        <w:tc>
          <w:tcPr>
            <w:tcW w:w="1654" w:type="dxa"/>
            <w:tcMar>
              <w:top w:w="43" w:type="dxa"/>
              <w:left w:w="72" w:type="dxa"/>
              <w:right w:w="72" w:type="dxa"/>
            </w:tcMar>
            <w:vAlign w:val="center"/>
          </w:tcPr>
          <w:p w14:paraId="3F02D4D7"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17.74 ± 1.90</w:t>
            </w:r>
          </w:p>
        </w:tc>
        <w:tc>
          <w:tcPr>
            <w:tcW w:w="1449" w:type="dxa"/>
            <w:vAlign w:val="center"/>
          </w:tcPr>
          <w:p w14:paraId="6AAC1771"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µmol/l</w:t>
            </w:r>
          </w:p>
        </w:tc>
        <w:tc>
          <w:tcPr>
            <w:tcW w:w="2096" w:type="dxa"/>
            <w:vAlign w:val="center"/>
          </w:tcPr>
          <w:p w14:paraId="670C33FF"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fldChar w:fldCharType="begin" w:fldLock="1"/>
            </w:r>
            <w:r>
              <w:rPr>
                <w:rFonts w:ascii="Garamond" w:hAnsi="Garamond"/>
                <w:sz w:val="20"/>
                <w:szCs w:val="20"/>
              </w:rPr>
              <w:instrText>ADDIN CSL_CITATION {"citationItems":[{"id":"ITEM-1","itemData":{"DOI":"10.3389/fmars.2017.00056","ISSN":"2296-7745","abstract":"Obtaining a comprehensive knowledge of the spatial and temporal variations of the environmental factors characterising the Azores region is essential for conservation and management purposes. Although many studies are available for the region, there is a need for a general overview of the best available information. Here, we assembled a comprehensive collection of environmental data and briefly described the ocean climatology and its variability in the Azores. Data sources used in this study included remote sensing oceanographic data for 2003-2013 (sea surface temperature, chlorophyll-a concentration, particulate inorganic carbon and particulate organic carbon), derived oceanographic data (primary productivity and North Atlantic oscillation index) for 2003-2013, and in situ data (temperature, salinity, oxygen, phosphate, nitrate and silicate) obtained from the World Ocean Atlas 2013. We have produced 78 geographic datasets of environmental data for the Azores region that were deposited at the World Data Center Pangaea and also made available at the SIGMAR Azores website. As with previous studies, our results confirmed a high spatial, seasonal and inter-annual variability of the marine environment in the Azores region, typical of mid latitudes. For example, lower sea surface temperature was found in the northern part of the study area coinciding with higher values for chlorophyll-a concentration, net primary production, and particulate organic and inorganic carbon. Higher values for some of these parameters were also found on island slopes and some seamounts. Compiled data on the environmental conditions at near-seabed revealed some notable variations across the study area (e.g. oxygen and nutrients) and with depth (e.g. temperature, salinity, and oxygen). Knowledge of these patterns will help improve our understanding of the distribution of many deep-sea organisms such as fish, cold-water corals and sponges, thereby supporting the implementation of marine spatial planning and other management measures. It should be noted, that the assembled datasets suffer from a number of limitations related to the accuracy of remote sensing and global bathymetry data, or to the limited and unevenly distributed historical environmental observations. Accordingly, an effective global network of observing systems for detecting oceanic change with adequate accuracy and precision is still required.","author":[{"dropping-particle":"","family":"Amorim","given":"Patrícia","non-dropping-particle":"","parse-names":false,"suffix":""},{"dropping-particle":"","family":"Perán","given":"António D.","non-dropping-particle":"","parse-names":false,"suffix":""},{"dropping-particle":"","family":"Pham","given":"Christopher K.","non-dropping-particle":"","parse-names":false,"suffix":""},{"dropping-particle":"","family":"Juliano","given":"Manuela","non-dropping-particle":"","parse-names":false,"suffix":""},{"dropping-particle":"","family":"Cardigos","given":"Frederico","non-dropping-particle":"","parse-names":false,"suffix":""},{"dropping-particle":"","family":"Tempera","given":"Fernando","non-dropping-particle":"","parse-names":false,"suffix":""},{"dropping-particle":"","family":"Morato","given":"Telmo","non-dropping-particle":"","parse-names":false,"suffix":""}],"container-title":"Frontiers in Marine Science","id":"ITEM-1","issue":"MAR","issued":{"date-parts":[["2017","3","7"]]},"page":"1-16","title":"Overview of the Ocean Climatology and Its Variability in the Azores Region of the North Atlantic Including Environmental Characteristics at the Seabed","type":"article-journal","volume":"4"},"uris":["http://www.mendeley.com/documents/?uuid=fa8f8b3e-53e8-438b-86bf-1832b51f630a"]}],"mendeley":{"formattedCitation":"(Amorim et al., 2017)","manualFormatting":"Amorim et al., 2017","plainTextFormattedCitation":"(Amorim et al., 2017)","previouslyFormattedCitation":"(Amorim et al., 2017)"},"properties":{"noteIndex":0},"schema":"https://github.com/citation-style-language/schema/raw/master/csl-citation.json"}</w:instrText>
            </w:r>
            <w:r w:rsidRPr="00C65517">
              <w:rPr>
                <w:rFonts w:ascii="Garamond" w:hAnsi="Garamond"/>
                <w:sz w:val="20"/>
                <w:szCs w:val="20"/>
              </w:rPr>
              <w:fldChar w:fldCharType="separate"/>
            </w:r>
            <w:r w:rsidRPr="00C65517">
              <w:rPr>
                <w:rFonts w:ascii="Garamond" w:hAnsi="Garamond"/>
                <w:noProof/>
                <w:sz w:val="20"/>
                <w:szCs w:val="20"/>
              </w:rPr>
              <w:t>Amorim et al., 2017</w:t>
            </w:r>
            <w:r w:rsidRPr="00C65517">
              <w:rPr>
                <w:rFonts w:ascii="Garamond" w:hAnsi="Garamond"/>
                <w:sz w:val="20"/>
                <w:szCs w:val="20"/>
              </w:rPr>
              <w:fldChar w:fldCharType="end"/>
            </w:r>
          </w:p>
        </w:tc>
      </w:tr>
      <w:tr w:rsidR="00935329" w:rsidRPr="00C65517" w14:paraId="0D2CCC95" w14:textId="77777777" w:rsidTr="00491184">
        <w:trPr>
          <w:trHeight w:val="360"/>
          <w:jc w:val="center"/>
        </w:trPr>
        <w:tc>
          <w:tcPr>
            <w:tcW w:w="2586" w:type="dxa"/>
            <w:tcMar>
              <w:top w:w="43" w:type="dxa"/>
              <w:left w:w="72" w:type="dxa"/>
              <w:right w:w="72" w:type="dxa"/>
            </w:tcMar>
            <w:vAlign w:val="center"/>
          </w:tcPr>
          <w:p w14:paraId="0D1AFD63" w14:textId="77777777" w:rsidR="00935329" w:rsidRPr="00C65517" w:rsidRDefault="00935329" w:rsidP="00491184">
            <w:pPr>
              <w:tabs>
                <w:tab w:val="center" w:pos="4513"/>
              </w:tabs>
              <w:rPr>
                <w:rFonts w:ascii="Garamond" w:hAnsi="Garamond"/>
                <w:sz w:val="20"/>
                <w:szCs w:val="20"/>
              </w:rPr>
            </w:pPr>
            <w:r w:rsidRPr="00C65517">
              <w:rPr>
                <w:rFonts w:ascii="Garamond" w:hAnsi="Garamond"/>
                <w:sz w:val="20"/>
                <w:szCs w:val="20"/>
              </w:rPr>
              <w:t>Phosphate</w:t>
            </w:r>
          </w:p>
        </w:tc>
        <w:tc>
          <w:tcPr>
            <w:tcW w:w="1241" w:type="dxa"/>
            <w:tcMar>
              <w:top w:w="43" w:type="dxa"/>
              <w:left w:w="72" w:type="dxa"/>
              <w:right w:w="72" w:type="dxa"/>
            </w:tcMar>
            <w:vAlign w:val="center"/>
          </w:tcPr>
          <w:p w14:paraId="5F776AA5"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1°</w:t>
            </w:r>
          </w:p>
        </w:tc>
        <w:tc>
          <w:tcPr>
            <w:tcW w:w="1654" w:type="dxa"/>
            <w:tcMar>
              <w:top w:w="43" w:type="dxa"/>
              <w:left w:w="72" w:type="dxa"/>
              <w:right w:w="72" w:type="dxa"/>
            </w:tcMar>
            <w:vAlign w:val="center"/>
          </w:tcPr>
          <w:p w14:paraId="0343382D"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1.14 ± 0.13</w:t>
            </w:r>
          </w:p>
        </w:tc>
        <w:tc>
          <w:tcPr>
            <w:tcW w:w="1449" w:type="dxa"/>
            <w:vAlign w:val="center"/>
          </w:tcPr>
          <w:p w14:paraId="44CECFF8"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µmol/l</w:t>
            </w:r>
          </w:p>
        </w:tc>
        <w:tc>
          <w:tcPr>
            <w:tcW w:w="2096" w:type="dxa"/>
            <w:vAlign w:val="center"/>
          </w:tcPr>
          <w:p w14:paraId="4D0D2AB9"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fldChar w:fldCharType="begin" w:fldLock="1"/>
            </w:r>
            <w:r>
              <w:rPr>
                <w:rFonts w:ascii="Garamond" w:hAnsi="Garamond"/>
                <w:sz w:val="20"/>
                <w:szCs w:val="20"/>
              </w:rPr>
              <w:instrText>ADDIN CSL_CITATION {"citationItems":[{"id":"ITEM-1","itemData":{"DOI":"10.3389/fmars.2017.00056","ISSN":"2296-7745","abstract":"Obtaining a comprehensive knowledge of the spatial and temporal variations of the environmental factors characterising the Azores region is essential for conservation and management purposes. Although many studies are available for the region, there is a need for a general overview of the best available information. Here, we assembled a comprehensive collection of environmental data and briefly described the ocean climatology and its variability in the Azores. Data sources used in this study included remote sensing oceanographic data for 2003-2013 (sea surface temperature, chlorophyll-a concentration, particulate inorganic carbon and particulate organic carbon), derived oceanographic data (primary productivity and North Atlantic oscillation index) for 2003-2013, and in situ data (temperature, salinity, oxygen, phosphate, nitrate and silicate) obtained from the World Ocean Atlas 2013. We have produced 78 geographic datasets of environmental data for the Azores region that were deposited at the World Data Center Pangaea and also made available at the SIGMAR Azores website. As with previous studies, our results confirmed a high spatial, seasonal and inter-annual variability of the marine environment in the Azores region, typical of mid latitudes. For example, lower sea surface temperature was found in the northern part of the study area coinciding with higher values for chlorophyll-a concentration, net primary production, and particulate organic and inorganic carbon. Higher values for some of these parameters were also found on island slopes and some seamounts. Compiled data on the environmental conditions at near-seabed revealed some notable variations across the study area (e.g. oxygen and nutrients) and with depth (e.g. temperature, salinity, and oxygen). Knowledge of these patterns will help improve our understanding of the distribution of many deep-sea organisms such as fish, cold-water corals and sponges, thereby supporting the implementation of marine spatial planning and other management measures. It should be noted, that the assembled datasets suffer from a number of limitations related to the accuracy of remote sensing and global bathymetry data, or to the limited and unevenly distributed historical environmental observations. Accordingly, an effective global network of observing systems for detecting oceanic change with adequate accuracy and precision is still required.","author":[{"dropping-particle":"","family":"Amorim","given":"Patrícia","non-dropping-particle":"","parse-names":false,"suffix":""},{"dropping-particle":"","family":"Perán","given":"António D.","non-dropping-particle":"","parse-names":false,"suffix":""},{"dropping-particle":"","family":"Pham","given":"Christopher K.","non-dropping-particle":"","parse-names":false,"suffix":""},{"dropping-particle":"","family":"Juliano","given":"Manuela","non-dropping-particle":"","parse-names":false,"suffix":""},{"dropping-particle":"","family":"Cardigos","given":"Frederico","non-dropping-particle":"","parse-names":false,"suffix":""},{"dropping-particle":"","family":"Tempera","given":"Fernando","non-dropping-particle":"","parse-names":false,"suffix":""},{"dropping-particle":"","family":"Morato","given":"Telmo","non-dropping-particle":"","parse-names":false,"suffix":""}],"container-title":"Frontiers in Marine Science","id":"ITEM-1","issue":"MAR","issued":{"date-parts":[["2017","3","7"]]},"page":"1-16","title":"Overview of the Ocean Climatology and Its Variability in the Azores Region of the North Atlantic Including Environmental Characteristics at the Seabed","type":"article-journal","volume":"4"},"uris":["http://www.mendeley.com/documents/?uuid=fa8f8b3e-53e8-438b-86bf-1832b51f630a"]}],"mendeley":{"formattedCitation":"(Amorim et al., 2017)","manualFormatting":"Amorim et al., 2017","plainTextFormattedCitation":"(Amorim et al., 2017)","previouslyFormattedCitation":"(Amorim et al., 2017)"},"properties":{"noteIndex":0},"schema":"https://github.com/citation-style-language/schema/raw/master/csl-citation.json"}</w:instrText>
            </w:r>
            <w:r w:rsidRPr="00C65517">
              <w:rPr>
                <w:rFonts w:ascii="Garamond" w:hAnsi="Garamond"/>
                <w:sz w:val="20"/>
                <w:szCs w:val="20"/>
              </w:rPr>
              <w:fldChar w:fldCharType="separate"/>
            </w:r>
            <w:r w:rsidRPr="00C65517">
              <w:rPr>
                <w:rFonts w:ascii="Garamond" w:hAnsi="Garamond"/>
                <w:noProof/>
                <w:sz w:val="20"/>
                <w:szCs w:val="20"/>
              </w:rPr>
              <w:t>Amorim et al., 2017</w:t>
            </w:r>
            <w:r w:rsidRPr="00C65517">
              <w:rPr>
                <w:rFonts w:ascii="Garamond" w:hAnsi="Garamond"/>
                <w:sz w:val="20"/>
                <w:szCs w:val="20"/>
              </w:rPr>
              <w:fldChar w:fldCharType="end"/>
            </w:r>
          </w:p>
        </w:tc>
      </w:tr>
      <w:tr w:rsidR="00935329" w:rsidRPr="00C65517" w14:paraId="4D60C4F7" w14:textId="77777777" w:rsidTr="00491184">
        <w:trPr>
          <w:trHeight w:val="360"/>
          <w:jc w:val="center"/>
        </w:trPr>
        <w:tc>
          <w:tcPr>
            <w:tcW w:w="2586" w:type="dxa"/>
            <w:tcMar>
              <w:top w:w="43" w:type="dxa"/>
              <w:left w:w="72" w:type="dxa"/>
              <w:right w:w="72" w:type="dxa"/>
            </w:tcMar>
            <w:vAlign w:val="center"/>
          </w:tcPr>
          <w:p w14:paraId="0AB12DA6" w14:textId="77777777" w:rsidR="00935329" w:rsidRPr="00C65517" w:rsidRDefault="00935329" w:rsidP="00491184">
            <w:pPr>
              <w:tabs>
                <w:tab w:val="center" w:pos="4513"/>
              </w:tabs>
              <w:rPr>
                <w:rFonts w:ascii="Garamond" w:hAnsi="Garamond"/>
                <w:sz w:val="20"/>
                <w:szCs w:val="20"/>
              </w:rPr>
            </w:pPr>
            <w:r w:rsidRPr="00C65517">
              <w:rPr>
                <w:rFonts w:ascii="Garamond" w:hAnsi="Garamond"/>
                <w:sz w:val="20"/>
                <w:szCs w:val="20"/>
              </w:rPr>
              <w:t>Silicate</w:t>
            </w:r>
          </w:p>
        </w:tc>
        <w:tc>
          <w:tcPr>
            <w:tcW w:w="1241" w:type="dxa"/>
            <w:tcMar>
              <w:top w:w="43" w:type="dxa"/>
              <w:left w:w="72" w:type="dxa"/>
              <w:right w:w="72" w:type="dxa"/>
            </w:tcMar>
            <w:vAlign w:val="center"/>
          </w:tcPr>
          <w:p w14:paraId="4A30F1A7"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1°</w:t>
            </w:r>
          </w:p>
        </w:tc>
        <w:tc>
          <w:tcPr>
            <w:tcW w:w="1654" w:type="dxa"/>
            <w:tcMar>
              <w:top w:w="43" w:type="dxa"/>
              <w:left w:w="72" w:type="dxa"/>
              <w:right w:w="72" w:type="dxa"/>
            </w:tcMar>
            <w:vAlign w:val="center"/>
          </w:tcPr>
          <w:p w14:paraId="52B35DEC"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12.64 ±1.85</w:t>
            </w:r>
          </w:p>
        </w:tc>
        <w:tc>
          <w:tcPr>
            <w:tcW w:w="1449" w:type="dxa"/>
            <w:vAlign w:val="center"/>
          </w:tcPr>
          <w:p w14:paraId="462700CC"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µmol/l</w:t>
            </w:r>
          </w:p>
        </w:tc>
        <w:tc>
          <w:tcPr>
            <w:tcW w:w="2096" w:type="dxa"/>
            <w:vAlign w:val="center"/>
          </w:tcPr>
          <w:p w14:paraId="615678AF"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fldChar w:fldCharType="begin" w:fldLock="1"/>
            </w:r>
            <w:r>
              <w:rPr>
                <w:rFonts w:ascii="Garamond" w:hAnsi="Garamond"/>
                <w:sz w:val="20"/>
                <w:szCs w:val="20"/>
              </w:rPr>
              <w:instrText>ADDIN CSL_CITATION {"citationItems":[{"id":"ITEM-1","itemData":{"DOI":"10.3389/fmars.2017.00056","ISSN":"2296-7745","abstract":"Obtaining a comprehensive knowledge of the spatial and temporal variations of the environmental factors characterising the Azores region is essential for conservation and management purposes. Although many studies are available for the region, there is a need for a general overview of the best available information. Here, we assembled a comprehensive collection of environmental data and briefly described the ocean climatology and its variability in the Azores. Data sources used in this study included remote sensing oceanographic data for 2003-2013 (sea surface temperature, chlorophyll-a concentration, particulate inorganic carbon and particulate organic carbon), derived oceanographic data (primary productivity and North Atlantic oscillation index) for 2003-2013, and in situ data (temperature, salinity, oxygen, phosphate, nitrate and silicate) obtained from the World Ocean Atlas 2013. We have produced 78 geographic datasets of environmental data for the Azores region that were deposited at the World Data Center Pangaea and also made available at the SIGMAR Azores website. As with previous studies, our results confirmed a high spatial, seasonal and inter-annual variability of the marine environment in the Azores region, typical of mid latitudes. For example, lower sea surface temperature was found in the northern part of the study area coinciding with higher values for chlorophyll-a concentration, net primary production, and particulate organic and inorganic carbon. Higher values for some of these parameters were also found on island slopes and some seamounts. Compiled data on the environmental conditions at near-seabed revealed some notable variations across the study area (e.g. oxygen and nutrients) and with depth (e.g. temperature, salinity, and oxygen). Knowledge of these patterns will help improve our understanding of the distribution of many deep-sea organisms such as fish, cold-water corals and sponges, thereby supporting the implementation of marine spatial planning and other management measures. It should be noted, that the assembled datasets suffer from a number of limitations related to the accuracy of remote sensing and global bathymetry data, or to the limited and unevenly distributed historical environmental observations. Accordingly, an effective global network of observing systems for detecting oceanic change with adequate accuracy and precision is still required.","author":[{"dropping-particle":"","family":"Amorim","given":"Patrícia","non-dropping-particle":"","parse-names":false,"suffix":""},{"dropping-particle":"","family":"Perán","given":"António D.","non-dropping-particle":"","parse-names":false,"suffix":""},{"dropping-particle":"","family":"Pham","given":"Christopher K.","non-dropping-particle":"","parse-names":false,"suffix":""},{"dropping-particle":"","family":"Juliano","given":"Manuela","non-dropping-particle":"","parse-names":false,"suffix":""},{"dropping-particle":"","family":"Cardigos","given":"Frederico","non-dropping-particle":"","parse-names":false,"suffix":""},{"dropping-particle":"","family":"Tempera","given":"Fernando","non-dropping-particle":"","parse-names":false,"suffix":""},{"dropping-particle":"","family":"Morato","given":"Telmo","non-dropping-particle":"","parse-names":false,"suffix":""}],"container-title":"Frontiers in Marine Science","id":"ITEM-1","issue":"MAR","issued":{"date-parts":[["2017","3","7"]]},"page":"1-16","title":"Overview of the Ocean Climatology and Its Variability in the Azores Region of the North Atlantic Including Environmental Characteristics at the Seabed","type":"article-journal","volume":"4"},"uris":["http://www.mendeley.com/documents/?uuid=fa8f8b3e-53e8-438b-86bf-1832b51f630a"]}],"mendeley":{"formattedCitation":"(Amorim et al., 2017)","manualFormatting":"Amorim et al., 2017","plainTextFormattedCitation":"(Amorim et al., 2017)","previouslyFormattedCitation":"(Amorim et al., 2017)"},"properties":{"noteIndex":0},"schema":"https://github.com/citation-style-language/schema/raw/master/csl-citation.json"}</w:instrText>
            </w:r>
            <w:r w:rsidRPr="00C65517">
              <w:rPr>
                <w:rFonts w:ascii="Garamond" w:hAnsi="Garamond"/>
                <w:sz w:val="20"/>
                <w:szCs w:val="20"/>
              </w:rPr>
              <w:fldChar w:fldCharType="separate"/>
            </w:r>
            <w:r w:rsidRPr="00C65517">
              <w:rPr>
                <w:rFonts w:ascii="Garamond" w:hAnsi="Garamond"/>
                <w:noProof/>
                <w:sz w:val="20"/>
                <w:szCs w:val="20"/>
              </w:rPr>
              <w:t>Amorim et al., 2017</w:t>
            </w:r>
            <w:r w:rsidRPr="00C65517">
              <w:rPr>
                <w:rFonts w:ascii="Garamond" w:hAnsi="Garamond"/>
                <w:sz w:val="20"/>
                <w:szCs w:val="20"/>
              </w:rPr>
              <w:fldChar w:fldCharType="end"/>
            </w:r>
          </w:p>
        </w:tc>
      </w:tr>
      <w:tr w:rsidR="00935329" w:rsidRPr="00C65517" w14:paraId="3E3FDA44" w14:textId="77777777" w:rsidTr="00491184">
        <w:trPr>
          <w:trHeight w:val="360"/>
          <w:jc w:val="center"/>
        </w:trPr>
        <w:tc>
          <w:tcPr>
            <w:tcW w:w="2586" w:type="dxa"/>
            <w:tcMar>
              <w:top w:w="43" w:type="dxa"/>
              <w:left w:w="72" w:type="dxa"/>
              <w:right w:w="72" w:type="dxa"/>
            </w:tcMar>
            <w:vAlign w:val="center"/>
          </w:tcPr>
          <w:p w14:paraId="14710715" w14:textId="77777777" w:rsidR="00935329" w:rsidRPr="00C65517" w:rsidRDefault="00935329" w:rsidP="00491184">
            <w:pPr>
              <w:tabs>
                <w:tab w:val="center" w:pos="4513"/>
              </w:tabs>
              <w:rPr>
                <w:rFonts w:ascii="Garamond" w:hAnsi="Garamond"/>
                <w:sz w:val="20"/>
                <w:szCs w:val="20"/>
              </w:rPr>
            </w:pPr>
            <w:r w:rsidRPr="00C65517">
              <w:rPr>
                <w:rFonts w:ascii="Garamond" w:hAnsi="Garamond"/>
                <w:sz w:val="20"/>
                <w:szCs w:val="20"/>
              </w:rPr>
              <w:t>Dissolved Oxygen</w:t>
            </w:r>
          </w:p>
        </w:tc>
        <w:tc>
          <w:tcPr>
            <w:tcW w:w="1241" w:type="dxa"/>
            <w:tcMar>
              <w:top w:w="43" w:type="dxa"/>
              <w:left w:w="72" w:type="dxa"/>
              <w:right w:w="72" w:type="dxa"/>
            </w:tcMar>
            <w:vAlign w:val="center"/>
          </w:tcPr>
          <w:p w14:paraId="4F2971D1"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1°</w:t>
            </w:r>
          </w:p>
        </w:tc>
        <w:tc>
          <w:tcPr>
            <w:tcW w:w="1654" w:type="dxa"/>
            <w:tcMar>
              <w:top w:w="43" w:type="dxa"/>
              <w:left w:w="72" w:type="dxa"/>
              <w:right w:w="72" w:type="dxa"/>
            </w:tcMar>
            <w:vAlign w:val="center"/>
          </w:tcPr>
          <w:p w14:paraId="040039D1"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5.58 ± 0.51</w:t>
            </w:r>
          </w:p>
        </w:tc>
        <w:tc>
          <w:tcPr>
            <w:tcW w:w="1449" w:type="dxa"/>
            <w:vAlign w:val="center"/>
          </w:tcPr>
          <w:p w14:paraId="17B6C711" w14:textId="77777777" w:rsidR="00935329" w:rsidRPr="00C65517" w:rsidRDefault="00935329" w:rsidP="00491184">
            <w:pPr>
              <w:tabs>
                <w:tab w:val="center" w:pos="4513"/>
              </w:tabs>
              <w:jc w:val="center"/>
              <w:rPr>
                <w:rFonts w:ascii="Garamond" w:hAnsi="Garamond"/>
                <w:sz w:val="20"/>
                <w:szCs w:val="20"/>
              </w:rPr>
            </w:pPr>
            <w:r>
              <w:rPr>
                <w:rFonts w:ascii="Garamond" w:hAnsi="Garamond"/>
                <w:sz w:val="20"/>
                <w:szCs w:val="20"/>
              </w:rPr>
              <w:t>ml</w:t>
            </w:r>
            <w:r w:rsidRPr="00C65517">
              <w:rPr>
                <w:rFonts w:ascii="Garamond" w:hAnsi="Garamond"/>
                <w:sz w:val="20"/>
                <w:szCs w:val="20"/>
              </w:rPr>
              <w:t>/l</w:t>
            </w:r>
          </w:p>
        </w:tc>
        <w:tc>
          <w:tcPr>
            <w:tcW w:w="2096" w:type="dxa"/>
            <w:vAlign w:val="center"/>
          </w:tcPr>
          <w:p w14:paraId="59FF9D3C"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fldChar w:fldCharType="begin" w:fldLock="1"/>
            </w:r>
            <w:r>
              <w:rPr>
                <w:rFonts w:ascii="Garamond" w:hAnsi="Garamond"/>
                <w:sz w:val="20"/>
                <w:szCs w:val="20"/>
              </w:rPr>
              <w:instrText>ADDIN CSL_CITATION {"citationItems":[{"id":"ITEM-1","itemData":{"DOI":"10.3389/fmars.2017.00056","ISSN":"2296-7745","abstract":"Obtaining a comprehensive knowledge of the spatial and temporal variations of the environmental factors characterising the Azores region is essential for conservation and management purposes. Although many studies are available for the region, there is a need for a general overview of the best available information. Here, we assembled a comprehensive collection of environmental data and briefly described the ocean climatology and its variability in the Azores. Data sources used in this study included remote sensing oceanographic data for 2003-2013 (sea surface temperature, chlorophyll-a concentration, particulate inorganic carbon and particulate organic carbon), derived oceanographic data (primary productivity and North Atlantic oscillation index) for 2003-2013, and in situ data (temperature, salinity, oxygen, phosphate, nitrate and silicate) obtained from the World Ocean Atlas 2013. We have produced 78 geographic datasets of environmental data for the Azores region that were deposited at the World Data Center Pangaea and also made available at the SIGMAR Azores website. As with previous studies, our results confirmed a high spatial, seasonal and inter-annual variability of the marine environment in the Azores region, typical of mid latitudes. For example, lower sea surface temperature was found in the northern part of the study area coinciding with higher values for chlorophyll-a concentration, net primary production, and particulate organic and inorganic carbon. Higher values for some of these parameters were also found on island slopes and some seamounts. Compiled data on the environmental conditions at near-seabed revealed some notable variations across the study area (e.g. oxygen and nutrients) and with depth (e.g. temperature, salinity, and oxygen). Knowledge of these patterns will help improve our understanding of the distribution of many deep-sea organisms such as fish, cold-water corals and sponges, thereby supporting the implementation of marine spatial planning and other management measures. It should be noted, that the assembled datasets suffer from a number of limitations related to the accuracy of remote sensing and global bathymetry data, or to the limited and unevenly distributed historical environmental observations. Accordingly, an effective global network of observing systems for detecting oceanic change with adequate accuracy and precision is still required.","author":[{"dropping-particle":"","family":"Amorim","given":"Patrícia","non-dropping-particle":"","parse-names":false,"suffix":""},{"dropping-particle":"","family":"Perán","given":"António D.","non-dropping-particle":"","parse-names":false,"suffix":""},{"dropping-particle":"","family":"Pham","given":"Christopher K.","non-dropping-particle":"","parse-names":false,"suffix":""},{"dropping-particle":"","family":"Juliano","given":"Manuela","non-dropping-particle":"","parse-names":false,"suffix":""},{"dropping-particle":"","family":"Cardigos","given":"Frederico","non-dropping-particle":"","parse-names":false,"suffix":""},{"dropping-particle":"","family":"Tempera","given":"Fernando","non-dropping-particle":"","parse-names":false,"suffix":""},{"dropping-particle":"","family":"Morato","given":"Telmo","non-dropping-particle":"","parse-names":false,"suffix":""}],"container-title":"Frontiers in Marine Science","id":"ITEM-1","issue":"MAR","issued":{"date-parts":[["2017","3","7"]]},"page":"1-16","title":"Overview of the Ocean Climatology and Its Variability in the Azores Region of the North Atlantic Including Environmental Characteristics at the Seabed","type":"article-journal","volume":"4"},"uris":["http://www.mendeley.com/documents/?uuid=fa8f8b3e-53e8-438b-86bf-1832b51f630a"]}],"mendeley":{"formattedCitation":"(Amorim et al., 2017)","manualFormatting":"Amorim et al., 2017","plainTextFormattedCitation":"(Amorim et al., 2017)","previouslyFormattedCitation":"(Amorim et al., 2017)"},"properties":{"noteIndex":0},"schema":"https://github.com/citation-style-language/schema/raw/master/csl-citation.json"}</w:instrText>
            </w:r>
            <w:r w:rsidRPr="00C65517">
              <w:rPr>
                <w:rFonts w:ascii="Garamond" w:hAnsi="Garamond"/>
                <w:sz w:val="20"/>
                <w:szCs w:val="20"/>
              </w:rPr>
              <w:fldChar w:fldCharType="separate"/>
            </w:r>
            <w:r w:rsidRPr="00C65517">
              <w:rPr>
                <w:rFonts w:ascii="Garamond" w:hAnsi="Garamond"/>
                <w:noProof/>
                <w:sz w:val="20"/>
                <w:szCs w:val="20"/>
              </w:rPr>
              <w:t>Amorim et al., 2017</w:t>
            </w:r>
            <w:r w:rsidRPr="00C65517">
              <w:rPr>
                <w:rFonts w:ascii="Garamond" w:hAnsi="Garamond"/>
                <w:sz w:val="20"/>
                <w:szCs w:val="20"/>
              </w:rPr>
              <w:fldChar w:fldCharType="end"/>
            </w:r>
          </w:p>
        </w:tc>
      </w:tr>
      <w:tr w:rsidR="00935329" w:rsidRPr="00C65517" w14:paraId="615F9B08" w14:textId="77777777" w:rsidTr="00491184">
        <w:trPr>
          <w:trHeight w:val="360"/>
          <w:jc w:val="center"/>
        </w:trPr>
        <w:tc>
          <w:tcPr>
            <w:tcW w:w="2586" w:type="dxa"/>
            <w:tcMar>
              <w:top w:w="43" w:type="dxa"/>
              <w:left w:w="72" w:type="dxa"/>
              <w:right w:w="72" w:type="dxa"/>
            </w:tcMar>
            <w:vAlign w:val="center"/>
          </w:tcPr>
          <w:p w14:paraId="32A549E1" w14:textId="77777777" w:rsidR="00935329" w:rsidRPr="00C65517" w:rsidRDefault="00935329" w:rsidP="00491184">
            <w:pPr>
              <w:tabs>
                <w:tab w:val="center" w:pos="4513"/>
              </w:tabs>
              <w:rPr>
                <w:rFonts w:ascii="Garamond" w:hAnsi="Garamond"/>
                <w:b/>
                <w:sz w:val="20"/>
                <w:szCs w:val="20"/>
              </w:rPr>
            </w:pPr>
            <w:r w:rsidRPr="00C65517">
              <w:rPr>
                <w:rFonts w:ascii="Garamond" w:hAnsi="Garamond"/>
                <w:b/>
                <w:sz w:val="20"/>
                <w:szCs w:val="20"/>
              </w:rPr>
              <w:t>Oxygen Saturation</w:t>
            </w:r>
            <w:r>
              <w:rPr>
                <w:rFonts w:ascii="Garamond" w:hAnsi="Garamond"/>
                <w:b/>
                <w:sz w:val="20"/>
                <w:szCs w:val="20"/>
              </w:rPr>
              <w:t xml:space="preserve"> </w:t>
            </w:r>
          </w:p>
        </w:tc>
        <w:tc>
          <w:tcPr>
            <w:tcW w:w="1241" w:type="dxa"/>
            <w:tcMar>
              <w:top w:w="43" w:type="dxa"/>
              <w:left w:w="72" w:type="dxa"/>
              <w:right w:w="72" w:type="dxa"/>
            </w:tcMar>
            <w:vAlign w:val="center"/>
          </w:tcPr>
          <w:p w14:paraId="0A101B27" w14:textId="77777777" w:rsidR="00935329" w:rsidRPr="00C65517" w:rsidRDefault="00935329" w:rsidP="00491184">
            <w:pPr>
              <w:tabs>
                <w:tab w:val="center" w:pos="4513"/>
              </w:tabs>
              <w:jc w:val="center"/>
              <w:rPr>
                <w:rFonts w:ascii="Garamond" w:hAnsi="Garamond"/>
                <w:b/>
                <w:sz w:val="20"/>
                <w:szCs w:val="20"/>
              </w:rPr>
            </w:pPr>
            <w:r w:rsidRPr="00C65517">
              <w:rPr>
                <w:rFonts w:ascii="Garamond" w:hAnsi="Garamond"/>
                <w:sz w:val="20"/>
                <w:szCs w:val="20"/>
              </w:rPr>
              <w:t>1°</w:t>
            </w:r>
          </w:p>
        </w:tc>
        <w:tc>
          <w:tcPr>
            <w:tcW w:w="1654" w:type="dxa"/>
            <w:tcMar>
              <w:top w:w="43" w:type="dxa"/>
              <w:left w:w="72" w:type="dxa"/>
              <w:right w:w="72" w:type="dxa"/>
            </w:tcMar>
            <w:vAlign w:val="center"/>
          </w:tcPr>
          <w:p w14:paraId="26EE558D"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79.40 ± 4.76</w:t>
            </w:r>
          </w:p>
        </w:tc>
        <w:tc>
          <w:tcPr>
            <w:tcW w:w="1449" w:type="dxa"/>
            <w:vAlign w:val="center"/>
          </w:tcPr>
          <w:p w14:paraId="2054C669"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w:t>
            </w:r>
          </w:p>
        </w:tc>
        <w:tc>
          <w:tcPr>
            <w:tcW w:w="2096" w:type="dxa"/>
            <w:vAlign w:val="center"/>
          </w:tcPr>
          <w:p w14:paraId="6F4C68DB"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fldChar w:fldCharType="begin" w:fldLock="1"/>
            </w:r>
            <w:r>
              <w:rPr>
                <w:rFonts w:ascii="Garamond" w:hAnsi="Garamond"/>
                <w:sz w:val="20"/>
                <w:szCs w:val="20"/>
              </w:rPr>
              <w:instrText>ADDIN CSL_CITATION {"citationItems":[{"id":"ITEM-1","itemData":{"DOI":"10.3389/fmars.2017.00056","ISSN":"2296-7745","abstract":"Obtaining a comprehensive knowledge of the spatial and temporal variations of the environmental factors characterising the Azores region is essential for conservation and management purposes. Although many studies are available for the region, there is a need for a general overview of the best available information. Here, we assembled a comprehensive collection of environmental data and briefly described the ocean climatology and its variability in the Azores. Data sources used in this study included remote sensing oceanographic data for 2003-2013 (sea surface temperature, chlorophyll-a concentration, particulate inorganic carbon and particulate organic carbon), derived oceanographic data (primary productivity and North Atlantic oscillation index) for 2003-2013, and in situ data (temperature, salinity, oxygen, phosphate, nitrate and silicate) obtained from the World Ocean Atlas 2013. We have produced 78 geographic datasets of environmental data for the Azores region that were deposited at the World Data Center Pangaea and also made available at the SIGMAR Azores website. As with previous studies, our results confirmed a high spatial, seasonal and inter-annual variability of the marine environment in the Azores region, typical of mid latitudes. For example, lower sea surface temperature was found in the northern part of the study area coinciding with higher values for chlorophyll-a concentration, net primary production, and particulate organic and inorganic carbon. Higher values for some of these parameters were also found on island slopes and some seamounts. Compiled data on the environmental conditions at near-seabed revealed some notable variations across the study area (e.g. oxygen and nutrients) and with depth (e.g. temperature, salinity, and oxygen). Knowledge of these patterns will help improve our understanding of the distribution of many deep-sea organisms such as fish, cold-water corals and sponges, thereby supporting the implementation of marine spatial planning and other management measures. It should be noted, that the assembled datasets suffer from a number of limitations related to the accuracy of remote sensing and global bathymetry data, or to the limited and unevenly distributed historical environmental observations. Accordingly, an effective global network of observing systems for detecting oceanic change with adequate accuracy and precision is still required.","author":[{"dropping-particle":"","family":"Amorim","given":"Patrícia","non-dropping-particle":"","parse-names":false,"suffix":""},{"dropping-particle":"","family":"Perán","given":"António D.","non-dropping-particle":"","parse-names":false,"suffix":""},{"dropping-particle":"","family":"Pham","given":"Christopher K.","non-dropping-particle":"","parse-names":false,"suffix":""},{"dropping-particle":"","family":"Juliano","given":"Manuela","non-dropping-particle":"","parse-names":false,"suffix":""},{"dropping-particle":"","family":"Cardigos","given":"Frederico","non-dropping-particle":"","parse-names":false,"suffix":""},{"dropping-particle":"","family":"Tempera","given":"Fernando","non-dropping-particle":"","parse-names":false,"suffix":""},{"dropping-particle":"","family":"Morato","given":"Telmo","non-dropping-particle":"","parse-names":false,"suffix":""}],"container-title":"Frontiers in Marine Science","id":"ITEM-1","issue":"MAR","issued":{"date-parts":[["2017","3","7"]]},"page":"1-16","title":"Overview of the Ocean Climatology and Its Variability in the Azores Region of the North Atlantic Including Environmental Characteristics at the Seabed","type":"article-journal","volume":"4"},"uris":["http://www.mendeley.com/documents/?uuid=fa8f8b3e-53e8-438b-86bf-1832b51f630a"]}],"mendeley":{"formattedCitation":"(Amorim et al., 2017)","manualFormatting":"Amorim et al., 2017","plainTextFormattedCitation":"(Amorim et al., 2017)","previouslyFormattedCitation":"(Amorim et al., 2017)"},"properties":{"noteIndex":0},"schema":"https://github.com/citation-style-language/schema/raw/master/csl-citation.json"}</w:instrText>
            </w:r>
            <w:r w:rsidRPr="00C65517">
              <w:rPr>
                <w:rFonts w:ascii="Garamond" w:hAnsi="Garamond"/>
                <w:sz w:val="20"/>
                <w:szCs w:val="20"/>
              </w:rPr>
              <w:fldChar w:fldCharType="separate"/>
            </w:r>
            <w:r w:rsidRPr="00C65517">
              <w:rPr>
                <w:rFonts w:ascii="Garamond" w:hAnsi="Garamond"/>
                <w:noProof/>
                <w:sz w:val="20"/>
                <w:szCs w:val="20"/>
              </w:rPr>
              <w:t>Amorim et al., 2017</w:t>
            </w:r>
            <w:r w:rsidRPr="00C65517">
              <w:rPr>
                <w:rFonts w:ascii="Garamond" w:hAnsi="Garamond"/>
                <w:sz w:val="20"/>
                <w:szCs w:val="20"/>
              </w:rPr>
              <w:fldChar w:fldCharType="end"/>
            </w:r>
          </w:p>
        </w:tc>
      </w:tr>
      <w:tr w:rsidR="00935329" w:rsidRPr="00A715DB" w14:paraId="4DC73EEA" w14:textId="77777777" w:rsidTr="00491184">
        <w:trPr>
          <w:trHeight w:val="360"/>
          <w:jc w:val="center"/>
        </w:trPr>
        <w:tc>
          <w:tcPr>
            <w:tcW w:w="2586" w:type="dxa"/>
            <w:tcMar>
              <w:top w:w="43" w:type="dxa"/>
              <w:left w:w="72" w:type="dxa"/>
              <w:right w:w="72" w:type="dxa"/>
            </w:tcMar>
            <w:vAlign w:val="center"/>
          </w:tcPr>
          <w:p w14:paraId="2BCB7D51" w14:textId="77777777" w:rsidR="00935329" w:rsidRPr="00C65517" w:rsidRDefault="00935329" w:rsidP="00491184">
            <w:pPr>
              <w:tabs>
                <w:tab w:val="center" w:pos="4513"/>
              </w:tabs>
              <w:rPr>
                <w:rFonts w:ascii="Garamond" w:hAnsi="Garamond"/>
                <w:sz w:val="20"/>
                <w:szCs w:val="20"/>
              </w:rPr>
            </w:pPr>
            <w:r w:rsidRPr="00C65517">
              <w:rPr>
                <w:rFonts w:ascii="Garamond" w:hAnsi="Garamond"/>
                <w:sz w:val="20"/>
                <w:szCs w:val="20"/>
              </w:rPr>
              <w:t>Oxygen Utilization</w:t>
            </w:r>
          </w:p>
        </w:tc>
        <w:tc>
          <w:tcPr>
            <w:tcW w:w="1241" w:type="dxa"/>
            <w:tcMar>
              <w:top w:w="43" w:type="dxa"/>
              <w:left w:w="72" w:type="dxa"/>
              <w:right w:w="72" w:type="dxa"/>
            </w:tcMar>
            <w:vAlign w:val="center"/>
          </w:tcPr>
          <w:p w14:paraId="3893461F"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1°</w:t>
            </w:r>
          </w:p>
        </w:tc>
        <w:tc>
          <w:tcPr>
            <w:tcW w:w="1654" w:type="dxa"/>
            <w:tcMar>
              <w:top w:w="43" w:type="dxa"/>
              <w:left w:w="72" w:type="dxa"/>
              <w:right w:w="72" w:type="dxa"/>
            </w:tcMar>
            <w:vAlign w:val="center"/>
          </w:tcPr>
          <w:p w14:paraId="04F5E7DC"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1.44 ± 0.29</w:t>
            </w:r>
          </w:p>
        </w:tc>
        <w:tc>
          <w:tcPr>
            <w:tcW w:w="1449" w:type="dxa"/>
            <w:vAlign w:val="center"/>
          </w:tcPr>
          <w:p w14:paraId="68CC992B" w14:textId="77777777" w:rsidR="00935329" w:rsidRPr="00C65517" w:rsidRDefault="00935329" w:rsidP="00491184">
            <w:pPr>
              <w:tabs>
                <w:tab w:val="center" w:pos="4513"/>
              </w:tabs>
              <w:jc w:val="center"/>
              <w:rPr>
                <w:rFonts w:ascii="Garamond" w:hAnsi="Garamond"/>
                <w:sz w:val="20"/>
                <w:szCs w:val="20"/>
              </w:rPr>
            </w:pPr>
            <w:r>
              <w:rPr>
                <w:rFonts w:ascii="Garamond" w:hAnsi="Garamond"/>
                <w:sz w:val="20"/>
                <w:szCs w:val="20"/>
              </w:rPr>
              <w:t>ml</w:t>
            </w:r>
            <w:r w:rsidRPr="00C65517">
              <w:rPr>
                <w:rFonts w:ascii="Garamond" w:hAnsi="Garamond"/>
                <w:sz w:val="20"/>
                <w:szCs w:val="20"/>
              </w:rPr>
              <w:t>/l</w:t>
            </w:r>
          </w:p>
        </w:tc>
        <w:tc>
          <w:tcPr>
            <w:tcW w:w="2096" w:type="dxa"/>
            <w:vAlign w:val="center"/>
          </w:tcPr>
          <w:p w14:paraId="0C1CF3F2"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fldChar w:fldCharType="begin" w:fldLock="1"/>
            </w:r>
            <w:r>
              <w:rPr>
                <w:rFonts w:ascii="Garamond" w:hAnsi="Garamond"/>
                <w:sz w:val="20"/>
                <w:szCs w:val="20"/>
              </w:rPr>
              <w:instrText>ADDIN CSL_CITATION {"citationItems":[{"id":"ITEM-1","itemData":{"DOI":"10.3389/fmars.2017.00056","ISSN":"2296-7745","abstract":"Obtaining a comprehensive knowledge of the spatial and temporal variations of the environmental factors characterising the Azores region is essential for conservation and management purposes. Although many studies are available for the region, there is a need for a general overview of the best available information. Here, we assembled a comprehensive collection of environmental data and briefly described the ocean climatology and its variability in the Azores. Data sources used in this study included remote sensing oceanographic data for 2003-2013 (sea surface temperature, chlorophyll-a concentration, particulate inorganic carbon and particulate organic carbon), derived oceanographic data (primary productivity and North Atlantic oscillation index) for 2003-2013, and in situ data (temperature, salinity, oxygen, phosphate, nitrate and silicate) obtained from the World Ocean Atlas 2013. We have produced 78 geographic datasets of environmental data for the Azores region that were deposited at the World Data Center Pangaea and also made available at the SIGMAR Azores website. As with previous studies, our results confirmed a high spatial, seasonal and inter-annual variability of the marine environment in the Azores region, typical of mid latitudes. For example, lower sea surface temperature was found in the northern part of the study area coinciding with higher values for chlorophyll-a concentration, net primary production, and particulate organic and inorganic carbon. Higher values for some of these parameters were also found on island slopes and some seamounts. Compiled data on the environmental conditions at near-seabed revealed some notable variations across the study area (e.g. oxygen and nutrients) and with depth (e.g. temperature, salinity, and oxygen). Knowledge of these patterns will help improve our understanding of the distribution of many deep-sea organisms such as fish, cold-water corals and sponges, thereby supporting the implementation of marine spatial planning and other management measures. It should be noted, that the assembled datasets suffer from a number of limitations related to the accuracy of remote sensing and global bathymetry data, or to the limited and unevenly distributed historical environmental observations. Accordingly, an effective global network of observing systems for detecting oceanic change with adequate accuracy and precision is still required.","author":[{"dropping-particle":"","family":"Amorim","given":"Patrícia","non-dropping-particle":"","parse-names":false,"suffix":""},{"dropping-particle":"","family":"Perán","given":"António D.","non-dropping-particle":"","parse-names":false,"suffix":""},{"dropping-particle":"","family":"Pham","given":"Christopher K.","non-dropping-particle":"","parse-names":false,"suffix":""},{"dropping-particle":"","family":"Juliano","given":"Manuela","non-dropping-particle":"","parse-names":false,"suffix":""},{"dropping-particle":"","family":"Cardigos","given":"Frederico","non-dropping-particle":"","parse-names":false,"suffix":""},{"dropping-particle":"","family":"Tempera","given":"Fernando","non-dropping-particle":"","parse-names":false,"suffix":""},{"dropping-particle":"","family":"Morato","given":"Telmo","non-dropping-particle":"","parse-names":false,"suffix":""}],"container-title":"Frontiers in Marine Science","id":"ITEM-1","issue":"MAR","issued":{"date-parts":[["2017","3","7"]]},"page":"1-16","title":"Overview of the Ocean Climatology and Its Variability in the Azores Region of the North Atlantic Including Environmental Characteristics at the Seabed","type":"article-journal","volume":"4"},"uris":["http://www.mendeley.com/documents/?uuid=fa8f8b3e-53e8-438b-86bf-1832b51f630a"]}],"mendeley":{"formattedCitation":"(Amorim et al., 2017)","manualFormatting":"Amorim et al., 2017","plainTextFormattedCitation":"(Amorim et al., 2017)","previouslyFormattedCitation":"(Amorim et al., 2017)"},"properties":{"noteIndex":0},"schema":"https://github.com/citation-style-language/schema/raw/master/csl-citation.json"}</w:instrText>
            </w:r>
            <w:r w:rsidRPr="00C65517">
              <w:rPr>
                <w:rFonts w:ascii="Garamond" w:hAnsi="Garamond"/>
                <w:sz w:val="20"/>
                <w:szCs w:val="20"/>
              </w:rPr>
              <w:fldChar w:fldCharType="separate"/>
            </w:r>
            <w:r w:rsidRPr="00C65517">
              <w:rPr>
                <w:rFonts w:ascii="Garamond" w:hAnsi="Garamond"/>
                <w:noProof/>
                <w:sz w:val="20"/>
                <w:szCs w:val="20"/>
              </w:rPr>
              <w:t>Amorim et al., 2017</w:t>
            </w:r>
            <w:r w:rsidRPr="00C65517">
              <w:rPr>
                <w:rFonts w:ascii="Garamond" w:hAnsi="Garamond"/>
                <w:sz w:val="20"/>
                <w:szCs w:val="20"/>
              </w:rPr>
              <w:fldChar w:fldCharType="end"/>
            </w:r>
          </w:p>
        </w:tc>
      </w:tr>
      <w:tr w:rsidR="00935329" w:rsidRPr="00A715DB" w14:paraId="1E7EA118" w14:textId="77777777" w:rsidTr="00491184">
        <w:trPr>
          <w:trHeight w:val="360"/>
          <w:jc w:val="center"/>
        </w:trPr>
        <w:tc>
          <w:tcPr>
            <w:tcW w:w="2586" w:type="dxa"/>
            <w:tcMar>
              <w:top w:w="43" w:type="dxa"/>
              <w:left w:w="72" w:type="dxa"/>
              <w:right w:w="72" w:type="dxa"/>
            </w:tcMar>
            <w:vAlign w:val="center"/>
          </w:tcPr>
          <w:p w14:paraId="6FC57318" w14:textId="77777777" w:rsidR="00935329" w:rsidRPr="00C65517" w:rsidRDefault="00935329" w:rsidP="00491184">
            <w:pPr>
              <w:tabs>
                <w:tab w:val="center" w:pos="4513"/>
              </w:tabs>
              <w:rPr>
                <w:rFonts w:ascii="Garamond" w:hAnsi="Garamond"/>
                <w:b/>
                <w:sz w:val="20"/>
                <w:szCs w:val="20"/>
              </w:rPr>
            </w:pPr>
            <w:r w:rsidRPr="00C65517">
              <w:rPr>
                <w:rFonts w:ascii="Garamond" w:hAnsi="Garamond"/>
                <w:b/>
                <w:sz w:val="20"/>
                <w:szCs w:val="20"/>
              </w:rPr>
              <w:t>Seawater chemistry</w:t>
            </w:r>
            <w:r>
              <w:rPr>
                <w:rFonts w:ascii="Garamond" w:hAnsi="Garamond"/>
                <w:b/>
                <w:sz w:val="20"/>
                <w:szCs w:val="20"/>
              </w:rPr>
              <w:t xml:space="preserve"> </w:t>
            </w:r>
          </w:p>
        </w:tc>
        <w:tc>
          <w:tcPr>
            <w:tcW w:w="1241" w:type="dxa"/>
            <w:tcMar>
              <w:top w:w="43" w:type="dxa"/>
              <w:left w:w="72" w:type="dxa"/>
              <w:right w:w="72" w:type="dxa"/>
            </w:tcMar>
            <w:vAlign w:val="center"/>
          </w:tcPr>
          <w:p w14:paraId="04DD42A1" w14:textId="77777777" w:rsidR="00935329" w:rsidRPr="00C65517" w:rsidRDefault="00935329" w:rsidP="00491184">
            <w:pPr>
              <w:tabs>
                <w:tab w:val="center" w:pos="4513"/>
              </w:tabs>
              <w:jc w:val="center"/>
              <w:rPr>
                <w:rFonts w:ascii="Garamond" w:hAnsi="Garamond"/>
                <w:b/>
                <w:sz w:val="20"/>
                <w:szCs w:val="20"/>
              </w:rPr>
            </w:pPr>
            <w:r w:rsidRPr="00C65517">
              <w:rPr>
                <w:rFonts w:ascii="Garamond" w:hAnsi="Garamond"/>
                <w:sz w:val="20"/>
                <w:szCs w:val="20"/>
              </w:rPr>
              <w:t>1°</w:t>
            </w:r>
          </w:p>
        </w:tc>
        <w:tc>
          <w:tcPr>
            <w:tcW w:w="1654" w:type="dxa"/>
            <w:tcMar>
              <w:top w:w="43" w:type="dxa"/>
              <w:left w:w="72" w:type="dxa"/>
              <w:right w:w="72" w:type="dxa"/>
            </w:tcMar>
            <w:vAlign w:val="center"/>
          </w:tcPr>
          <w:p w14:paraId="3751C4F9"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3.01 ± 1.74</w:t>
            </w:r>
          </w:p>
        </w:tc>
        <w:tc>
          <w:tcPr>
            <w:tcW w:w="1449" w:type="dxa"/>
            <w:vAlign w:val="center"/>
          </w:tcPr>
          <w:p w14:paraId="56FE5DEC"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w:t>
            </w:r>
          </w:p>
        </w:tc>
        <w:tc>
          <w:tcPr>
            <w:tcW w:w="2096" w:type="dxa"/>
            <w:vAlign w:val="center"/>
          </w:tcPr>
          <w:p w14:paraId="7765FBED" w14:textId="77777777" w:rsidR="00935329" w:rsidRPr="00C65517" w:rsidRDefault="00935329" w:rsidP="00491184">
            <w:pPr>
              <w:tabs>
                <w:tab w:val="center" w:pos="4513"/>
              </w:tabs>
              <w:jc w:val="center"/>
              <w:rPr>
                <w:rFonts w:ascii="Garamond" w:hAnsi="Garamond"/>
                <w:sz w:val="20"/>
                <w:szCs w:val="20"/>
              </w:rPr>
            </w:pPr>
            <w:r>
              <w:rPr>
                <w:rFonts w:ascii="Garamond" w:hAnsi="Garamond"/>
                <w:sz w:val="20"/>
                <w:szCs w:val="20"/>
              </w:rPr>
              <w:t>This study</w:t>
            </w:r>
          </w:p>
        </w:tc>
      </w:tr>
      <w:tr w:rsidR="00935329" w:rsidRPr="00A715DB" w14:paraId="3B0EBFAE" w14:textId="77777777" w:rsidTr="00491184">
        <w:trPr>
          <w:trHeight w:val="360"/>
          <w:jc w:val="center"/>
        </w:trPr>
        <w:tc>
          <w:tcPr>
            <w:tcW w:w="2586" w:type="dxa"/>
            <w:tcMar>
              <w:top w:w="43" w:type="dxa"/>
              <w:left w:w="72" w:type="dxa"/>
              <w:right w:w="72" w:type="dxa"/>
            </w:tcMar>
            <w:vAlign w:val="center"/>
          </w:tcPr>
          <w:p w14:paraId="7AF6E211" w14:textId="77777777" w:rsidR="00935329" w:rsidRPr="00C65517" w:rsidRDefault="00935329" w:rsidP="00491184">
            <w:pPr>
              <w:tabs>
                <w:tab w:val="center" w:pos="4513"/>
              </w:tabs>
              <w:rPr>
                <w:rFonts w:ascii="Garamond" w:hAnsi="Garamond"/>
                <w:b/>
                <w:sz w:val="20"/>
                <w:szCs w:val="20"/>
              </w:rPr>
            </w:pPr>
            <w:r w:rsidRPr="00C65517">
              <w:rPr>
                <w:rFonts w:ascii="Garamond" w:hAnsi="Garamond"/>
                <w:b/>
                <w:sz w:val="20"/>
                <w:szCs w:val="20"/>
              </w:rPr>
              <w:t xml:space="preserve">POC </w:t>
            </w:r>
            <w:r>
              <w:rPr>
                <w:rFonts w:ascii="Garamond" w:hAnsi="Garamond"/>
                <w:b/>
                <w:sz w:val="20"/>
                <w:szCs w:val="20"/>
              </w:rPr>
              <w:t>flux</w:t>
            </w:r>
          </w:p>
        </w:tc>
        <w:tc>
          <w:tcPr>
            <w:tcW w:w="1241" w:type="dxa"/>
            <w:tcMar>
              <w:top w:w="43" w:type="dxa"/>
              <w:left w:w="72" w:type="dxa"/>
              <w:right w:w="72" w:type="dxa"/>
            </w:tcMar>
            <w:vAlign w:val="center"/>
          </w:tcPr>
          <w:p w14:paraId="6C4BA9E6"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9 km</w:t>
            </w:r>
          </w:p>
        </w:tc>
        <w:tc>
          <w:tcPr>
            <w:tcW w:w="1654" w:type="dxa"/>
            <w:tcMar>
              <w:top w:w="43" w:type="dxa"/>
              <w:left w:w="72" w:type="dxa"/>
              <w:right w:w="72" w:type="dxa"/>
            </w:tcMar>
            <w:vAlign w:val="center"/>
          </w:tcPr>
          <w:p w14:paraId="2DC1C2FC"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14.92 ± 1.52</w:t>
            </w:r>
          </w:p>
        </w:tc>
        <w:tc>
          <w:tcPr>
            <w:tcW w:w="1449" w:type="dxa"/>
            <w:vAlign w:val="center"/>
          </w:tcPr>
          <w:p w14:paraId="7D61FCB5" w14:textId="77777777" w:rsidR="00935329" w:rsidRPr="00C65517" w:rsidRDefault="00935329" w:rsidP="00491184">
            <w:pPr>
              <w:tabs>
                <w:tab w:val="center" w:pos="4513"/>
              </w:tabs>
              <w:jc w:val="center"/>
              <w:rPr>
                <w:rFonts w:ascii="Garamond" w:hAnsi="Garamond"/>
                <w:sz w:val="20"/>
                <w:szCs w:val="20"/>
              </w:rPr>
            </w:pPr>
            <w:r w:rsidRPr="00C65517">
              <w:rPr>
                <w:rFonts w:ascii="Garamond" w:hAnsi="Garamond"/>
                <w:sz w:val="20"/>
                <w:szCs w:val="20"/>
              </w:rPr>
              <w:t>mg C</w:t>
            </w:r>
            <w:r w:rsidRPr="00C65517">
              <w:rPr>
                <w:rFonts w:ascii="Garamond" w:hAnsi="Garamond"/>
                <w:sz w:val="20"/>
                <w:szCs w:val="20"/>
                <w:vertAlign w:val="subscript"/>
              </w:rPr>
              <w:t>org</w:t>
            </w:r>
            <w:r w:rsidRPr="00C65517">
              <w:rPr>
                <w:rFonts w:ascii="Garamond" w:hAnsi="Garamond"/>
                <w:sz w:val="20"/>
                <w:szCs w:val="20"/>
              </w:rPr>
              <w:t xml:space="preserve"> m</w:t>
            </w:r>
            <w:r w:rsidRPr="00C65517">
              <w:rPr>
                <w:rFonts w:ascii="Garamond" w:hAnsi="Garamond"/>
                <w:sz w:val="20"/>
                <w:szCs w:val="20"/>
                <w:vertAlign w:val="superscript"/>
              </w:rPr>
              <w:t>-2</w:t>
            </w:r>
            <w:r w:rsidRPr="00C65517">
              <w:rPr>
                <w:rFonts w:ascii="Garamond" w:hAnsi="Garamond"/>
                <w:sz w:val="20"/>
                <w:szCs w:val="20"/>
              </w:rPr>
              <w:t xml:space="preserve"> d</w:t>
            </w:r>
            <w:r w:rsidRPr="00C65517">
              <w:rPr>
                <w:rFonts w:ascii="Garamond" w:hAnsi="Garamond"/>
                <w:sz w:val="20"/>
                <w:szCs w:val="20"/>
                <w:vertAlign w:val="superscript"/>
              </w:rPr>
              <w:t>-1</w:t>
            </w:r>
          </w:p>
        </w:tc>
        <w:tc>
          <w:tcPr>
            <w:tcW w:w="2096" w:type="dxa"/>
            <w:vAlign w:val="center"/>
          </w:tcPr>
          <w:p w14:paraId="3328B0AE" w14:textId="77777777" w:rsidR="00935329" w:rsidRPr="00C65517" w:rsidRDefault="00935329" w:rsidP="00491184">
            <w:pPr>
              <w:tabs>
                <w:tab w:val="center" w:pos="4513"/>
              </w:tabs>
              <w:jc w:val="center"/>
              <w:rPr>
                <w:rFonts w:ascii="Garamond" w:hAnsi="Garamond"/>
                <w:sz w:val="20"/>
                <w:szCs w:val="20"/>
              </w:rPr>
            </w:pPr>
            <w:r>
              <w:rPr>
                <w:rFonts w:ascii="Garamond" w:hAnsi="Garamond"/>
                <w:sz w:val="20"/>
                <w:szCs w:val="20"/>
              </w:rPr>
              <w:t>This study</w:t>
            </w:r>
          </w:p>
        </w:tc>
      </w:tr>
    </w:tbl>
    <w:p w14:paraId="3FDC4017" w14:textId="77777777" w:rsidR="00935329" w:rsidRDefault="00935329">
      <w:pPr>
        <w:rPr>
          <w:rFonts w:ascii="Garamond" w:hAnsi="Garamond"/>
          <w:sz w:val="20"/>
          <w:szCs w:val="20"/>
          <w:lang w:val="en-US"/>
        </w:rPr>
      </w:pPr>
      <w:r>
        <w:rPr>
          <w:rFonts w:ascii="Garamond" w:hAnsi="Garamond"/>
          <w:sz w:val="20"/>
          <w:szCs w:val="20"/>
          <w:lang w:val="en-US"/>
        </w:rPr>
        <w:br w:type="page"/>
      </w:r>
    </w:p>
    <w:p w14:paraId="7F938FF0" w14:textId="77777777" w:rsidR="00802BCB" w:rsidRDefault="008503EC" w:rsidP="00802BCB">
      <w:pPr>
        <w:jc w:val="center"/>
        <w:rPr>
          <w:rFonts w:ascii="Garamond" w:hAnsi="Garamond"/>
          <w:sz w:val="20"/>
          <w:szCs w:val="20"/>
          <w:lang w:val="en-US"/>
        </w:rPr>
      </w:pPr>
      <w:r>
        <w:rPr>
          <w:rFonts w:ascii="Garamond" w:hAnsi="Garamond"/>
          <w:noProof/>
          <w:sz w:val="20"/>
          <w:szCs w:val="20"/>
          <w:lang w:eastAsia="pt-PT"/>
        </w:rPr>
        <w:lastRenderedPageBreak/>
        <w:pict w14:anchorId="763E07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style="width:396.55pt;height:252.55pt">
            <v:imagedata r:id="rId11" o:title="PCA"/>
          </v:shape>
        </w:pict>
      </w:r>
    </w:p>
    <w:p w14:paraId="5B05E55E" w14:textId="68AD82D3" w:rsidR="00802BCB" w:rsidRPr="00372E2E" w:rsidRDefault="00E22F04" w:rsidP="00BC00BD">
      <w:pPr>
        <w:pStyle w:val="Heading2"/>
        <w:jc w:val="both"/>
        <w:rPr>
          <w:color w:val="auto"/>
          <w:szCs w:val="20"/>
          <w:lang w:val="en-US"/>
        </w:rPr>
      </w:pPr>
      <w:bookmarkStart w:id="12" w:name="_Toc129787433"/>
      <w:r>
        <w:rPr>
          <w:b/>
          <w:color w:val="auto"/>
          <w:szCs w:val="20"/>
          <w:lang w:val="en-US"/>
        </w:rPr>
        <w:t xml:space="preserve">Figure </w:t>
      </w:r>
      <w:r w:rsidR="00A07125">
        <w:rPr>
          <w:b/>
          <w:color w:val="auto"/>
          <w:szCs w:val="20"/>
          <w:lang w:val="en-US"/>
        </w:rPr>
        <w:t>B</w:t>
      </w:r>
      <w:r w:rsidR="008663AC">
        <w:rPr>
          <w:b/>
          <w:color w:val="auto"/>
          <w:szCs w:val="20"/>
          <w:lang w:val="en-US"/>
        </w:rPr>
        <w:t>.1</w:t>
      </w:r>
      <w:r w:rsidR="00802BCB" w:rsidRPr="00372E2E">
        <w:rPr>
          <w:color w:val="auto"/>
          <w:szCs w:val="20"/>
          <w:lang w:val="en-US"/>
        </w:rPr>
        <w:t xml:space="preserve"> – Principal </w:t>
      </w:r>
      <w:r w:rsidR="00802BCB">
        <w:rPr>
          <w:color w:val="auto"/>
          <w:szCs w:val="20"/>
          <w:lang w:val="en-US"/>
        </w:rPr>
        <w:t>c</w:t>
      </w:r>
      <w:r w:rsidR="00802BCB" w:rsidRPr="00372E2E">
        <w:rPr>
          <w:color w:val="auto"/>
          <w:szCs w:val="20"/>
          <w:lang w:val="en-US"/>
        </w:rPr>
        <w:t xml:space="preserve">omponent </w:t>
      </w:r>
      <w:r w:rsidR="00802BCB">
        <w:rPr>
          <w:color w:val="auto"/>
          <w:szCs w:val="20"/>
          <w:lang w:val="en-US"/>
        </w:rPr>
        <w:t>a</w:t>
      </w:r>
      <w:r w:rsidR="00802BCB" w:rsidRPr="00372E2E">
        <w:rPr>
          <w:color w:val="auto"/>
          <w:szCs w:val="20"/>
          <w:lang w:val="en-US"/>
        </w:rPr>
        <w:t>nalysis (PCA)</w:t>
      </w:r>
      <w:r w:rsidR="00802BCB" w:rsidRPr="00990B13">
        <w:rPr>
          <w:color w:val="auto"/>
          <w:szCs w:val="20"/>
          <w:lang w:val="en-US"/>
        </w:rPr>
        <w:t xml:space="preserve"> </w:t>
      </w:r>
      <w:r w:rsidR="00802BCB">
        <w:rPr>
          <w:color w:val="auto"/>
          <w:szCs w:val="20"/>
          <w:lang w:val="en-US"/>
        </w:rPr>
        <w:t xml:space="preserve">of </w:t>
      </w:r>
      <w:r w:rsidR="00802BCB" w:rsidRPr="00372E2E">
        <w:rPr>
          <w:color w:val="auto"/>
          <w:szCs w:val="20"/>
          <w:lang w:val="en-US"/>
        </w:rPr>
        <w:t>aragonite, calcite, nitrate, phosphate and silicate</w:t>
      </w:r>
      <w:r w:rsidR="00802BCB">
        <w:rPr>
          <w:color w:val="auto"/>
          <w:szCs w:val="20"/>
          <w:lang w:val="en-US"/>
        </w:rPr>
        <w:t>.</w:t>
      </w:r>
      <w:r w:rsidR="00802BCB" w:rsidRPr="00372E2E">
        <w:rPr>
          <w:color w:val="auto"/>
          <w:szCs w:val="20"/>
          <w:lang w:val="en-US"/>
        </w:rPr>
        <w:t xml:space="preserve"> </w:t>
      </w:r>
      <w:r w:rsidR="00802BCB">
        <w:rPr>
          <w:color w:val="auto"/>
          <w:szCs w:val="20"/>
          <w:lang w:val="en-US"/>
        </w:rPr>
        <w:t xml:space="preserve">(a-d) </w:t>
      </w:r>
      <w:r w:rsidR="00802BCB" w:rsidRPr="009A7D9A">
        <w:rPr>
          <w:color w:val="auto"/>
          <w:szCs w:val="20"/>
          <w:lang w:val="en-US"/>
        </w:rPr>
        <w:t xml:space="preserve">Locally </w:t>
      </w:r>
      <w:r w:rsidR="00802BCB">
        <w:rPr>
          <w:color w:val="auto"/>
          <w:szCs w:val="20"/>
          <w:lang w:val="en-US"/>
        </w:rPr>
        <w:t>w</w:t>
      </w:r>
      <w:r w:rsidR="00802BCB" w:rsidRPr="009A7D9A">
        <w:rPr>
          <w:color w:val="auto"/>
          <w:szCs w:val="20"/>
          <w:lang w:val="en-US"/>
        </w:rPr>
        <w:t xml:space="preserve">eighted </w:t>
      </w:r>
      <w:r w:rsidR="00802BCB">
        <w:rPr>
          <w:color w:val="auto"/>
          <w:szCs w:val="20"/>
          <w:lang w:val="en-US"/>
        </w:rPr>
        <w:t>s</w:t>
      </w:r>
      <w:r w:rsidR="00802BCB" w:rsidRPr="009A7D9A">
        <w:rPr>
          <w:color w:val="auto"/>
          <w:szCs w:val="20"/>
          <w:lang w:val="en-US"/>
        </w:rPr>
        <w:t xml:space="preserve">catterplot </w:t>
      </w:r>
      <w:r w:rsidR="00802BCB">
        <w:rPr>
          <w:color w:val="auto"/>
          <w:szCs w:val="20"/>
          <w:lang w:val="en-US"/>
        </w:rPr>
        <w:t>s</w:t>
      </w:r>
      <w:r w:rsidR="00802BCB" w:rsidRPr="009A7D9A">
        <w:rPr>
          <w:color w:val="auto"/>
          <w:szCs w:val="20"/>
          <w:lang w:val="en-US"/>
        </w:rPr>
        <w:t>moothing</w:t>
      </w:r>
      <w:r w:rsidR="00802BCB">
        <w:rPr>
          <w:color w:val="auto"/>
          <w:szCs w:val="20"/>
          <w:lang w:val="en-US"/>
        </w:rPr>
        <w:t xml:space="preserve"> (LOWESS)</w:t>
      </w:r>
      <w:r w:rsidR="00802BCB" w:rsidRPr="009A7D9A">
        <w:rPr>
          <w:color w:val="auto"/>
          <w:szCs w:val="20"/>
          <w:lang w:val="en-US"/>
        </w:rPr>
        <w:t xml:space="preserve"> </w:t>
      </w:r>
      <w:r w:rsidR="00802BCB">
        <w:rPr>
          <w:color w:val="auto"/>
          <w:szCs w:val="20"/>
          <w:lang w:val="en-US"/>
        </w:rPr>
        <w:t>of the unscaled values of silicate, phosphate, nitrate, calcite and aragonite against the first principal component (</w:t>
      </w:r>
      <w:r w:rsidR="001D2ADD">
        <w:rPr>
          <w:color w:val="auto"/>
          <w:szCs w:val="20"/>
          <w:lang w:val="en-US"/>
        </w:rPr>
        <w:t xml:space="preserve">PC1 – </w:t>
      </w:r>
      <w:r w:rsidR="00802BCB">
        <w:rPr>
          <w:color w:val="auto"/>
          <w:szCs w:val="20"/>
          <w:lang w:val="en-US"/>
        </w:rPr>
        <w:t>‘seawater chemistry’). (e) Depths corresponding to aragonite and calcite undersaturation zones (</w:t>
      </w:r>
      <w:r w:rsidR="00802BCB" w:rsidRPr="00070538">
        <w:rPr>
          <w:color w:val="auto"/>
          <w:szCs w:val="20"/>
          <w:lang w:val="en-US"/>
        </w:rPr>
        <w:t>Ω</w:t>
      </w:r>
      <w:r w:rsidR="00802BCB">
        <w:rPr>
          <w:color w:val="auto"/>
          <w:szCs w:val="20"/>
          <w:lang w:val="en-US"/>
        </w:rPr>
        <w:t xml:space="preserve"> &lt; 1). </w:t>
      </w:r>
      <w:r w:rsidR="00E71B07">
        <w:rPr>
          <w:color w:val="auto"/>
          <w:szCs w:val="20"/>
          <w:lang w:val="en-US"/>
        </w:rPr>
        <w:t xml:space="preserve">Panels (a-d) refer to seafloor locations at depths shallower than 2000 m. </w:t>
      </w:r>
      <w:r w:rsidR="00BC00BD">
        <w:rPr>
          <w:color w:val="auto"/>
          <w:szCs w:val="20"/>
          <w:lang w:val="en-US"/>
        </w:rPr>
        <w:t>In order to show undersaturation zones, p</w:t>
      </w:r>
      <w:r w:rsidR="00E71B07">
        <w:rPr>
          <w:color w:val="auto"/>
          <w:szCs w:val="20"/>
          <w:lang w:val="en-US"/>
        </w:rPr>
        <w:t xml:space="preserve">anel (e) includes locations </w:t>
      </w:r>
      <w:r w:rsidR="00BC00BD">
        <w:rPr>
          <w:color w:val="auto"/>
          <w:szCs w:val="20"/>
          <w:lang w:val="en-US"/>
        </w:rPr>
        <w:t>below 2000 m depth, which are out of the scope of the present study.</w:t>
      </w:r>
      <w:bookmarkEnd w:id="12"/>
    </w:p>
    <w:p w14:paraId="0C3D38AB" w14:textId="77777777" w:rsidR="00802BCB" w:rsidRDefault="00802BCB" w:rsidP="00802BCB">
      <w:pPr>
        <w:rPr>
          <w:rFonts w:ascii="Garamond" w:eastAsiaTheme="majorEastAsia" w:hAnsi="Garamond" w:cstheme="majorBidi"/>
          <w:sz w:val="20"/>
          <w:szCs w:val="20"/>
          <w:lang w:val="en-US"/>
        </w:rPr>
      </w:pPr>
      <w:r>
        <w:rPr>
          <w:rFonts w:ascii="Garamond" w:eastAsiaTheme="majorEastAsia" w:hAnsi="Garamond" w:cstheme="majorBidi"/>
          <w:sz w:val="20"/>
          <w:szCs w:val="20"/>
          <w:lang w:val="en-US"/>
        </w:rPr>
        <w:br w:type="page"/>
      </w:r>
    </w:p>
    <w:p w14:paraId="23B3B2B8" w14:textId="77777777" w:rsidR="00802BCB" w:rsidRPr="00DD3662" w:rsidRDefault="00802BCB" w:rsidP="00802BCB">
      <w:pPr>
        <w:jc w:val="center"/>
        <w:rPr>
          <w:rFonts w:ascii="Garamond" w:hAnsi="Garamond"/>
          <w:sz w:val="20"/>
          <w:szCs w:val="20"/>
          <w:lang w:val="en-US"/>
        </w:rPr>
      </w:pPr>
      <w:r>
        <w:rPr>
          <w:rFonts w:ascii="Garamond" w:hAnsi="Garamond"/>
          <w:noProof/>
          <w:sz w:val="20"/>
          <w:szCs w:val="20"/>
          <w:lang w:eastAsia="pt-PT"/>
        </w:rPr>
        <w:lastRenderedPageBreak/>
        <w:drawing>
          <wp:inline distT="0" distB="0" distL="0" distR="0" wp14:anchorId="44A8D461" wp14:editId="1BE854A6">
            <wp:extent cx="5062220" cy="6870155"/>
            <wp:effectExtent l="0" t="0" r="508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vData_lowRes"/>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5062220" cy="6870155"/>
                    </a:xfrm>
                    <a:prstGeom prst="rect">
                      <a:avLst/>
                    </a:prstGeom>
                    <a:noFill/>
                    <a:ln>
                      <a:noFill/>
                    </a:ln>
                  </pic:spPr>
                </pic:pic>
              </a:graphicData>
            </a:graphic>
          </wp:inline>
        </w:drawing>
      </w:r>
    </w:p>
    <w:p w14:paraId="3FDBF1F8" w14:textId="77777777" w:rsidR="00802BCB" w:rsidRPr="00DD3662" w:rsidRDefault="00802BCB" w:rsidP="00802BCB">
      <w:pPr>
        <w:jc w:val="center"/>
        <w:rPr>
          <w:rFonts w:ascii="Garamond" w:hAnsi="Garamond"/>
          <w:sz w:val="20"/>
          <w:szCs w:val="20"/>
          <w:lang w:val="en-US"/>
        </w:rPr>
      </w:pPr>
    </w:p>
    <w:p w14:paraId="73DE889D" w14:textId="22939F95" w:rsidR="00802BCB" w:rsidRDefault="00802BCB" w:rsidP="00802BCB">
      <w:pPr>
        <w:pStyle w:val="Heading2"/>
        <w:jc w:val="both"/>
        <w:rPr>
          <w:color w:val="auto"/>
          <w:szCs w:val="20"/>
          <w:lang w:val="en-US"/>
        </w:rPr>
      </w:pPr>
      <w:bookmarkStart w:id="13" w:name="_Toc54969981"/>
      <w:bookmarkStart w:id="14" w:name="_Toc129787434"/>
      <w:r w:rsidRPr="00D22B5D">
        <w:rPr>
          <w:b/>
          <w:color w:val="auto"/>
          <w:szCs w:val="20"/>
          <w:lang w:val="en-US"/>
        </w:rPr>
        <w:t xml:space="preserve">Figure </w:t>
      </w:r>
      <w:r w:rsidR="00A07125">
        <w:rPr>
          <w:b/>
          <w:color w:val="auto"/>
          <w:szCs w:val="20"/>
          <w:lang w:val="en-US"/>
        </w:rPr>
        <w:t>B</w:t>
      </w:r>
      <w:r w:rsidR="008663AC">
        <w:rPr>
          <w:b/>
          <w:color w:val="auto"/>
          <w:szCs w:val="20"/>
          <w:lang w:val="en-US"/>
        </w:rPr>
        <w:t>.2</w:t>
      </w:r>
      <w:r w:rsidRPr="00DD3662">
        <w:rPr>
          <w:color w:val="auto"/>
          <w:szCs w:val="20"/>
          <w:lang w:val="en-US"/>
        </w:rPr>
        <w:t xml:space="preserve"> – </w:t>
      </w:r>
      <w:r w:rsidR="00123CD4" w:rsidRPr="00123CD4">
        <w:rPr>
          <w:color w:val="auto"/>
          <w:szCs w:val="20"/>
          <w:lang w:val="en-US"/>
        </w:rPr>
        <w:t xml:space="preserve">Environmental layers used </w:t>
      </w:r>
      <w:r w:rsidR="0089002C">
        <w:rPr>
          <w:color w:val="auto"/>
          <w:szCs w:val="20"/>
          <w:lang w:val="en-US"/>
        </w:rPr>
        <w:t>to develop</w:t>
      </w:r>
      <w:r w:rsidR="00123CD4" w:rsidRPr="00123CD4">
        <w:rPr>
          <w:color w:val="auto"/>
          <w:szCs w:val="20"/>
          <w:lang w:val="en-US"/>
        </w:rPr>
        <w:t xml:space="preserve"> the habitat suitability models</w:t>
      </w:r>
      <w:r>
        <w:rPr>
          <w:color w:val="auto"/>
          <w:szCs w:val="20"/>
          <w:lang w:val="en-US"/>
        </w:rPr>
        <w:t xml:space="preserve">. </w:t>
      </w:r>
      <w:r w:rsidRPr="00DD3662">
        <w:rPr>
          <w:color w:val="auto"/>
          <w:szCs w:val="20"/>
          <w:lang w:val="en-US"/>
        </w:rPr>
        <w:t>POC</w:t>
      </w:r>
      <w:r w:rsidR="00892BDD">
        <w:rPr>
          <w:color w:val="auto"/>
          <w:szCs w:val="20"/>
          <w:lang w:val="en-US"/>
        </w:rPr>
        <w:t>:</w:t>
      </w:r>
      <w:r w:rsidRPr="00DD3662">
        <w:rPr>
          <w:color w:val="auto"/>
          <w:szCs w:val="20"/>
          <w:lang w:val="en-US"/>
        </w:rPr>
        <w:t xml:space="preserve"> </w:t>
      </w:r>
      <w:r w:rsidR="00123CD4">
        <w:rPr>
          <w:color w:val="auto"/>
          <w:szCs w:val="20"/>
          <w:lang w:val="en-US"/>
        </w:rPr>
        <w:t>p</w:t>
      </w:r>
      <w:r w:rsidRPr="00DD3662">
        <w:rPr>
          <w:color w:val="auto"/>
          <w:szCs w:val="20"/>
          <w:lang w:val="en-US"/>
        </w:rPr>
        <w:t>articulate organic carbon export. Seawater chemistry</w:t>
      </w:r>
      <w:r w:rsidR="00E94B29">
        <w:rPr>
          <w:color w:val="auto"/>
          <w:szCs w:val="20"/>
          <w:lang w:val="en-US"/>
        </w:rPr>
        <w:t xml:space="preserve"> </w:t>
      </w:r>
      <w:r w:rsidR="00D94C85">
        <w:rPr>
          <w:color w:val="auto"/>
          <w:szCs w:val="20"/>
          <w:lang w:val="en-US"/>
        </w:rPr>
        <w:t xml:space="preserve">(unitless) </w:t>
      </w:r>
      <w:r w:rsidR="00E94B29">
        <w:rPr>
          <w:color w:val="auto"/>
          <w:szCs w:val="20"/>
          <w:lang w:val="en-US"/>
        </w:rPr>
        <w:t>is the</w:t>
      </w:r>
      <w:r w:rsidRPr="00DD3662">
        <w:rPr>
          <w:color w:val="auto"/>
          <w:szCs w:val="20"/>
          <w:lang w:val="en-US"/>
        </w:rPr>
        <w:t xml:space="preserve"> </w:t>
      </w:r>
      <w:r>
        <w:rPr>
          <w:color w:val="auto"/>
          <w:szCs w:val="20"/>
          <w:lang w:val="en-US"/>
        </w:rPr>
        <w:t>f</w:t>
      </w:r>
      <w:r w:rsidRPr="00DD3662">
        <w:rPr>
          <w:color w:val="auto"/>
          <w:szCs w:val="20"/>
          <w:lang w:val="en-US"/>
        </w:rPr>
        <w:t xml:space="preserve">irst principal component of the principal component analysis </w:t>
      </w:r>
      <w:r w:rsidR="00A20442">
        <w:rPr>
          <w:color w:val="auto"/>
          <w:szCs w:val="20"/>
          <w:lang w:val="en-US"/>
        </w:rPr>
        <w:t xml:space="preserve">combining </w:t>
      </w:r>
      <w:r w:rsidR="00D94C85">
        <w:rPr>
          <w:color w:val="auto"/>
          <w:szCs w:val="20"/>
          <w:lang w:val="en-US"/>
        </w:rPr>
        <w:t>nutrient</w:t>
      </w:r>
      <w:r w:rsidR="00F160BC">
        <w:rPr>
          <w:color w:val="auto"/>
          <w:szCs w:val="20"/>
          <w:lang w:val="en-US"/>
        </w:rPr>
        <w:t xml:space="preserve"> concentration</w:t>
      </w:r>
      <w:r w:rsidR="00D94C85">
        <w:rPr>
          <w:color w:val="auto"/>
          <w:szCs w:val="20"/>
          <w:lang w:val="en-US"/>
        </w:rPr>
        <w:t xml:space="preserve">s and </w:t>
      </w:r>
      <w:r w:rsidRPr="00DD3662">
        <w:rPr>
          <w:color w:val="auto"/>
          <w:szCs w:val="20"/>
          <w:lang w:val="en-US"/>
        </w:rPr>
        <w:t>aragonite</w:t>
      </w:r>
      <w:r w:rsidR="00D94C85">
        <w:rPr>
          <w:color w:val="auto"/>
          <w:szCs w:val="20"/>
          <w:lang w:val="en-US"/>
        </w:rPr>
        <w:t>/</w:t>
      </w:r>
      <w:r w:rsidRPr="00DD3662">
        <w:rPr>
          <w:color w:val="auto"/>
          <w:szCs w:val="20"/>
          <w:lang w:val="en-US"/>
        </w:rPr>
        <w:t>calcite</w:t>
      </w:r>
      <w:r w:rsidR="00F160BC">
        <w:rPr>
          <w:color w:val="auto"/>
          <w:szCs w:val="20"/>
          <w:lang w:val="en-US"/>
        </w:rPr>
        <w:t xml:space="preserve"> saturation </w:t>
      </w:r>
      <w:r w:rsidR="00D94C85">
        <w:rPr>
          <w:color w:val="auto"/>
          <w:szCs w:val="20"/>
          <w:lang w:val="en-US"/>
        </w:rPr>
        <w:t>levels</w:t>
      </w:r>
      <w:r w:rsidRPr="00DD3662">
        <w:rPr>
          <w:color w:val="auto"/>
          <w:szCs w:val="20"/>
          <w:lang w:val="en-US"/>
        </w:rPr>
        <w:t>. BPI</w:t>
      </w:r>
      <w:r w:rsidR="00892BDD">
        <w:rPr>
          <w:color w:val="auto"/>
          <w:szCs w:val="20"/>
          <w:lang w:val="en-US"/>
        </w:rPr>
        <w:t>:</w:t>
      </w:r>
      <w:r w:rsidRPr="00DD3662">
        <w:rPr>
          <w:color w:val="auto"/>
          <w:szCs w:val="20"/>
          <w:lang w:val="en-US"/>
        </w:rPr>
        <w:t xml:space="preserve"> </w:t>
      </w:r>
      <w:r w:rsidR="00735716">
        <w:rPr>
          <w:color w:val="auto"/>
          <w:szCs w:val="20"/>
          <w:lang w:val="en-US"/>
        </w:rPr>
        <w:t>b</w:t>
      </w:r>
      <w:r w:rsidR="00735716" w:rsidRPr="00735716">
        <w:rPr>
          <w:color w:val="auto"/>
          <w:szCs w:val="20"/>
          <w:lang w:val="en-US"/>
        </w:rPr>
        <w:t xml:space="preserve">athymetric </w:t>
      </w:r>
      <w:r w:rsidRPr="00DD3662">
        <w:rPr>
          <w:color w:val="auto"/>
          <w:szCs w:val="20"/>
          <w:lang w:val="en-US"/>
        </w:rPr>
        <w:t>position index</w:t>
      </w:r>
      <w:r w:rsidR="00892BDD">
        <w:rPr>
          <w:color w:val="auto"/>
          <w:szCs w:val="20"/>
          <w:lang w:val="en-US"/>
        </w:rPr>
        <w:t xml:space="preserve"> (unitless)</w:t>
      </w:r>
      <w:r w:rsidR="00DD3CE1">
        <w:rPr>
          <w:color w:val="auto"/>
          <w:szCs w:val="20"/>
          <w:lang w:val="en-US"/>
        </w:rPr>
        <w:t xml:space="preserve"> computed with two radii (5 and 20 km)</w:t>
      </w:r>
      <w:r w:rsidRPr="00DD3662">
        <w:rPr>
          <w:color w:val="auto"/>
          <w:szCs w:val="20"/>
          <w:lang w:val="en-US"/>
        </w:rPr>
        <w:t>.</w:t>
      </w:r>
      <w:bookmarkEnd w:id="13"/>
      <w:r w:rsidRPr="00DD3662">
        <w:rPr>
          <w:color w:val="auto"/>
          <w:szCs w:val="20"/>
          <w:lang w:val="en-US"/>
        </w:rPr>
        <w:t xml:space="preserve"> </w:t>
      </w:r>
      <w:r w:rsidR="006A0B5C">
        <w:rPr>
          <w:color w:val="auto"/>
          <w:szCs w:val="20"/>
          <w:lang w:val="en-US"/>
        </w:rPr>
        <w:t>With the exception of panel (b), all p</w:t>
      </w:r>
      <w:r w:rsidR="00630A21">
        <w:rPr>
          <w:color w:val="auto"/>
          <w:szCs w:val="20"/>
          <w:lang w:val="en-US"/>
        </w:rPr>
        <w:t xml:space="preserve">anels refer to </w:t>
      </w:r>
      <w:r w:rsidR="006A0B5C">
        <w:rPr>
          <w:color w:val="auto"/>
          <w:szCs w:val="20"/>
          <w:lang w:val="en-US"/>
        </w:rPr>
        <w:t xml:space="preserve">seafloor or </w:t>
      </w:r>
      <w:r w:rsidR="00630A21">
        <w:rPr>
          <w:color w:val="auto"/>
          <w:szCs w:val="20"/>
          <w:lang w:val="en-US"/>
        </w:rPr>
        <w:t>near</w:t>
      </w:r>
      <w:r w:rsidR="00630A21">
        <w:rPr>
          <w:color w:val="auto"/>
          <w:szCs w:val="20"/>
          <w:lang w:val="en-US"/>
        </w:rPr>
        <w:noBreakHyphen/>
        <w:t>seafloor conditions</w:t>
      </w:r>
      <w:r w:rsidR="006A0B5C">
        <w:rPr>
          <w:color w:val="auto"/>
          <w:szCs w:val="20"/>
          <w:lang w:val="en-US"/>
        </w:rPr>
        <w:t xml:space="preserve"> only</w:t>
      </w:r>
      <w:r w:rsidR="00630A21">
        <w:rPr>
          <w:color w:val="auto"/>
          <w:szCs w:val="20"/>
          <w:lang w:val="en-US"/>
        </w:rPr>
        <w:t>.</w:t>
      </w:r>
      <w:bookmarkEnd w:id="14"/>
      <w:r w:rsidR="00630A21">
        <w:rPr>
          <w:color w:val="auto"/>
          <w:szCs w:val="20"/>
          <w:lang w:val="en-US"/>
        </w:rPr>
        <w:t xml:space="preserve"> </w:t>
      </w:r>
      <w:r>
        <w:rPr>
          <w:color w:val="auto"/>
          <w:szCs w:val="20"/>
          <w:lang w:val="en-US"/>
        </w:rPr>
        <w:br w:type="page"/>
      </w:r>
    </w:p>
    <w:p w14:paraId="3B2BE0DA" w14:textId="022A90D9" w:rsidR="00802BCB" w:rsidRPr="002F7064" w:rsidRDefault="00802BCB" w:rsidP="00802BCB">
      <w:pPr>
        <w:pStyle w:val="Caption"/>
        <w:keepNext/>
        <w:jc w:val="both"/>
        <w:outlineLvl w:val="0"/>
        <w:rPr>
          <w:sz w:val="28"/>
          <w:szCs w:val="28"/>
        </w:rPr>
      </w:pPr>
      <w:bookmarkStart w:id="15" w:name="_Toc54969982"/>
      <w:bookmarkStart w:id="16" w:name="_Toc129787435"/>
      <w:r w:rsidRPr="002F7064">
        <w:rPr>
          <w:sz w:val="28"/>
          <w:szCs w:val="28"/>
        </w:rPr>
        <w:lastRenderedPageBreak/>
        <w:t xml:space="preserve">Appendix </w:t>
      </w:r>
      <w:r w:rsidR="00292691">
        <w:rPr>
          <w:sz w:val="28"/>
          <w:szCs w:val="28"/>
        </w:rPr>
        <w:t>C</w:t>
      </w:r>
      <w:r w:rsidRPr="002F7064">
        <w:rPr>
          <w:sz w:val="28"/>
          <w:szCs w:val="28"/>
        </w:rPr>
        <w:t xml:space="preserve">. </w:t>
      </w:r>
      <w:bookmarkEnd w:id="15"/>
      <w:r w:rsidR="00686754">
        <w:rPr>
          <w:sz w:val="28"/>
          <w:szCs w:val="28"/>
        </w:rPr>
        <w:t>H</w:t>
      </w:r>
      <w:r w:rsidR="00CD5967">
        <w:rPr>
          <w:sz w:val="28"/>
          <w:szCs w:val="28"/>
        </w:rPr>
        <w:t>abitat suitability models</w:t>
      </w:r>
      <w:bookmarkEnd w:id="16"/>
      <w:r w:rsidRPr="002F7064">
        <w:rPr>
          <w:sz w:val="28"/>
          <w:szCs w:val="28"/>
        </w:rPr>
        <w:t xml:space="preserve"> </w:t>
      </w:r>
    </w:p>
    <w:p w14:paraId="1D5DE1BD" w14:textId="190F72F7" w:rsidR="00802BCB" w:rsidRPr="005D0629" w:rsidRDefault="00802BCB" w:rsidP="00802BCB">
      <w:pPr>
        <w:rPr>
          <w:sz w:val="4"/>
          <w:lang w:val="en-GB"/>
        </w:rPr>
      </w:pPr>
    </w:p>
    <w:p w14:paraId="340DCF94" w14:textId="77777777" w:rsidR="006F71DF" w:rsidRDefault="00292691" w:rsidP="00802BCB">
      <w:pPr>
        <w:rPr>
          <w:rFonts w:ascii="Garamond" w:hAnsi="Garamond"/>
          <w:b/>
          <w:sz w:val="20"/>
          <w:szCs w:val="20"/>
          <w:lang w:val="en-US"/>
        </w:rPr>
      </w:pPr>
      <w:r>
        <w:rPr>
          <w:rFonts w:ascii="Garamond" w:hAnsi="Garamond"/>
          <w:noProof/>
          <w:sz w:val="20"/>
          <w:szCs w:val="20"/>
          <w:lang w:eastAsia="pt-PT"/>
        </w:rPr>
        <w:drawing>
          <wp:inline distT="0" distB="0" distL="0" distR="0" wp14:anchorId="09FF930A" wp14:editId="6702C137">
            <wp:extent cx="5624285" cy="762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owchart"/>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5625796" cy="7622047"/>
                    </a:xfrm>
                    <a:prstGeom prst="rect">
                      <a:avLst/>
                    </a:prstGeom>
                    <a:noFill/>
                    <a:ln>
                      <a:noFill/>
                    </a:ln>
                  </pic:spPr>
                </pic:pic>
              </a:graphicData>
            </a:graphic>
          </wp:inline>
        </w:drawing>
      </w:r>
    </w:p>
    <w:p w14:paraId="00BA2388" w14:textId="54434729" w:rsidR="00292691" w:rsidRDefault="00292691" w:rsidP="005D0629">
      <w:pPr>
        <w:pStyle w:val="Heading2"/>
        <w:rPr>
          <w:lang w:val="en-GB"/>
        </w:rPr>
      </w:pPr>
      <w:bookmarkStart w:id="17" w:name="_Toc129787436"/>
      <w:r w:rsidRPr="00292691">
        <w:rPr>
          <w:b/>
          <w:lang w:val="en-US"/>
        </w:rPr>
        <w:t xml:space="preserve">Figure </w:t>
      </w:r>
      <w:r>
        <w:rPr>
          <w:b/>
          <w:lang w:val="en-US"/>
        </w:rPr>
        <w:t>C.1</w:t>
      </w:r>
      <w:r w:rsidRPr="00292691">
        <w:rPr>
          <w:lang w:val="en-US"/>
        </w:rPr>
        <w:t xml:space="preserve"> – </w:t>
      </w:r>
      <w:r>
        <w:rPr>
          <w:lang w:val="en-US"/>
        </w:rPr>
        <w:t>Workflow for the d</w:t>
      </w:r>
      <w:r w:rsidRPr="00711540">
        <w:rPr>
          <w:lang w:val="en-US"/>
        </w:rPr>
        <w:t>esign and evaluation</w:t>
      </w:r>
      <w:r>
        <w:rPr>
          <w:lang w:val="en-US"/>
        </w:rPr>
        <w:t xml:space="preserve"> of h</w:t>
      </w:r>
      <w:r w:rsidRPr="00711540">
        <w:rPr>
          <w:lang w:val="en-US"/>
        </w:rPr>
        <w:t>abitat suitability models</w:t>
      </w:r>
      <w:r>
        <w:rPr>
          <w:lang w:val="en-US"/>
        </w:rPr>
        <w:t xml:space="preserve"> and niche analyses</w:t>
      </w:r>
      <w:r w:rsidRPr="00711540">
        <w:rPr>
          <w:lang w:val="en-US"/>
        </w:rPr>
        <w:t xml:space="preserve">. </w:t>
      </w:r>
      <w:r>
        <w:rPr>
          <w:lang w:val="en-US"/>
        </w:rPr>
        <w:t xml:space="preserve">CWC: cold-water coral; </w:t>
      </w:r>
      <w:r w:rsidRPr="00711540">
        <w:rPr>
          <w:lang w:val="en-US"/>
        </w:rPr>
        <w:t>AUC</w:t>
      </w:r>
      <w:r>
        <w:rPr>
          <w:lang w:val="en-US"/>
        </w:rPr>
        <w:t xml:space="preserve">: </w:t>
      </w:r>
      <w:r w:rsidRPr="00711540">
        <w:rPr>
          <w:lang w:val="en-US"/>
        </w:rPr>
        <w:t>Area under the curve; TSS</w:t>
      </w:r>
      <w:r>
        <w:rPr>
          <w:lang w:val="en-US"/>
        </w:rPr>
        <w:t xml:space="preserve">: </w:t>
      </w:r>
      <w:r w:rsidRPr="00711540">
        <w:rPr>
          <w:lang w:val="en-US"/>
        </w:rPr>
        <w:t>true skill statistics; F</w:t>
      </w:r>
      <w:r w:rsidRPr="00711540">
        <w:rPr>
          <w:vertAlign w:val="subscript"/>
          <w:lang w:val="en-US"/>
        </w:rPr>
        <w:t>kHC</w:t>
      </w:r>
      <w:r>
        <w:rPr>
          <w:lang w:val="en-US"/>
        </w:rPr>
        <w:t xml:space="preserve">: </w:t>
      </w:r>
      <w:r w:rsidRPr="00711540">
        <w:rPr>
          <w:lang w:val="en-US"/>
        </w:rPr>
        <w:t>improved Fuzzy Kappa for high-confidence suitable cells.</w:t>
      </w:r>
      <w:bookmarkEnd w:id="17"/>
    </w:p>
    <w:p w14:paraId="6CF04973" w14:textId="5A8A4ECE" w:rsidR="00292691" w:rsidRDefault="00292691" w:rsidP="00802BCB">
      <w:pPr>
        <w:rPr>
          <w:lang w:val="en-GB"/>
        </w:rPr>
      </w:pPr>
    </w:p>
    <w:p w14:paraId="35A9E1A2" w14:textId="4DA8B265" w:rsidR="00802BCB" w:rsidRPr="00DD3662" w:rsidRDefault="00802BCB" w:rsidP="00802BCB">
      <w:pPr>
        <w:pStyle w:val="Caption"/>
        <w:keepNext/>
        <w:jc w:val="both"/>
        <w:outlineLvl w:val="1"/>
        <w:rPr>
          <w:b w:val="0"/>
          <w:sz w:val="20"/>
          <w:szCs w:val="20"/>
        </w:rPr>
      </w:pPr>
      <w:bookmarkStart w:id="18" w:name="_Toc54969983"/>
      <w:bookmarkStart w:id="19" w:name="_Toc129787437"/>
      <w:r w:rsidRPr="00DD3662">
        <w:rPr>
          <w:sz w:val="20"/>
          <w:szCs w:val="20"/>
        </w:rPr>
        <w:lastRenderedPageBreak/>
        <w:t xml:space="preserve">Table </w:t>
      </w:r>
      <w:r w:rsidR="00292691">
        <w:rPr>
          <w:sz w:val="20"/>
          <w:szCs w:val="20"/>
        </w:rPr>
        <w:t>C</w:t>
      </w:r>
      <w:r w:rsidRPr="00DD3662">
        <w:rPr>
          <w:sz w:val="20"/>
          <w:szCs w:val="20"/>
        </w:rPr>
        <w:t>.</w:t>
      </w:r>
      <w:r w:rsidR="002F7064">
        <w:rPr>
          <w:sz w:val="20"/>
          <w:szCs w:val="20"/>
        </w:rPr>
        <w:t>1</w:t>
      </w:r>
      <w:r w:rsidRPr="00DD3662">
        <w:rPr>
          <w:sz w:val="20"/>
          <w:szCs w:val="20"/>
        </w:rPr>
        <w:t xml:space="preserve"> – </w:t>
      </w:r>
      <w:bookmarkEnd w:id="18"/>
      <w:r w:rsidR="002F7064">
        <w:rPr>
          <w:b w:val="0"/>
          <w:sz w:val="20"/>
          <w:szCs w:val="20"/>
        </w:rPr>
        <w:t>C</w:t>
      </w:r>
      <w:r w:rsidR="002F7064" w:rsidRPr="002F7064">
        <w:rPr>
          <w:b w:val="0"/>
          <w:sz w:val="20"/>
          <w:szCs w:val="20"/>
        </w:rPr>
        <w:t xml:space="preserve">ategory </w:t>
      </w:r>
      <w:r w:rsidR="002F7064">
        <w:rPr>
          <w:b w:val="0"/>
          <w:sz w:val="20"/>
          <w:szCs w:val="20"/>
        </w:rPr>
        <w:t>s</w:t>
      </w:r>
      <w:r w:rsidR="00F74203" w:rsidRPr="00F74203">
        <w:rPr>
          <w:b w:val="0"/>
          <w:sz w:val="20"/>
          <w:szCs w:val="20"/>
        </w:rPr>
        <w:t>imilarity matrix. Values of 1 mean that two categories are identical and values of zero that they are totally different. US: unsuitable cells; LC: low-confidence suitable cells; MC: medium-confidence suitable cells; HC: high-confidence suitable cells</w:t>
      </w:r>
      <w:r w:rsidR="00F74203">
        <w:rPr>
          <w:b w:val="0"/>
          <w:sz w:val="20"/>
          <w:szCs w:val="20"/>
        </w:rPr>
        <w:t>.</w:t>
      </w:r>
      <w:bookmarkEnd w:id="19"/>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3"/>
        <w:gridCol w:w="641"/>
        <w:gridCol w:w="616"/>
        <w:gridCol w:w="673"/>
        <w:gridCol w:w="662"/>
      </w:tblGrid>
      <w:tr w:rsidR="00802BCB" w:rsidRPr="00895158" w14:paraId="4B200587" w14:textId="77777777" w:rsidTr="000E5192">
        <w:trPr>
          <w:trHeight w:val="432"/>
          <w:jc w:val="center"/>
        </w:trPr>
        <w:tc>
          <w:tcPr>
            <w:tcW w:w="673" w:type="dxa"/>
            <w:tcBorders>
              <w:bottom w:val="single" w:sz="4" w:space="0" w:color="auto"/>
              <w:right w:val="single" w:sz="4" w:space="0" w:color="auto"/>
            </w:tcBorders>
            <w:shd w:val="clear" w:color="auto" w:fill="auto"/>
            <w:vAlign w:val="center"/>
          </w:tcPr>
          <w:p w14:paraId="5141D2C0" w14:textId="77777777" w:rsidR="00802BCB" w:rsidRPr="00DD3662" w:rsidRDefault="00802BCB" w:rsidP="000E5192">
            <w:pPr>
              <w:tabs>
                <w:tab w:val="center" w:pos="4513"/>
              </w:tabs>
              <w:jc w:val="center"/>
              <w:rPr>
                <w:rFonts w:ascii="Garamond" w:hAnsi="Garamond"/>
                <w:b/>
                <w:sz w:val="20"/>
                <w:szCs w:val="20"/>
              </w:rPr>
            </w:pPr>
          </w:p>
        </w:tc>
        <w:tc>
          <w:tcPr>
            <w:tcW w:w="641" w:type="dxa"/>
            <w:tcBorders>
              <w:top w:val="single" w:sz="4" w:space="0" w:color="auto"/>
              <w:left w:val="single" w:sz="4" w:space="0" w:color="auto"/>
              <w:bottom w:val="single" w:sz="4" w:space="0" w:color="auto"/>
            </w:tcBorders>
            <w:shd w:val="clear" w:color="auto" w:fill="auto"/>
            <w:vAlign w:val="center"/>
          </w:tcPr>
          <w:p w14:paraId="653EF3DA" w14:textId="77777777" w:rsidR="00802BCB" w:rsidRPr="00DD3662" w:rsidRDefault="00802BCB" w:rsidP="000E5192">
            <w:pPr>
              <w:tabs>
                <w:tab w:val="center" w:pos="4513"/>
              </w:tabs>
              <w:jc w:val="center"/>
              <w:rPr>
                <w:rFonts w:ascii="Garamond" w:hAnsi="Garamond"/>
                <w:b/>
                <w:sz w:val="20"/>
                <w:szCs w:val="20"/>
              </w:rPr>
            </w:pPr>
            <w:r w:rsidRPr="00DD3662">
              <w:rPr>
                <w:rFonts w:ascii="Garamond" w:hAnsi="Garamond"/>
                <w:b/>
                <w:sz w:val="20"/>
                <w:szCs w:val="20"/>
              </w:rPr>
              <w:t>US</w:t>
            </w:r>
          </w:p>
        </w:tc>
        <w:tc>
          <w:tcPr>
            <w:tcW w:w="616" w:type="dxa"/>
            <w:tcBorders>
              <w:top w:val="single" w:sz="4" w:space="0" w:color="auto"/>
              <w:bottom w:val="single" w:sz="4" w:space="0" w:color="auto"/>
            </w:tcBorders>
            <w:shd w:val="clear" w:color="auto" w:fill="auto"/>
            <w:vAlign w:val="center"/>
          </w:tcPr>
          <w:p w14:paraId="3B1DE5CF" w14:textId="77777777" w:rsidR="00802BCB" w:rsidRPr="00DD3662" w:rsidRDefault="00802BCB" w:rsidP="000E5192">
            <w:pPr>
              <w:tabs>
                <w:tab w:val="center" w:pos="4513"/>
              </w:tabs>
              <w:jc w:val="center"/>
              <w:rPr>
                <w:rFonts w:ascii="Garamond" w:hAnsi="Garamond"/>
                <w:b/>
                <w:sz w:val="20"/>
                <w:szCs w:val="20"/>
              </w:rPr>
            </w:pPr>
            <w:r w:rsidRPr="00DD3662">
              <w:rPr>
                <w:rFonts w:ascii="Garamond" w:hAnsi="Garamond"/>
                <w:b/>
                <w:sz w:val="20"/>
                <w:szCs w:val="20"/>
              </w:rPr>
              <w:t>LC</w:t>
            </w:r>
          </w:p>
        </w:tc>
        <w:tc>
          <w:tcPr>
            <w:tcW w:w="673" w:type="dxa"/>
            <w:tcBorders>
              <w:top w:val="single" w:sz="4" w:space="0" w:color="auto"/>
              <w:bottom w:val="single" w:sz="4" w:space="0" w:color="auto"/>
            </w:tcBorders>
            <w:shd w:val="clear" w:color="auto" w:fill="auto"/>
            <w:vAlign w:val="center"/>
          </w:tcPr>
          <w:p w14:paraId="05061A75" w14:textId="77777777" w:rsidR="00802BCB" w:rsidRPr="00DD3662" w:rsidRDefault="00802BCB" w:rsidP="000E5192">
            <w:pPr>
              <w:tabs>
                <w:tab w:val="center" w:pos="4513"/>
              </w:tabs>
              <w:jc w:val="center"/>
              <w:rPr>
                <w:rFonts w:ascii="Garamond" w:hAnsi="Garamond"/>
                <w:b/>
                <w:sz w:val="20"/>
                <w:szCs w:val="20"/>
              </w:rPr>
            </w:pPr>
            <w:r w:rsidRPr="00DD3662">
              <w:rPr>
                <w:rFonts w:ascii="Garamond" w:hAnsi="Garamond"/>
                <w:b/>
                <w:sz w:val="20"/>
                <w:szCs w:val="20"/>
              </w:rPr>
              <w:t>MC</w:t>
            </w:r>
          </w:p>
        </w:tc>
        <w:tc>
          <w:tcPr>
            <w:tcW w:w="662" w:type="dxa"/>
            <w:tcBorders>
              <w:top w:val="single" w:sz="4" w:space="0" w:color="auto"/>
              <w:bottom w:val="single" w:sz="4" w:space="0" w:color="auto"/>
              <w:right w:val="single" w:sz="4" w:space="0" w:color="auto"/>
            </w:tcBorders>
            <w:shd w:val="clear" w:color="auto" w:fill="auto"/>
            <w:vAlign w:val="center"/>
          </w:tcPr>
          <w:p w14:paraId="5631AF54" w14:textId="77777777" w:rsidR="00802BCB" w:rsidRPr="00DD3662" w:rsidRDefault="00802BCB" w:rsidP="000E5192">
            <w:pPr>
              <w:tabs>
                <w:tab w:val="center" w:pos="4513"/>
              </w:tabs>
              <w:jc w:val="center"/>
              <w:rPr>
                <w:rFonts w:ascii="Garamond" w:hAnsi="Garamond"/>
                <w:b/>
                <w:sz w:val="20"/>
                <w:szCs w:val="20"/>
              </w:rPr>
            </w:pPr>
            <w:r w:rsidRPr="00DD3662">
              <w:rPr>
                <w:rFonts w:ascii="Garamond" w:hAnsi="Garamond"/>
                <w:b/>
                <w:sz w:val="20"/>
                <w:szCs w:val="20"/>
              </w:rPr>
              <w:t>HC</w:t>
            </w:r>
          </w:p>
        </w:tc>
      </w:tr>
      <w:tr w:rsidR="00802BCB" w:rsidRPr="00895158" w14:paraId="384E109D" w14:textId="77777777" w:rsidTr="000E5192">
        <w:trPr>
          <w:jc w:val="center"/>
        </w:trPr>
        <w:tc>
          <w:tcPr>
            <w:tcW w:w="673" w:type="dxa"/>
            <w:tcBorders>
              <w:top w:val="single" w:sz="4" w:space="0" w:color="auto"/>
              <w:left w:val="single" w:sz="4" w:space="0" w:color="auto"/>
              <w:right w:val="single" w:sz="4" w:space="0" w:color="auto"/>
            </w:tcBorders>
            <w:shd w:val="clear" w:color="auto" w:fill="FFFFFF" w:themeFill="background1"/>
            <w:tcMar>
              <w:top w:w="72" w:type="dxa"/>
              <w:left w:w="72" w:type="dxa"/>
              <w:right w:w="72" w:type="dxa"/>
            </w:tcMar>
          </w:tcPr>
          <w:p w14:paraId="2680E7FB" w14:textId="77777777" w:rsidR="00802BCB" w:rsidRPr="00DD3662" w:rsidRDefault="00802BCB" w:rsidP="000E5192">
            <w:pPr>
              <w:tabs>
                <w:tab w:val="center" w:pos="4513"/>
              </w:tabs>
              <w:rPr>
                <w:rFonts w:ascii="Garamond" w:hAnsi="Garamond"/>
                <w:b/>
                <w:sz w:val="20"/>
                <w:szCs w:val="20"/>
                <w:lang w:val="en-US"/>
              </w:rPr>
            </w:pPr>
            <w:r w:rsidRPr="00DD3662">
              <w:rPr>
                <w:rFonts w:ascii="Garamond" w:hAnsi="Garamond"/>
                <w:b/>
                <w:sz w:val="20"/>
                <w:szCs w:val="20"/>
                <w:lang w:val="en-US"/>
              </w:rPr>
              <w:t>US</w:t>
            </w:r>
          </w:p>
        </w:tc>
        <w:tc>
          <w:tcPr>
            <w:tcW w:w="641" w:type="dxa"/>
            <w:tcBorders>
              <w:top w:val="single" w:sz="4" w:space="0" w:color="auto"/>
              <w:left w:val="single" w:sz="4" w:space="0" w:color="auto"/>
            </w:tcBorders>
            <w:tcMar>
              <w:top w:w="72" w:type="dxa"/>
              <w:left w:w="72" w:type="dxa"/>
              <w:right w:w="72" w:type="dxa"/>
            </w:tcMar>
          </w:tcPr>
          <w:p w14:paraId="3A505D27" w14:textId="77777777" w:rsidR="00802BCB" w:rsidRPr="00DD3662" w:rsidRDefault="00802BCB" w:rsidP="000E5192">
            <w:pPr>
              <w:tabs>
                <w:tab w:val="center" w:pos="4513"/>
              </w:tabs>
              <w:jc w:val="center"/>
              <w:rPr>
                <w:rFonts w:ascii="Garamond" w:hAnsi="Garamond"/>
                <w:sz w:val="20"/>
                <w:szCs w:val="20"/>
                <w:lang w:val="en-US"/>
              </w:rPr>
            </w:pPr>
            <w:r w:rsidRPr="00DD3662">
              <w:rPr>
                <w:rFonts w:ascii="Garamond" w:hAnsi="Garamond"/>
                <w:sz w:val="20"/>
                <w:szCs w:val="20"/>
                <w:lang w:val="en-US"/>
              </w:rPr>
              <w:t>-</w:t>
            </w:r>
          </w:p>
        </w:tc>
        <w:tc>
          <w:tcPr>
            <w:tcW w:w="616" w:type="dxa"/>
            <w:tcBorders>
              <w:top w:val="single" w:sz="4" w:space="0" w:color="auto"/>
            </w:tcBorders>
            <w:tcMar>
              <w:top w:w="72" w:type="dxa"/>
              <w:left w:w="72" w:type="dxa"/>
              <w:right w:w="72" w:type="dxa"/>
            </w:tcMar>
          </w:tcPr>
          <w:p w14:paraId="38127A42" w14:textId="77777777" w:rsidR="00802BCB" w:rsidRPr="00DD3662" w:rsidRDefault="00802BCB" w:rsidP="000E5192">
            <w:pPr>
              <w:tabs>
                <w:tab w:val="center" w:pos="4513"/>
              </w:tabs>
              <w:jc w:val="center"/>
              <w:rPr>
                <w:rFonts w:ascii="Garamond" w:hAnsi="Garamond"/>
                <w:sz w:val="20"/>
                <w:szCs w:val="20"/>
                <w:lang w:val="en-US"/>
              </w:rPr>
            </w:pPr>
            <w:r w:rsidRPr="00DD3662">
              <w:rPr>
                <w:rFonts w:ascii="Garamond" w:hAnsi="Garamond"/>
                <w:sz w:val="20"/>
                <w:szCs w:val="20"/>
                <w:lang w:val="en-US"/>
              </w:rPr>
              <w:t>0</w:t>
            </w:r>
          </w:p>
        </w:tc>
        <w:tc>
          <w:tcPr>
            <w:tcW w:w="673" w:type="dxa"/>
            <w:tcBorders>
              <w:top w:val="single" w:sz="4" w:space="0" w:color="auto"/>
            </w:tcBorders>
            <w:tcMar>
              <w:top w:w="72" w:type="dxa"/>
              <w:left w:w="72" w:type="dxa"/>
              <w:right w:w="72" w:type="dxa"/>
            </w:tcMar>
          </w:tcPr>
          <w:p w14:paraId="37E90EB1" w14:textId="77777777" w:rsidR="00802BCB" w:rsidRPr="00DD3662" w:rsidRDefault="00802BCB" w:rsidP="000E5192">
            <w:pPr>
              <w:tabs>
                <w:tab w:val="center" w:pos="4513"/>
              </w:tabs>
              <w:jc w:val="center"/>
              <w:rPr>
                <w:rFonts w:ascii="Garamond" w:hAnsi="Garamond"/>
                <w:sz w:val="20"/>
                <w:szCs w:val="20"/>
                <w:lang w:val="en-US"/>
              </w:rPr>
            </w:pPr>
            <w:r w:rsidRPr="00DD3662">
              <w:rPr>
                <w:rFonts w:ascii="Garamond" w:hAnsi="Garamond"/>
                <w:sz w:val="20"/>
                <w:szCs w:val="20"/>
                <w:lang w:val="en-US"/>
              </w:rPr>
              <w:t>0</w:t>
            </w:r>
          </w:p>
        </w:tc>
        <w:tc>
          <w:tcPr>
            <w:tcW w:w="662" w:type="dxa"/>
            <w:tcBorders>
              <w:top w:val="single" w:sz="4" w:space="0" w:color="auto"/>
              <w:right w:val="single" w:sz="4" w:space="0" w:color="auto"/>
            </w:tcBorders>
            <w:tcMar>
              <w:top w:w="72" w:type="dxa"/>
              <w:left w:w="72" w:type="dxa"/>
              <w:right w:w="72" w:type="dxa"/>
            </w:tcMar>
          </w:tcPr>
          <w:p w14:paraId="02E5788B" w14:textId="77777777" w:rsidR="00802BCB" w:rsidRPr="00DD3662" w:rsidRDefault="00802BCB" w:rsidP="000E5192">
            <w:pPr>
              <w:tabs>
                <w:tab w:val="center" w:pos="4513"/>
              </w:tabs>
              <w:jc w:val="center"/>
              <w:rPr>
                <w:rFonts w:ascii="Garamond" w:hAnsi="Garamond"/>
                <w:sz w:val="20"/>
                <w:szCs w:val="20"/>
                <w:lang w:val="en-US"/>
              </w:rPr>
            </w:pPr>
            <w:r w:rsidRPr="00DD3662">
              <w:rPr>
                <w:rFonts w:ascii="Garamond" w:hAnsi="Garamond"/>
                <w:sz w:val="20"/>
                <w:szCs w:val="20"/>
                <w:lang w:val="en-US"/>
              </w:rPr>
              <w:t>0</w:t>
            </w:r>
          </w:p>
        </w:tc>
      </w:tr>
      <w:tr w:rsidR="00802BCB" w:rsidRPr="00895158" w14:paraId="110FDE2F" w14:textId="77777777" w:rsidTr="000E5192">
        <w:trPr>
          <w:jc w:val="center"/>
        </w:trPr>
        <w:tc>
          <w:tcPr>
            <w:tcW w:w="673" w:type="dxa"/>
            <w:tcBorders>
              <w:left w:val="single" w:sz="4" w:space="0" w:color="auto"/>
              <w:right w:val="single" w:sz="4" w:space="0" w:color="auto"/>
            </w:tcBorders>
            <w:shd w:val="clear" w:color="auto" w:fill="FFFFFF" w:themeFill="background1"/>
            <w:tcMar>
              <w:top w:w="43" w:type="dxa"/>
              <w:left w:w="72" w:type="dxa"/>
              <w:right w:w="72" w:type="dxa"/>
            </w:tcMar>
          </w:tcPr>
          <w:p w14:paraId="25E01FA5" w14:textId="77777777" w:rsidR="00802BCB" w:rsidRPr="00DD3662" w:rsidRDefault="00802BCB" w:rsidP="000E5192">
            <w:pPr>
              <w:tabs>
                <w:tab w:val="center" w:pos="4513"/>
              </w:tabs>
              <w:jc w:val="both"/>
              <w:rPr>
                <w:rFonts w:ascii="Garamond" w:hAnsi="Garamond"/>
                <w:b/>
                <w:sz w:val="20"/>
                <w:szCs w:val="20"/>
                <w:lang w:val="en-US"/>
              </w:rPr>
            </w:pPr>
            <w:r w:rsidRPr="00DD3662">
              <w:rPr>
                <w:rFonts w:ascii="Garamond" w:hAnsi="Garamond"/>
                <w:b/>
                <w:sz w:val="20"/>
                <w:szCs w:val="20"/>
                <w:lang w:val="en-US"/>
              </w:rPr>
              <w:t>LC</w:t>
            </w:r>
          </w:p>
        </w:tc>
        <w:tc>
          <w:tcPr>
            <w:tcW w:w="641" w:type="dxa"/>
            <w:tcBorders>
              <w:left w:val="single" w:sz="4" w:space="0" w:color="auto"/>
            </w:tcBorders>
            <w:tcMar>
              <w:top w:w="43" w:type="dxa"/>
              <w:left w:w="72" w:type="dxa"/>
              <w:right w:w="72" w:type="dxa"/>
            </w:tcMar>
          </w:tcPr>
          <w:p w14:paraId="222AC7CC" w14:textId="77777777" w:rsidR="00802BCB" w:rsidRPr="00DD3662" w:rsidRDefault="00802BCB" w:rsidP="000E5192">
            <w:pPr>
              <w:tabs>
                <w:tab w:val="center" w:pos="4513"/>
              </w:tabs>
              <w:jc w:val="center"/>
              <w:rPr>
                <w:rFonts w:ascii="Garamond" w:hAnsi="Garamond"/>
                <w:sz w:val="20"/>
                <w:szCs w:val="20"/>
                <w:lang w:val="en-US"/>
              </w:rPr>
            </w:pPr>
            <w:r w:rsidRPr="00DD3662">
              <w:rPr>
                <w:rFonts w:ascii="Garamond" w:hAnsi="Garamond"/>
                <w:sz w:val="20"/>
                <w:szCs w:val="20"/>
                <w:lang w:val="en-US"/>
              </w:rPr>
              <w:t>-</w:t>
            </w:r>
          </w:p>
        </w:tc>
        <w:tc>
          <w:tcPr>
            <w:tcW w:w="616" w:type="dxa"/>
            <w:tcMar>
              <w:top w:w="43" w:type="dxa"/>
              <w:left w:w="72" w:type="dxa"/>
              <w:right w:w="72" w:type="dxa"/>
            </w:tcMar>
          </w:tcPr>
          <w:p w14:paraId="5E3FA231" w14:textId="77777777" w:rsidR="00802BCB" w:rsidRPr="00DD3662" w:rsidRDefault="00802BCB" w:rsidP="000E5192">
            <w:pPr>
              <w:tabs>
                <w:tab w:val="center" w:pos="4513"/>
              </w:tabs>
              <w:jc w:val="center"/>
              <w:rPr>
                <w:rFonts w:ascii="Garamond" w:hAnsi="Garamond"/>
                <w:sz w:val="20"/>
                <w:szCs w:val="20"/>
                <w:lang w:val="en-US"/>
              </w:rPr>
            </w:pPr>
            <w:r w:rsidRPr="00DD3662">
              <w:rPr>
                <w:rFonts w:ascii="Garamond" w:hAnsi="Garamond"/>
                <w:sz w:val="20"/>
                <w:szCs w:val="20"/>
                <w:lang w:val="en-US"/>
              </w:rPr>
              <w:t>1</w:t>
            </w:r>
          </w:p>
        </w:tc>
        <w:tc>
          <w:tcPr>
            <w:tcW w:w="673" w:type="dxa"/>
            <w:tcMar>
              <w:top w:w="43" w:type="dxa"/>
              <w:left w:w="72" w:type="dxa"/>
              <w:right w:w="72" w:type="dxa"/>
            </w:tcMar>
          </w:tcPr>
          <w:p w14:paraId="4A3E1DC6" w14:textId="77777777" w:rsidR="00802BCB" w:rsidRPr="00DD3662" w:rsidRDefault="00802BCB" w:rsidP="000E5192">
            <w:pPr>
              <w:tabs>
                <w:tab w:val="center" w:pos="4513"/>
              </w:tabs>
              <w:jc w:val="center"/>
              <w:rPr>
                <w:rFonts w:ascii="Garamond" w:hAnsi="Garamond"/>
                <w:sz w:val="20"/>
                <w:szCs w:val="20"/>
                <w:lang w:val="en-US"/>
              </w:rPr>
            </w:pPr>
            <w:r w:rsidRPr="00DD3662">
              <w:rPr>
                <w:rFonts w:ascii="Garamond" w:hAnsi="Garamond"/>
                <w:sz w:val="20"/>
                <w:szCs w:val="20"/>
                <w:lang w:val="en-US"/>
              </w:rPr>
              <w:t>0.6</w:t>
            </w:r>
          </w:p>
        </w:tc>
        <w:tc>
          <w:tcPr>
            <w:tcW w:w="662" w:type="dxa"/>
            <w:tcBorders>
              <w:right w:val="single" w:sz="4" w:space="0" w:color="auto"/>
            </w:tcBorders>
            <w:tcMar>
              <w:top w:w="43" w:type="dxa"/>
              <w:left w:w="72" w:type="dxa"/>
              <w:right w:w="72" w:type="dxa"/>
            </w:tcMar>
          </w:tcPr>
          <w:p w14:paraId="4C0904F4" w14:textId="77777777" w:rsidR="00802BCB" w:rsidRPr="00DD3662" w:rsidRDefault="00802BCB" w:rsidP="000E5192">
            <w:pPr>
              <w:tabs>
                <w:tab w:val="center" w:pos="4513"/>
              </w:tabs>
              <w:jc w:val="center"/>
              <w:rPr>
                <w:rFonts w:ascii="Garamond" w:hAnsi="Garamond"/>
                <w:sz w:val="20"/>
                <w:szCs w:val="20"/>
                <w:lang w:val="en-US"/>
              </w:rPr>
            </w:pPr>
            <w:r w:rsidRPr="00DD3662">
              <w:rPr>
                <w:rFonts w:ascii="Garamond" w:hAnsi="Garamond"/>
                <w:sz w:val="20"/>
                <w:szCs w:val="20"/>
                <w:lang w:val="en-US"/>
              </w:rPr>
              <w:t>0.3</w:t>
            </w:r>
          </w:p>
        </w:tc>
      </w:tr>
      <w:tr w:rsidR="00802BCB" w:rsidRPr="00895158" w14:paraId="68B7B1CA" w14:textId="77777777" w:rsidTr="000E5192">
        <w:trPr>
          <w:jc w:val="center"/>
        </w:trPr>
        <w:tc>
          <w:tcPr>
            <w:tcW w:w="673" w:type="dxa"/>
            <w:tcBorders>
              <w:left w:val="single" w:sz="4" w:space="0" w:color="auto"/>
              <w:right w:val="single" w:sz="4" w:space="0" w:color="auto"/>
            </w:tcBorders>
            <w:shd w:val="clear" w:color="auto" w:fill="FFFFFF" w:themeFill="background1"/>
            <w:tcMar>
              <w:top w:w="43" w:type="dxa"/>
              <w:left w:w="72" w:type="dxa"/>
              <w:right w:w="72" w:type="dxa"/>
            </w:tcMar>
          </w:tcPr>
          <w:p w14:paraId="28CB66E0" w14:textId="77777777" w:rsidR="00802BCB" w:rsidRPr="00DD3662" w:rsidRDefault="00802BCB" w:rsidP="000E5192">
            <w:pPr>
              <w:tabs>
                <w:tab w:val="center" w:pos="4513"/>
              </w:tabs>
              <w:jc w:val="both"/>
              <w:rPr>
                <w:rFonts w:ascii="Garamond" w:hAnsi="Garamond"/>
                <w:b/>
                <w:sz w:val="20"/>
                <w:szCs w:val="20"/>
                <w:lang w:val="en-US"/>
              </w:rPr>
            </w:pPr>
            <w:r w:rsidRPr="00DD3662">
              <w:rPr>
                <w:rFonts w:ascii="Garamond" w:hAnsi="Garamond"/>
                <w:b/>
                <w:sz w:val="20"/>
                <w:szCs w:val="20"/>
                <w:lang w:val="en-US"/>
              </w:rPr>
              <w:t>MC</w:t>
            </w:r>
          </w:p>
        </w:tc>
        <w:tc>
          <w:tcPr>
            <w:tcW w:w="641" w:type="dxa"/>
            <w:tcBorders>
              <w:left w:val="single" w:sz="4" w:space="0" w:color="auto"/>
            </w:tcBorders>
            <w:tcMar>
              <w:top w:w="43" w:type="dxa"/>
              <w:left w:w="72" w:type="dxa"/>
              <w:right w:w="72" w:type="dxa"/>
            </w:tcMar>
          </w:tcPr>
          <w:p w14:paraId="1E3662E3" w14:textId="77777777" w:rsidR="00802BCB" w:rsidRPr="00DD3662" w:rsidRDefault="00802BCB" w:rsidP="000E5192">
            <w:pPr>
              <w:tabs>
                <w:tab w:val="center" w:pos="4513"/>
              </w:tabs>
              <w:jc w:val="center"/>
              <w:rPr>
                <w:rFonts w:ascii="Garamond" w:hAnsi="Garamond"/>
                <w:sz w:val="20"/>
                <w:szCs w:val="20"/>
                <w:lang w:val="en-US"/>
              </w:rPr>
            </w:pPr>
            <w:r w:rsidRPr="00DD3662">
              <w:rPr>
                <w:rFonts w:ascii="Garamond" w:hAnsi="Garamond"/>
                <w:sz w:val="20"/>
                <w:szCs w:val="20"/>
                <w:lang w:val="en-US"/>
              </w:rPr>
              <w:t>-</w:t>
            </w:r>
          </w:p>
        </w:tc>
        <w:tc>
          <w:tcPr>
            <w:tcW w:w="616" w:type="dxa"/>
            <w:tcMar>
              <w:top w:w="43" w:type="dxa"/>
              <w:left w:w="72" w:type="dxa"/>
              <w:right w:w="72" w:type="dxa"/>
            </w:tcMar>
          </w:tcPr>
          <w:p w14:paraId="277C6B31" w14:textId="77777777" w:rsidR="00802BCB" w:rsidRPr="00DD3662" w:rsidRDefault="00802BCB" w:rsidP="000E5192">
            <w:pPr>
              <w:tabs>
                <w:tab w:val="center" w:pos="4513"/>
              </w:tabs>
              <w:jc w:val="center"/>
              <w:rPr>
                <w:rFonts w:ascii="Garamond" w:hAnsi="Garamond"/>
                <w:sz w:val="20"/>
                <w:szCs w:val="20"/>
                <w:lang w:val="en-US"/>
              </w:rPr>
            </w:pPr>
            <w:r w:rsidRPr="00DD3662">
              <w:rPr>
                <w:rFonts w:ascii="Garamond" w:hAnsi="Garamond"/>
                <w:sz w:val="20"/>
                <w:szCs w:val="20"/>
                <w:lang w:val="en-US"/>
              </w:rPr>
              <w:t>-</w:t>
            </w:r>
          </w:p>
        </w:tc>
        <w:tc>
          <w:tcPr>
            <w:tcW w:w="673" w:type="dxa"/>
            <w:tcMar>
              <w:top w:w="43" w:type="dxa"/>
              <w:left w:w="72" w:type="dxa"/>
              <w:right w:w="72" w:type="dxa"/>
            </w:tcMar>
          </w:tcPr>
          <w:p w14:paraId="6B2910A3" w14:textId="77777777" w:rsidR="00802BCB" w:rsidRPr="00DD3662" w:rsidRDefault="00802BCB" w:rsidP="000E5192">
            <w:pPr>
              <w:tabs>
                <w:tab w:val="center" w:pos="4513"/>
              </w:tabs>
              <w:jc w:val="center"/>
              <w:rPr>
                <w:rFonts w:ascii="Garamond" w:hAnsi="Garamond"/>
                <w:sz w:val="20"/>
                <w:szCs w:val="20"/>
                <w:lang w:val="en-US"/>
              </w:rPr>
            </w:pPr>
            <w:r w:rsidRPr="00DD3662">
              <w:rPr>
                <w:rFonts w:ascii="Garamond" w:hAnsi="Garamond"/>
                <w:sz w:val="20"/>
                <w:szCs w:val="20"/>
                <w:lang w:val="en-US"/>
              </w:rPr>
              <w:t>1</w:t>
            </w:r>
          </w:p>
        </w:tc>
        <w:tc>
          <w:tcPr>
            <w:tcW w:w="662" w:type="dxa"/>
            <w:tcBorders>
              <w:right w:val="single" w:sz="4" w:space="0" w:color="auto"/>
            </w:tcBorders>
            <w:tcMar>
              <w:top w:w="43" w:type="dxa"/>
              <w:left w:w="72" w:type="dxa"/>
              <w:right w:w="72" w:type="dxa"/>
            </w:tcMar>
          </w:tcPr>
          <w:p w14:paraId="21703541" w14:textId="77777777" w:rsidR="00802BCB" w:rsidRPr="00DD3662" w:rsidRDefault="00802BCB" w:rsidP="000E5192">
            <w:pPr>
              <w:tabs>
                <w:tab w:val="center" w:pos="4513"/>
              </w:tabs>
              <w:jc w:val="center"/>
              <w:rPr>
                <w:rFonts w:ascii="Garamond" w:hAnsi="Garamond"/>
                <w:sz w:val="20"/>
                <w:szCs w:val="20"/>
                <w:lang w:val="en-US"/>
              </w:rPr>
            </w:pPr>
            <w:r w:rsidRPr="00DD3662">
              <w:rPr>
                <w:rFonts w:ascii="Garamond" w:hAnsi="Garamond"/>
                <w:sz w:val="20"/>
                <w:szCs w:val="20"/>
                <w:lang w:val="en-US"/>
              </w:rPr>
              <w:t>0.6</w:t>
            </w:r>
          </w:p>
        </w:tc>
      </w:tr>
      <w:tr w:rsidR="00802BCB" w:rsidRPr="00895158" w14:paraId="14161BE0" w14:textId="77777777" w:rsidTr="000E5192">
        <w:trPr>
          <w:jc w:val="center"/>
        </w:trPr>
        <w:tc>
          <w:tcPr>
            <w:tcW w:w="673" w:type="dxa"/>
            <w:tcBorders>
              <w:left w:val="single" w:sz="4" w:space="0" w:color="auto"/>
              <w:bottom w:val="single" w:sz="4" w:space="0" w:color="auto"/>
              <w:right w:val="single" w:sz="4" w:space="0" w:color="auto"/>
            </w:tcBorders>
            <w:shd w:val="clear" w:color="auto" w:fill="FFFFFF" w:themeFill="background1"/>
            <w:tcMar>
              <w:top w:w="43" w:type="dxa"/>
              <w:left w:w="72" w:type="dxa"/>
              <w:right w:w="72" w:type="dxa"/>
            </w:tcMar>
          </w:tcPr>
          <w:p w14:paraId="6A2C6E8B" w14:textId="77777777" w:rsidR="00802BCB" w:rsidRPr="00DD3662" w:rsidRDefault="00802BCB" w:rsidP="000E5192">
            <w:pPr>
              <w:tabs>
                <w:tab w:val="center" w:pos="4513"/>
              </w:tabs>
              <w:jc w:val="both"/>
              <w:rPr>
                <w:rFonts w:ascii="Garamond" w:hAnsi="Garamond"/>
                <w:b/>
                <w:sz w:val="20"/>
                <w:szCs w:val="20"/>
                <w:lang w:val="en-US"/>
              </w:rPr>
            </w:pPr>
            <w:r w:rsidRPr="00DD3662">
              <w:rPr>
                <w:rFonts w:ascii="Garamond" w:hAnsi="Garamond"/>
                <w:b/>
                <w:sz w:val="20"/>
                <w:szCs w:val="20"/>
                <w:lang w:val="en-US"/>
              </w:rPr>
              <w:t>HC</w:t>
            </w:r>
          </w:p>
        </w:tc>
        <w:tc>
          <w:tcPr>
            <w:tcW w:w="641" w:type="dxa"/>
            <w:tcBorders>
              <w:left w:val="single" w:sz="4" w:space="0" w:color="auto"/>
              <w:bottom w:val="single" w:sz="4" w:space="0" w:color="auto"/>
            </w:tcBorders>
            <w:tcMar>
              <w:top w:w="43" w:type="dxa"/>
              <w:left w:w="72" w:type="dxa"/>
              <w:right w:w="72" w:type="dxa"/>
            </w:tcMar>
          </w:tcPr>
          <w:p w14:paraId="4599B45F" w14:textId="77777777" w:rsidR="00802BCB" w:rsidRPr="00DD3662" w:rsidRDefault="00802BCB" w:rsidP="000E5192">
            <w:pPr>
              <w:tabs>
                <w:tab w:val="center" w:pos="4513"/>
              </w:tabs>
              <w:jc w:val="center"/>
              <w:rPr>
                <w:rFonts w:ascii="Garamond" w:hAnsi="Garamond"/>
                <w:sz w:val="20"/>
                <w:szCs w:val="20"/>
                <w:lang w:val="en-US"/>
              </w:rPr>
            </w:pPr>
            <w:r w:rsidRPr="00DD3662">
              <w:rPr>
                <w:rFonts w:ascii="Garamond" w:hAnsi="Garamond"/>
                <w:sz w:val="20"/>
                <w:szCs w:val="20"/>
                <w:lang w:val="en-US"/>
              </w:rPr>
              <w:t>-</w:t>
            </w:r>
          </w:p>
        </w:tc>
        <w:tc>
          <w:tcPr>
            <w:tcW w:w="616" w:type="dxa"/>
            <w:tcBorders>
              <w:bottom w:val="single" w:sz="4" w:space="0" w:color="auto"/>
            </w:tcBorders>
            <w:tcMar>
              <w:top w:w="43" w:type="dxa"/>
              <w:left w:w="72" w:type="dxa"/>
              <w:right w:w="72" w:type="dxa"/>
            </w:tcMar>
          </w:tcPr>
          <w:p w14:paraId="34A96D3D" w14:textId="77777777" w:rsidR="00802BCB" w:rsidRPr="00DD3662" w:rsidRDefault="00802BCB" w:rsidP="000E5192">
            <w:pPr>
              <w:tabs>
                <w:tab w:val="center" w:pos="4513"/>
              </w:tabs>
              <w:jc w:val="center"/>
              <w:rPr>
                <w:rFonts w:ascii="Garamond" w:hAnsi="Garamond"/>
                <w:sz w:val="20"/>
                <w:szCs w:val="20"/>
                <w:lang w:val="en-US"/>
              </w:rPr>
            </w:pPr>
            <w:r w:rsidRPr="00DD3662">
              <w:rPr>
                <w:rFonts w:ascii="Garamond" w:hAnsi="Garamond"/>
                <w:sz w:val="20"/>
                <w:szCs w:val="20"/>
                <w:lang w:val="en-US"/>
              </w:rPr>
              <w:t>-</w:t>
            </w:r>
          </w:p>
        </w:tc>
        <w:tc>
          <w:tcPr>
            <w:tcW w:w="673" w:type="dxa"/>
            <w:tcBorders>
              <w:bottom w:val="single" w:sz="4" w:space="0" w:color="auto"/>
            </w:tcBorders>
            <w:tcMar>
              <w:top w:w="43" w:type="dxa"/>
              <w:left w:w="72" w:type="dxa"/>
              <w:right w:w="72" w:type="dxa"/>
            </w:tcMar>
          </w:tcPr>
          <w:p w14:paraId="62D096FF" w14:textId="77777777" w:rsidR="00802BCB" w:rsidRPr="00DD3662" w:rsidRDefault="00802BCB" w:rsidP="000E5192">
            <w:pPr>
              <w:tabs>
                <w:tab w:val="center" w:pos="4513"/>
              </w:tabs>
              <w:jc w:val="center"/>
              <w:rPr>
                <w:rFonts w:ascii="Garamond" w:hAnsi="Garamond"/>
                <w:sz w:val="20"/>
                <w:szCs w:val="20"/>
                <w:lang w:val="en-US"/>
              </w:rPr>
            </w:pPr>
            <w:r w:rsidRPr="00DD3662">
              <w:rPr>
                <w:rFonts w:ascii="Garamond" w:hAnsi="Garamond"/>
                <w:sz w:val="20"/>
                <w:szCs w:val="20"/>
                <w:lang w:val="en-US"/>
              </w:rPr>
              <w:t>-</w:t>
            </w:r>
          </w:p>
        </w:tc>
        <w:tc>
          <w:tcPr>
            <w:tcW w:w="662" w:type="dxa"/>
            <w:tcBorders>
              <w:bottom w:val="single" w:sz="4" w:space="0" w:color="auto"/>
              <w:right w:val="single" w:sz="4" w:space="0" w:color="auto"/>
            </w:tcBorders>
            <w:tcMar>
              <w:top w:w="43" w:type="dxa"/>
              <w:left w:w="72" w:type="dxa"/>
              <w:right w:w="72" w:type="dxa"/>
            </w:tcMar>
          </w:tcPr>
          <w:p w14:paraId="773DACAB" w14:textId="77777777" w:rsidR="00802BCB" w:rsidRPr="00DD3662" w:rsidRDefault="00802BCB" w:rsidP="000E5192">
            <w:pPr>
              <w:tabs>
                <w:tab w:val="center" w:pos="4513"/>
              </w:tabs>
              <w:jc w:val="center"/>
              <w:rPr>
                <w:rFonts w:ascii="Garamond" w:hAnsi="Garamond"/>
                <w:sz w:val="20"/>
                <w:szCs w:val="20"/>
                <w:lang w:val="en-US"/>
              </w:rPr>
            </w:pPr>
            <w:r w:rsidRPr="00DD3662">
              <w:rPr>
                <w:rFonts w:ascii="Garamond" w:hAnsi="Garamond"/>
                <w:sz w:val="20"/>
                <w:szCs w:val="20"/>
                <w:lang w:val="en-US"/>
              </w:rPr>
              <w:t>1</w:t>
            </w:r>
          </w:p>
        </w:tc>
      </w:tr>
    </w:tbl>
    <w:p w14:paraId="2F382EAD" w14:textId="77777777" w:rsidR="00802BCB" w:rsidRPr="00DD3662" w:rsidRDefault="00802BCB" w:rsidP="00802BCB">
      <w:pPr>
        <w:pStyle w:val="Caption"/>
        <w:keepNext/>
        <w:rPr>
          <w:sz w:val="20"/>
          <w:szCs w:val="20"/>
        </w:rPr>
      </w:pPr>
    </w:p>
    <w:p w14:paraId="19637592" w14:textId="77777777" w:rsidR="00802BCB" w:rsidRPr="00DD3662" w:rsidRDefault="00802BCB" w:rsidP="00802BCB">
      <w:pPr>
        <w:rPr>
          <w:rFonts w:ascii="Garamond" w:hAnsi="Garamond"/>
          <w:sz w:val="20"/>
          <w:szCs w:val="20"/>
          <w:lang w:val="en-GB"/>
        </w:rPr>
      </w:pPr>
    </w:p>
    <w:p w14:paraId="17A229E6" w14:textId="77777777" w:rsidR="00802BCB" w:rsidRPr="00DD3662" w:rsidRDefault="00802BCB" w:rsidP="00802BCB">
      <w:pPr>
        <w:rPr>
          <w:rFonts w:ascii="Garamond" w:hAnsi="Garamond"/>
          <w:sz w:val="20"/>
          <w:szCs w:val="20"/>
          <w:lang w:val="en-US"/>
        </w:rPr>
      </w:pPr>
      <w:r w:rsidRPr="00DD3662">
        <w:rPr>
          <w:rFonts w:ascii="Garamond" w:hAnsi="Garamond"/>
          <w:sz w:val="20"/>
          <w:szCs w:val="20"/>
          <w:lang w:val="en-US"/>
        </w:rPr>
        <w:br w:type="page"/>
      </w:r>
    </w:p>
    <w:p w14:paraId="432E1773" w14:textId="1C21E045" w:rsidR="00802BCB" w:rsidRDefault="00802BCB" w:rsidP="00802BCB">
      <w:pPr>
        <w:pStyle w:val="Heading1"/>
        <w:rPr>
          <w:b/>
          <w:sz w:val="28"/>
          <w:szCs w:val="28"/>
          <w:lang w:val="en-US"/>
        </w:rPr>
      </w:pPr>
      <w:bookmarkStart w:id="20" w:name="_Toc54969984"/>
      <w:bookmarkStart w:id="21" w:name="_Toc129787438"/>
      <w:r w:rsidRPr="00E577B4">
        <w:rPr>
          <w:b/>
          <w:sz w:val="28"/>
          <w:szCs w:val="28"/>
          <w:lang w:val="en-US"/>
        </w:rPr>
        <w:lastRenderedPageBreak/>
        <w:t xml:space="preserve">Appendix </w:t>
      </w:r>
      <w:r w:rsidR="00373C9F">
        <w:rPr>
          <w:b/>
          <w:sz w:val="28"/>
          <w:szCs w:val="28"/>
          <w:lang w:val="en-US"/>
        </w:rPr>
        <w:t>D</w:t>
      </w:r>
      <w:r w:rsidRPr="00E577B4">
        <w:rPr>
          <w:b/>
          <w:sz w:val="28"/>
          <w:szCs w:val="28"/>
          <w:lang w:val="en-US"/>
        </w:rPr>
        <w:t>. Model outputs</w:t>
      </w:r>
      <w:bookmarkEnd w:id="20"/>
      <w:bookmarkEnd w:id="21"/>
    </w:p>
    <w:p w14:paraId="5A4667C6" w14:textId="77777777" w:rsidR="00774DDB" w:rsidRDefault="00774DDB" w:rsidP="00774DDB">
      <w:pPr>
        <w:rPr>
          <w:lang w:val="en-US"/>
        </w:rPr>
      </w:pPr>
    </w:p>
    <w:p w14:paraId="5A07FE54" w14:textId="77777777" w:rsidR="00774DDB" w:rsidRDefault="00774DDB" w:rsidP="00774DDB">
      <w:pPr>
        <w:rPr>
          <w:lang w:val="en-US"/>
        </w:rPr>
      </w:pPr>
    </w:p>
    <w:p w14:paraId="7FB4CFD4" w14:textId="77777777" w:rsidR="00774DDB" w:rsidRDefault="008503EC" w:rsidP="00774DDB">
      <w:pPr>
        <w:keepNext/>
      </w:pPr>
      <w:r>
        <w:rPr>
          <w:lang w:val="en-US"/>
        </w:rPr>
        <w:pict w14:anchorId="3B041BC1">
          <v:shape id="_x0000_i1050" type="#_x0000_t75" style="width:450.8pt;height:169.8pt">
            <v:imagedata r:id="rId14" o:title="evalPlots"/>
          </v:shape>
        </w:pict>
      </w:r>
    </w:p>
    <w:p w14:paraId="5695E6C2" w14:textId="63FF1F35" w:rsidR="00774DDB" w:rsidRPr="00A132EE" w:rsidRDefault="00774DDB" w:rsidP="00C909C3">
      <w:pPr>
        <w:pStyle w:val="Heading2"/>
        <w:jc w:val="both"/>
        <w:rPr>
          <w:lang w:val="en-US"/>
        </w:rPr>
      </w:pPr>
      <w:bookmarkStart w:id="22" w:name="_Toc129787439"/>
      <w:r w:rsidRPr="00A132EE">
        <w:rPr>
          <w:rStyle w:val="Heading2Char"/>
          <w:b/>
          <w:lang w:val="en-US"/>
        </w:rPr>
        <w:t xml:space="preserve">Figure </w:t>
      </w:r>
      <w:r w:rsidR="009F4B0F">
        <w:rPr>
          <w:rStyle w:val="Heading2Char"/>
          <w:b/>
          <w:lang w:val="en-US"/>
        </w:rPr>
        <w:t>D</w:t>
      </w:r>
      <w:r w:rsidR="00B42267">
        <w:rPr>
          <w:rStyle w:val="Heading2Char"/>
          <w:b/>
          <w:lang w:val="en-US"/>
        </w:rPr>
        <w:t>.</w:t>
      </w:r>
      <w:r w:rsidRPr="00A132EE">
        <w:rPr>
          <w:rStyle w:val="Heading2Char"/>
          <w:b/>
          <w:lang w:val="en-US"/>
        </w:rPr>
        <w:t>1</w:t>
      </w:r>
      <w:r w:rsidRPr="00A132EE">
        <w:rPr>
          <w:lang w:val="en-US"/>
        </w:rPr>
        <w:t xml:space="preserve"> – Standard deviations of (a) true skill statistics (</w:t>
      </w:r>
      <w:r w:rsidR="00925F40" w:rsidRPr="007453AA">
        <w:t>Δ</w:t>
      </w:r>
      <w:r w:rsidRPr="00A132EE">
        <w:rPr>
          <w:lang w:val="en-US"/>
        </w:rPr>
        <w:t>TSS) and (b) area under the curve (</w:t>
      </w:r>
      <w:r w:rsidR="00925F40" w:rsidRPr="007453AA">
        <w:t>Δ</w:t>
      </w:r>
      <w:r w:rsidRPr="00A132EE">
        <w:rPr>
          <w:lang w:val="en-US"/>
        </w:rPr>
        <w:t xml:space="preserve">AUC) </w:t>
      </w:r>
      <w:r w:rsidR="000A116F" w:rsidRPr="00A132EE">
        <w:rPr>
          <w:lang w:val="en-US"/>
        </w:rPr>
        <w:t xml:space="preserve">scores </w:t>
      </w:r>
      <w:r w:rsidRPr="00A132EE">
        <w:rPr>
          <w:lang w:val="en-US"/>
        </w:rPr>
        <w:t xml:space="preserve">plotted against the number of presence records used to develop </w:t>
      </w:r>
      <w:r w:rsidR="00953D1C" w:rsidRPr="00A132EE">
        <w:rPr>
          <w:lang w:val="en-US"/>
        </w:rPr>
        <w:t>habitat-suitability models (HSMs)</w:t>
      </w:r>
      <w:r w:rsidRPr="00A132EE">
        <w:rPr>
          <w:lang w:val="en-US"/>
        </w:rPr>
        <w:t>. (c) Improved fuzzy kappa score</w:t>
      </w:r>
      <w:r w:rsidR="000A116F" w:rsidRPr="00A132EE">
        <w:rPr>
          <w:lang w:val="en-US"/>
        </w:rPr>
        <w:t>s</w:t>
      </w:r>
      <w:r w:rsidRPr="00A132EE">
        <w:rPr>
          <w:lang w:val="en-US"/>
        </w:rPr>
        <w:t xml:space="preserve"> for high quality cells (F</w:t>
      </w:r>
      <w:r w:rsidRPr="009F29DA">
        <w:rPr>
          <w:vertAlign w:val="subscript"/>
          <w:lang w:val="en-US"/>
        </w:rPr>
        <w:t>kHC</w:t>
      </w:r>
      <w:r w:rsidRPr="00A132EE">
        <w:rPr>
          <w:lang w:val="en-US"/>
        </w:rPr>
        <w:t>) plotted against the number of presence records used to develop HSMs.</w:t>
      </w:r>
      <w:r w:rsidR="007D3273" w:rsidRPr="00A132EE">
        <w:rPr>
          <w:lang w:val="en-US"/>
        </w:rPr>
        <w:t xml:space="preserve"> In panels (a, b), filled circles are GAM and em</w:t>
      </w:r>
      <w:r w:rsidR="00C37CFA" w:rsidRPr="00A132EE">
        <w:rPr>
          <w:lang w:val="en-US"/>
        </w:rPr>
        <w:t>pty circles are Maxent models.</w:t>
      </w:r>
      <w:bookmarkEnd w:id="22"/>
    </w:p>
    <w:p w14:paraId="4FC28C4C" w14:textId="77777777" w:rsidR="00774DDB" w:rsidRDefault="00774DDB">
      <w:pPr>
        <w:rPr>
          <w:lang w:val="en-US"/>
        </w:rPr>
      </w:pPr>
      <w:r>
        <w:rPr>
          <w:lang w:val="en-US"/>
        </w:rPr>
        <w:br w:type="page"/>
      </w:r>
    </w:p>
    <w:p w14:paraId="758D280E" w14:textId="77777777" w:rsidR="00802BCB" w:rsidRDefault="00802BCB" w:rsidP="00802BCB">
      <w:pPr>
        <w:rPr>
          <w:rFonts w:ascii="Garamond" w:hAnsi="Garamond"/>
          <w:sz w:val="20"/>
          <w:szCs w:val="20"/>
          <w:lang w:val="en-US"/>
        </w:rPr>
      </w:pPr>
      <w:r>
        <w:rPr>
          <w:rFonts w:ascii="Garamond" w:hAnsi="Garamond"/>
          <w:noProof/>
          <w:sz w:val="20"/>
          <w:szCs w:val="20"/>
          <w:lang w:eastAsia="pt-PT"/>
        </w:rPr>
        <w:lastRenderedPageBreak/>
        <w:drawing>
          <wp:inline distT="0" distB="0" distL="0" distR="0" wp14:anchorId="27A97E7A" wp14:editId="2C65CD1D">
            <wp:extent cx="5720715" cy="6795770"/>
            <wp:effectExtent l="0" t="0" r="0" b="5080"/>
            <wp:docPr id="16" name="Picture 16" descr="9mapTmpl_BOOTs_G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9mapTmpl_BOOTs_GAM"/>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20715" cy="6795770"/>
                    </a:xfrm>
                    <a:prstGeom prst="rect">
                      <a:avLst/>
                    </a:prstGeom>
                    <a:noFill/>
                    <a:ln>
                      <a:noFill/>
                    </a:ln>
                  </pic:spPr>
                </pic:pic>
              </a:graphicData>
            </a:graphic>
          </wp:inline>
        </w:drawing>
      </w:r>
    </w:p>
    <w:p w14:paraId="4346A93B" w14:textId="69BF5FED" w:rsidR="00802BCB" w:rsidRDefault="00802BCB" w:rsidP="00802BCB">
      <w:pPr>
        <w:pStyle w:val="Heading2"/>
        <w:jc w:val="both"/>
        <w:rPr>
          <w:color w:val="auto"/>
          <w:szCs w:val="20"/>
          <w:lang w:val="en-US"/>
        </w:rPr>
      </w:pPr>
      <w:bookmarkStart w:id="23" w:name="_Toc54969995"/>
      <w:bookmarkStart w:id="24" w:name="_Toc129787440"/>
      <w:r w:rsidRPr="006E6DA4">
        <w:rPr>
          <w:b/>
          <w:color w:val="auto"/>
          <w:szCs w:val="20"/>
          <w:lang w:val="en-US"/>
        </w:rPr>
        <w:t xml:space="preserve">Figure </w:t>
      </w:r>
      <w:r w:rsidR="00373C9F">
        <w:rPr>
          <w:b/>
          <w:color w:val="auto"/>
          <w:szCs w:val="20"/>
          <w:lang w:val="en-US"/>
        </w:rPr>
        <w:t>D</w:t>
      </w:r>
      <w:r w:rsidRPr="006E6DA4">
        <w:rPr>
          <w:b/>
          <w:color w:val="auto"/>
          <w:szCs w:val="20"/>
          <w:lang w:val="en-US"/>
        </w:rPr>
        <w:t>.</w:t>
      </w:r>
      <w:r w:rsidR="00AB12D7">
        <w:rPr>
          <w:b/>
          <w:color w:val="auto"/>
          <w:szCs w:val="20"/>
          <w:lang w:val="en-US"/>
        </w:rPr>
        <w:t>2</w:t>
      </w:r>
      <w:r w:rsidRPr="00DD3662">
        <w:rPr>
          <w:color w:val="auto"/>
          <w:szCs w:val="20"/>
          <w:lang w:val="en-US"/>
        </w:rPr>
        <w:t xml:space="preserve"> – </w:t>
      </w:r>
      <w:r>
        <w:rPr>
          <w:color w:val="auto"/>
          <w:szCs w:val="20"/>
          <w:lang w:val="en-US"/>
        </w:rPr>
        <w:t>Habitat s</w:t>
      </w:r>
      <w:r w:rsidRPr="00DD3662">
        <w:rPr>
          <w:color w:val="auto"/>
          <w:szCs w:val="20"/>
          <w:lang w:val="en-US"/>
        </w:rPr>
        <w:t xml:space="preserve">uitability </w:t>
      </w:r>
      <w:r>
        <w:rPr>
          <w:color w:val="auto"/>
          <w:szCs w:val="20"/>
          <w:lang w:val="en-US"/>
        </w:rPr>
        <w:t xml:space="preserve">maps produced by </w:t>
      </w:r>
      <w:r w:rsidRPr="00DD3662">
        <w:rPr>
          <w:color w:val="auto"/>
          <w:szCs w:val="20"/>
          <w:lang w:val="en-US"/>
        </w:rPr>
        <w:t xml:space="preserve">GAMs </w:t>
      </w:r>
      <w:r>
        <w:rPr>
          <w:color w:val="auto"/>
          <w:szCs w:val="20"/>
          <w:lang w:val="en-US"/>
        </w:rPr>
        <w:t xml:space="preserve">for </w:t>
      </w:r>
      <w:r w:rsidRPr="00702BF3">
        <w:rPr>
          <w:color w:val="auto"/>
          <w:szCs w:val="20"/>
          <w:lang w:val="en-US"/>
        </w:rPr>
        <w:t>Octocorallia</w:t>
      </w:r>
      <w:r>
        <w:rPr>
          <w:color w:val="auto"/>
          <w:szCs w:val="20"/>
          <w:lang w:val="en-US"/>
        </w:rPr>
        <w:t xml:space="preserve"> (</w:t>
      </w:r>
      <w:r w:rsidRPr="00702BF3">
        <w:rPr>
          <w:color w:val="auto"/>
          <w:szCs w:val="20"/>
          <w:lang w:val="en-US"/>
        </w:rPr>
        <w:t>Alcyonacea</w:t>
      </w:r>
      <w:r w:rsidRPr="00DD3662">
        <w:rPr>
          <w:color w:val="auto"/>
          <w:szCs w:val="20"/>
          <w:lang w:val="en-US"/>
        </w:rPr>
        <w:t xml:space="preserve">). </w:t>
      </w:r>
      <w:r>
        <w:rPr>
          <w:color w:val="auto"/>
          <w:szCs w:val="20"/>
          <w:lang w:val="en-US"/>
        </w:rPr>
        <w:t xml:space="preserve">Local confidence (LC): the </w:t>
      </w:r>
      <w:r w:rsidR="00A4780F">
        <w:rPr>
          <w:color w:val="auto"/>
          <w:szCs w:val="20"/>
          <w:lang w:val="en-US"/>
        </w:rPr>
        <w:t>percentage</w:t>
      </w:r>
      <w:r>
        <w:rPr>
          <w:color w:val="auto"/>
          <w:szCs w:val="20"/>
          <w:lang w:val="en-US"/>
        </w:rPr>
        <w:t xml:space="preserve"> of times a cell is classified as suitable when models are fitted with resampled input data. Overall confidence (OC): determined by the lowest score among</w:t>
      </w:r>
      <w:r w:rsidRPr="006543DB">
        <w:rPr>
          <w:lang w:val="en-US"/>
        </w:rPr>
        <w:t xml:space="preserve"> </w:t>
      </w:r>
      <w:r w:rsidRPr="00A42C1F">
        <w:rPr>
          <w:color w:val="auto"/>
          <w:szCs w:val="20"/>
          <w:lang w:val="en-US"/>
        </w:rPr>
        <w:t>AUC</w:t>
      </w:r>
      <w:r w:rsidRPr="00A42C1F">
        <w:rPr>
          <w:color w:val="auto"/>
          <w:szCs w:val="20"/>
          <w:vertAlign w:val="subscript"/>
          <w:lang w:val="en-US"/>
        </w:rPr>
        <w:t>GAM</w:t>
      </w:r>
      <w:r w:rsidRPr="00A42C1F">
        <w:rPr>
          <w:color w:val="auto"/>
          <w:szCs w:val="20"/>
          <w:lang w:val="en-US"/>
        </w:rPr>
        <w:t xml:space="preserve"> </w:t>
      </w:r>
      <w:r>
        <w:rPr>
          <w:color w:val="auto"/>
          <w:szCs w:val="20"/>
          <w:lang w:val="en-US"/>
        </w:rPr>
        <w:t xml:space="preserve">and </w:t>
      </w:r>
      <w:r w:rsidRPr="00A42C1F">
        <w:rPr>
          <w:color w:val="auto"/>
          <w:szCs w:val="20"/>
          <w:lang w:val="en-US"/>
        </w:rPr>
        <w:t>TSS</w:t>
      </w:r>
      <w:r w:rsidRPr="00A42C1F">
        <w:rPr>
          <w:color w:val="auto"/>
          <w:szCs w:val="20"/>
          <w:vertAlign w:val="subscript"/>
          <w:lang w:val="en-US"/>
        </w:rPr>
        <w:t>GAM</w:t>
      </w:r>
      <w:r w:rsidR="00C82E7F">
        <w:rPr>
          <w:color w:val="auto"/>
          <w:szCs w:val="20"/>
          <w:lang w:val="en-US"/>
        </w:rPr>
        <w:t>.</w:t>
      </w:r>
      <w:r>
        <w:rPr>
          <w:color w:val="auto"/>
          <w:szCs w:val="20"/>
          <w:lang w:val="en-US"/>
        </w:rPr>
        <w:t xml:space="preserve"> </w:t>
      </w:r>
      <w:r w:rsidR="00C82E7F">
        <w:rPr>
          <w:color w:val="auto"/>
          <w:szCs w:val="20"/>
          <w:lang w:val="en-US"/>
        </w:rPr>
        <w:t>AUC:</w:t>
      </w:r>
      <w:r w:rsidR="00C82E7F" w:rsidRPr="00A42C1F">
        <w:rPr>
          <w:color w:val="auto"/>
          <w:szCs w:val="20"/>
          <w:lang w:val="en-US"/>
        </w:rPr>
        <w:t xml:space="preserve"> </w:t>
      </w:r>
      <w:r w:rsidRPr="00A42C1F">
        <w:rPr>
          <w:color w:val="auto"/>
          <w:szCs w:val="20"/>
          <w:lang w:val="en-US"/>
        </w:rPr>
        <w:t>area under the curve</w:t>
      </w:r>
      <w:r w:rsidR="00C82E7F">
        <w:rPr>
          <w:color w:val="auto"/>
          <w:szCs w:val="20"/>
          <w:lang w:val="en-US"/>
        </w:rPr>
        <w:t>;</w:t>
      </w:r>
      <w:r>
        <w:rPr>
          <w:color w:val="auto"/>
          <w:szCs w:val="20"/>
          <w:lang w:val="en-US"/>
        </w:rPr>
        <w:t xml:space="preserve"> </w:t>
      </w:r>
      <w:r w:rsidR="00C82E7F">
        <w:rPr>
          <w:color w:val="auto"/>
          <w:szCs w:val="20"/>
          <w:lang w:val="en-US"/>
        </w:rPr>
        <w:t>TSS:</w:t>
      </w:r>
      <w:r w:rsidRPr="00A42C1F">
        <w:rPr>
          <w:color w:val="auto"/>
          <w:szCs w:val="20"/>
          <w:lang w:val="en-US"/>
        </w:rPr>
        <w:t xml:space="preserve"> true skill st</w:t>
      </w:r>
      <w:r w:rsidR="00C82E7F">
        <w:rPr>
          <w:color w:val="auto"/>
          <w:szCs w:val="20"/>
          <w:lang w:val="en-US"/>
        </w:rPr>
        <w:t>atistics</w:t>
      </w:r>
      <w:r>
        <w:rPr>
          <w:color w:val="auto"/>
          <w:szCs w:val="20"/>
          <w:lang w:val="en-US"/>
        </w:rPr>
        <w:t xml:space="preserve">. </w:t>
      </w:r>
      <w:r w:rsidRPr="006543DB">
        <w:rPr>
          <w:rFonts w:eastAsia="Times New Roman" w:cs="Calibri"/>
          <w:color w:val="auto"/>
          <w:szCs w:val="20"/>
          <w:lang w:val="en-US" w:eastAsia="pt-PT"/>
        </w:rPr>
        <w:t>In parenthesis</w:t>
      </w:r>
      <w:r w:rsidR="00B14A92">
        <w:rPr>
          <w:rFonts w:eastAsia="Times New Roman" w:cs="Calibri"/>
          <w:color w:val="auto"/>
          <w:szCs w:val="20"/>
          <w:lang w:val="en-US" w:eastAsia="pt-PT"/>
        </w:rPr>
        <w:t>,</w:t>
      </w:r>
      <w:r w:rsidRPr="006543DB">
        <w:rPr>
          <w:rFonts w:eastAsia="Times New Roman" w:cs="Calibri"/>
          <w:color w:val="auto"/>
          <w:szCs w:val="20"/>
          <w:lang w:val="en-US" w:eastAsia="pt-PT"/>
        </w:rPr>
        <w:t xml:space="preserve"> the number of records used to </w:t>
      </w:r>
      <w:r w:rsidR="00C82E7F">
        <w:rPr>
          <w:rFonts w:eastAsia="Times New Roman" w:cs="Calibri"/>
          <w:color w:val="auto"/>
          <w:szCs w:val="20"/>
          <w:lang w:val="en-US" w:eastAsia="pt-PT"/>
        </w:rPr>
        <w:t>train</w:t>
      </w:r>
      <w:r w:rsidRPr="006543DB">
        <w:rPr>
          <w:rFonts w:eastAsia="Times New Roman" w:cs="Calibri"/>
          <w:color w:val="auto"/>
          <w:szCs w:val="20"/>
          <w:lang w:val="en-US" w:eastAsia="pt-PT"/>
        </w:rPr>
        <w:t xml:space="preserve"> the models.</w:t>
      </w:r>
      <w:bookmarkEnd w:id="24"/>
      <w:r w:rsidRPr="006543DB">
        <w:rPr>
          <w:rFonts w:eastAsia="Times New Roman" w:cs="Calibri"/>
          <w:color w:val="auto"/>
          <w:szCs w:val="20"/>
          <w:lang w:val="en-US" w:eastAsia="pt-PT"/>
        </w:rPr>
        <w:t xml:space="preserve"> </w:t>
      </w:r>
    </w:p>
    <w:bookmarkEnd w:id="23"/>
    <w:p w14:paraId="08D717ED" w14:textId="77777777" w:rsidR="00802BCB" w:rsidRPr="00DD3662" w:rsidRDefault="00802BCB" w:rsidP="00802BCB">
      <w:pPr>
        <w:rPr>
          <w:rFonts w:ascii="Garamond" w:hAnsi="Garamond"/>
          <w:sz w:val="20"/>
          <w:szCs w:val="20"/>
          <w:lang w:val="en-US"/>
        </w:rPr>
      </w:pPr>
    </w:p>
    <w:p w14:paraId="3EBD8A42" w14:textId="77777777" w:rsidR="00802BCB" w:rsidRPr="00DD3662" w:rsidRDefault="00802BCB" w:rsidP="00802BCB">
      <w:pPr>
        <w:rPr>
          <w:rFonts w:ascii="Garamond" w:hAnsi="Garamond"/>
          <w:sz w:val="20"/>
          <w:szCs w:val="20"/>
          <w:lang w:val="en-US"/>
        </w:rPr>
      </w:pPr>
      <w:r w:rsidRPr="00DD3662">
        <w:rPr>
          <w:rFonts w:ascii="Garamond" w:hAnsi="Garamond"/>
          <w:sz w:val="20"/>
          <w:szCs w:val="20"/>
          <w:lang w:val="en-US"/>
        </w:rPr>
        <w:br w:type="page"/>
      </w:r>
    </w:p>
    <w:p w14:paraId="086DD16F" w14:textId="77777777" w:rsidR="00802BCB" w:rsidRPr="00DD3662" w:rsidRDefault="00802BCB" w:rsidP="00802BCB">
      <w:pPr>
        <w:rPr>
          <w:rFonts w:ascii="Garamond" w:hAnsi="Garamond"/>
          <w:sz w:val="20"/>
          <w:szCs w:val="20"/>
          <w:lang w:val="en-US"/>
        </w:rPr>
      </w:pPr>
      <w:r>
        <w:rPr>
          <w:rFonts w:ascii="Garamond" w:hAnsi="Garamond"/>
          <w:noProof/>
          <w:sz w:val="20"/>
          <w:szCs w:val="20"/>
          <w:lang w:eastAsia="pt-PT"/>
        </w:rPr>
        <w:lastRenderedPageBreak/>
        <w:drawing>
          <wp:inline distT="0" distB="0" distL="0" distR="0" wp14:anchorId="587A8D40" wp14:editId="7089C788">
            <wp:extent cx="5720715" cy="6795770"/>
            <wp:effectExtent l="0" t="0" r="0" b="5080"/>
            <wp:docPr id="15" name="Picture 15" descr="9mapTmpl_BOOTs_MAX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9mapTmpl_BOOTs_MAXEN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20715" cy="6795770"/>
                    </a:xfrm>
                    <a:prstGeom prst="rect">
                      <a:avLst/>
                    </a:prstGeom>
                    <a:noFill/>
                    <a:ln>
                      <a:noFill/>
                    </a:ln>
                  </pic:spPr>
                </pic:pic>
              </a:graphicData>
            </a:graphic>
          </wp:inline>
        </w:drawing>
      </w:r>
    </w:p>
    <w:p w14:paraId="78083F6D" w14:textId="3725F512" w:rsidR="00802BCB" w:rsidRPr="00246573" w:rsidRDefault="00802BCB" w:rsidP="00802BCB">
      <w:pPr>
        <w:pStyle w:val="Heading2"/>
        <w:jc w:val="both"/>
        <w:rPr>
          <w:color w:val="auto"/>
          <w:szCs w:val="20"/>
          <w:lang w:val="en-US"/>
        </w:rPr>
      </w:pPr>
      <w:bookmarkStart w:id="25" w:name="_Toc54969996"/>
      <w:bookmarkStart w:id="26" w:name="_Toc129787441"/>
      <w:r w:rsidRPr="006E6DA4">
        <w:rPr>
          <w:b/>
          <w:color w:val="auto"/>
          <w:szCs w:val="20"/>
          <w:lang w:val="en-US"/>
        </w:rPr>
        <w:t xml:space="preserve">Figure </w:t>
      </w:r>
      <w:r w:rsidR="00373C9F">
        <w:rPr>
          <w:b/>
          <w:color w:val="auto"/>
          <w:szCs w:val="20"/>
          <w:lang w:val="en-US"/>
        </w:rPr>
        <w:t>D</w:t>
      </w:r>
      <w:r w:rsidRPr="006E6DA4">
        <w:rPr>
          <w:b/>
          <w:color w:val="auto"/>
          <w:szCs w:val="20"/>
          <w:lang w:val="en-US"/>
        </w:rPr>
        <w:t>.</w:t>
      </w:r>
      <w:r w:rsidR="00AB12D7">
        <w:rPr>
          <w:b/>
          <w:color w:val="auto"/>
          <w:szCs w:val="20"/>
          <w:lang w:val="en-US"/>
        </w:rPr>
        <w:t>3</w:t>
      </w:r>
      <w:r w:rsidRPr="00DD3662">
        <w:rPr>
          <w:color w:val="auto"/>
          <w:szCs w:val="20"/>
          <w:lang w:val="en-US"/>
        </w:rPr>
        <w:t xml:space="preserve"> – </w:t>
      </w:r>
      <w:bookmarkEnd w:id="25"/>
      <w:r w:rsidRPr="00246573">
        <w:rPr>
          <w:color w:val="auto"/>
          <w:szCs w:val="20"/>
          <w:lang w:val="en-US"/>
        </w:rPr>
        <w:t xml:space="preserve">Habitat suitability maps produced by </w:t>
      </w:r>
      <w:r>
        <w:rPr>
          <w:color w:val="auto"/>
          <w:szCs w:val="20"/>
          <w:lang w:val="en-US"/>
        </w:rPr>
        <w:t>Maxent models</w:t>
      </w:r>
      <w:r w:rsidRPr="00246573">
        <w:rPr>
          <w:color w:val="auto"/>
          <w:szCs w:val="20"/>
          <w:lang w:val="en-US"/>
        </w:rPr>
        <w:t xml:space="preserve"> for Octocorallia (Alcyonacea). Local confidence (LC): the </w:t>
      </w:r>
      <w:r w:rsidR="00A4780F">
        <w:rPr>
          <w:color w:val="auto"/>
          <w:szCs w:val="20"/>
          <w:lang w:val="en-US"/>
        </w:rPr>
        <w:t xml:space="preserve">percentage </w:t>
      </w:r>
      <w:r w:rsidRPr="00246573">
        <w:rPr>
          <w:color w:val="auto"/>
          <w:szCs w:val="20"/>
          <w:lang w:val="en-US"/>
        </w:rPr>
        <w:t>of times a cell is classified as suitable when models are fitted with resampled input data. Overall confidence (OC): determined by the lowest score among AUC</w:t>
      </w:r>
      <w:r w:rsidRPr="00246573">
        <w:rPr>
          <w:color w:val="auto"/>
          <w:szCs w:val="20"/>
          <w:vertAlign w:val="subscript"/>
          <w:lang w:val="en-US"/>
        </w:rPr>
        <w:t>Maxent</w:t>
      </w:r>
      <w:r>
        <w:rPr>
          <w:color w:val="auto"/>
          <w:szCs w:val="20"/>
          <w:lang w:val="en-US"/>
        </w:rPr>
        <w:t xml:space="preserve"> and</w:t>
      </w:r>
      <w:r w:rsidRPr="00246573">
        <w:rPr>
          <w:color w:val="auto"/>
          <w:szCs w:val="20"/>
          <w:lang w:val="en-US"/>
        </w:rPr>
        <w:t xml:space="preserve"> TSS</w:t>
      </w:r>
      <w:r w:rsidRPr="00246573">
        <w:rPr>
          <w:color w:val="auto"/>
          <w:szCs w:val="20"/>
          <w:vertAlign w:val="subscript"/>
          <w:lang w:val="en-US"/>
        </w:rPr>
        <w:t>Maxent</w:t>
      </w:r>
      <w:r w:rsidR="00B14A92">
        <w:rPr>
          <w:color w:val="auto"/>
          <w:szCs w:val="20"/>
          <w:lang w:val="en-US"/>
        </w:rPr>
        <w:t>. AUC: area under the curve</w:t>
      </w:r>
      <w:r w:rsidRPr="00246573">
        <w:rPr>
          <w:color w:val="auto"/>
          <w:szCs w:val="20"/>
          <w:lang w:val="en-US"/>
        </w:rPr>
        <w:t>;</w:t>
      </w:r>
      <w:r w:rsidR="00B14A92">
        <w:rPr>
          <w:color w:val="auto"/>
          <w:szCs w:val="20"/>
          <w:lang w:val="en-US"/>
        </w:rPr>
        <w:t xml:space="preserve"> TSS:</w:t>
      </w:r>
      <w:r w:rsidRPr="00246573">
        <w:rPr>
          <w:color w:val="auto"/>
          <w:szCs w:val="20"/>
          <w:lang w:val="en-US"/>
        </w:rPr>
        <w:t xml:space="preserve"> true skill </w:t>
      </w:r>
      <w:r w:rsidR="00B14A92">
        <w:rPr>
          <w:color w:val="auto"/>
          <w:szCs w:val="20"/>
          <w:lang w:val="en-US"/>
        </w:rPr>
        <w:t>statistics</w:t>
      </w:r>
      <w:r w:rsidRPr="00246573">
        <w:rPr>
          <w:color w:val="auto"/>
          <w:szCs w:val="20"/>
          <w:lang w:val="en-US"/>
        </w:rPr>
        <w:t>. In parenthesis</w:t>
      </w:r>
      <w:r w:rsidR="00B14A92">
        <w:rPr>
          <w:color w:val="auto"/>
          <w:szCs w:val="20"/>
          <w:lang w:val="en-US"/>
        </w:rPr>
        <w:t>,</w:t>
      </w:r>
      <w:r w:rsidRPr="00246573">
        <w:rPr>
          <w:color w:val="auto"/>
          <w:szCs w:val="20"/>
          <w:lang w:val="en-US"/>
        </w:rPr>
        <w:t xml:space="preserve"> the number of records used to </w:t>
      </w:r>
      <w:r w:rsidR="00B14A92">
        <w:rPr>
          <w:color w:val="auto"/>
          <w:szCs w:val="20"/>
          <w:lang w:val="en-US"/>
        </w:rPr>
        <w:t>train</w:t>
      </w:r>
      <w:r w:rsidRPr="00246573">
        <w:rPr>
          <w:color w:val="auto"/>
          <w:szCs w:val="20"/>
          <w:lang w:val="en-US"/>
        </w:rPr>
        <w:t xml:space="preserve"> the models.</w:t>
      </w:r>
      <w:bookmarkEnd w:id="26"/>
    </w:p>
    <w:p w14:paraId="6F7629F6" w14:textId="77777777" w:rsidR="00802BCB" w:rsidRDefault="00802BCB" w:rsidP="00802BCB">
      <w:pPr>
        <w:rPr>
          <w:rFonts w:ascii="Garamond" w:hAnsi="Garamond"/>
          <w:sz w:val="20"/>
          <w:szCs w:val="20"/>
          <w:lang w:val="en-US"/>
        </w:rPr>
      </w:pPr>
      <w:r w:rsidRPr="00DD3662">
        <w:rPr>
          <w:rFonts w:ascii="Garamond" w:hAnsi="Garamond"/>
          <w:sz w:val="20"/>
          <w:szCs w:val="20"/>
          <w:lang w:val="en-US"/>
        </w:rPr>
        <w:br w:type="page"/>
      </w:r>
    </w:p>
    <w:p w14:paraId="2334BBD4" w14:textId="77777777" w:rsidR="00802BCB" w:rsidRDefault="00802BCB" w:rsidP="00802BCB">
      <w:pPr>
        <w:rPr>
          <w:rFonts w:ascii="Garamond" w:hAnsi="Garamond"/>
          <w:noProof/>
          <w:sz w:val="20"/>
          <w:szCs w:val="20"/>
          <w:lang w:eastAsia="pt-PT"/>
        </w:rPr>
      </w:pPr>
      <w:r>
        <w:rPr>
          <w:rFonts w:ascii="Garamond" w:hAnsi="Garamond"/>
          <w:noProof/>
          <w:sz w:val="20"/>
          <w:szCs w:val="20"/>
          <w:lang w:eastAsia="pt-PT"/>
        </w:rPr>
        <w:lastRenderedPageBreak/>
        <w:drawing>
          <wp:inline distT="0" distB="0" distL="0" distR="0" wp14:anchorId="70B8B333" wp14:editId="78BFA309">
            <wp:extent cx="5720715" cy="635141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9mapTmpl_Fuzzy"/>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5720715" cy="6351416"/>
                    </a:xfrm>
                    <a:prstGeom prst="rect">
                      <a:avLst/>
                    </a:prstGeom>
                    <a:noFill/>
                    <a:ln>
                      <a:noFill/>
                    </a:ln>
                  </pic:spPr>
                </pic:pic>
              </a:graphicData>
            </a:graphic>
          </wp:inline>
        </w:drawing>
      </w:r>
    </w:p>
    <w:p w14:paraId="3916786D" w14:textId="0302E71A" w:rsidR="00802BCB" w:rsidRDefault="00802BCB" w:rsidP="007D3273">
      <w:pPr>
        <w:pStyle w:val="Heading2"/>
        <w:jc w:val="both"/>
        <w:rPr>
          <w:lang w:val="en-US"/>
        </w:rPr>
      </w:pPr>
      <w:bookmarkStart w:id="27" w:name="_Toc54969997"/>
      <w:bookmarkStart w:id="28" w:name="_Toc129787442"/>
      <w:r w:rsidRPr="006E6DA4">
        <w:rPr>
          <w:b/>
          <w:color w:val="auto"/>
          <w:szCs w:val="20"/>
          <w:lang w:val="en-US"/>
        </w:rPr>
        <w:t xml:space="preserve">Figure </w:t>
      </w:r>
      <w:r w:rsidR="00373C9F">
        <w:rPr>
          <w:b/>
          <w:color w:val="auto"/>
          <w:szCs w:val="20"/>
          <w:lang w:val="en-US"/>
        </w:rPr>
        <w:t>D</w:t>
      </w:r>
      <w:r w:rsidRPr="006E6DA4">
        <w:rPr>
          <w:b/>
          <w:color w:val="auto"/>
          <w:szCs w:val="20"/>
          <w:lang w:val="en-US"/>
        </w:rPr>
        <w:t>.</w:t>
      </w:r>
      <w:r w:rsidR="00223F16">
        <w:rPr>
          <w:b/>
          <w:color w:val="auto"/>
          <w:szCs w:val="20"/>
          <w:lang w:val="en-US"/>
        </w:rPr>
        <w:t>4</w:t>
      </w:r>
      <w:r w:rsidRPr="00DD3662">
        <w:rPr>
          <w:color w:val="auto"/>
          <w:szCs w:val="20"/>
          <w:lang w:val="en-US"/>
        </w:rPr>
        <w:t xml:space="preserve"> – </w:t>
      </w:r>
      <w:r>
        <w:rPr>
          <w:color w:val="auto"/>
          <w:szCs w:val="20"/>
          <w:lang w:val="en-US"/>
        </w:rPr>
        <w:t xml:space="preserve">Fuzzy similarity of the habitat suitability maps produced by </w:t>
      </w:r>
      <w:r w:rsidRPr="00DD3662">
        <w:rPr>
          <w:color w:val="auto"/>
          <w:szCs w:val="20"/>
          <w:lang w:val="en-US"/>
        </w:rPr>
        <w:t xml:space="preserve">GAM and Maxent </w:t>
      </w:r>
      <w:r>
        <w:rPr>
          <w:color w:val="auto"/>
          <w:szCs w:val="20"/>
          <w:lang w:val="en-US"/>
        </w:rPr>
        <w:t xml:space="preserve">models for </w:t>
      </w:r>
      <w:r w:rsidRPr="00246573">
        <w:rPr>
          <w:color w:val="auto"/>
          <w:szCs w:val="20"/>
          <w:lang w:val="en-US"/>
        </w:rPr>
        <w:t>Octocorallia (Alcyonacea)</w:t>
      </w:r>
      <w:r w:rsidRPr="00DD3662">
        <w:rPr>
          <w:color w:val="auto"/>
          <w:szCs w:val="20"/>
          <w:lang w:val="en-US"/>
        </w:rPr>
        <w:t xml:space="preserve">. </w:t>
      </w:r>
      <w:r>
        <w:rPr>
          <w:color w:val="auto"/>
          <w:szCs w:val="20"/>
          <w:lang w:val="en-US"/>
        </w:rPr>
        <w:t xml:space="preserve">Local fuzzy matching (LF): computes the fuzzy matching of GAM and Maxent suitable cells using two membership functions (i) </w:t>
      </w:r>
      <w:r w:rsidRPr="00942DEB">
        <w:rPr>
          <w:color w:val="auto"/>
          <w:szCs w:val="20"/>
          <w:lang w:val="en-US"/>
        </w:rPr>
        <w:t>category similarity</w:t>
      </w:r>
      <w:r>
        <w:rPr>
          <w:color w:val="auto"/>
          <w:szCs w:val="20"/>
          <w:lang w:val="en-US"/>
        </w:rPr>
        <w:t xml:space="preserve"> and (ii) </w:t>
      </w:r>
      <w:r w:rsidRPr="00942DEB">
        <w:rPr>
          <w:color w:val="auto"/>
          <w:szCs w:val="20"/>
          <w:lang w:val="en-US"/>
        </w:rPr>
        <w:t>distance decay</w:t>
      </w:r>
      <w:r>
        <w:rPr>
          <w:color w:val="auto"/>
          <w:szCs w:val="20"/>
          <w:lang w:val="en-US"/>
        </w:rPr>
        <w:t xml:space="preserve">. Fuzzy matching values greater than 0.5 means that the two cells are more similar than different. Overall similarity (OS): determined by the improved fuzzy kappa score for high quality cells </w:t>
      </w:r>
      <w:r w:rsidRPr="00DD3662">
        <w:rPr>
          <w:color w:val="auto"/>
          <w:szCs w:val="20"/>
          <w:lang w:val="en-US"/>
        </w:rPr>
        <w:t>(F</w:t>
      </w:r>
      <w:r w:rsidRPr="00DD3662">
        <w:rPr>
          <w:color w:val="auto"/>
          <w:szCs w:val="20"/>
          <w:vertAlign w:val="subscript"/>
          <w:lang w:val="en-US"/>
        </w:rPr>
        <w:t>kHC</w:t>
      </w:r>
      <w:r w:rsidRPr="00DD3662">
        <w:rPr>
          <w:color w:val="auto"/>
          <w:szCs w:val="20"/>
          <w:lang w:val="en-US"/>
        </w:rPr>
        <w:t>)</w:t>
      </w:r>
      <w:r>
        <w:rPr>
          <w:color w:val="auto"/>
          <w:szCs w:val="20"/>
          <w:lang w:val="en-US"/>
        </w:rPr>
        <w:t>. The score measures the degree of overlap of GAM and Maxent high confidence cells.</w:t>
      </w:r>
      <w:bookmarkEnd w:id="28"/>
      <w:r>
        <w:rPr>
          <w:color w:val="auto"/>
          <w:szCs w:val="20"/>
          <w:lang w:val="en-US"/>
        </w:rPr>
        <w:t xml:space="preserve"> </w:t>
      </w:r>
      <w:bookmarkEnd w:id="27"/>
      <w:r>
        <w:rPr>
          <w:lang w:val="en-US"/>
        </w:rPr>
        <w:br w:type="page"/>
      </w:r>
    </w:p>
    <w:p w14:paraId="2E16C138" w14:textId="77777777" w:rsidR="00802BCB" w:rsidRDefault="00802BCB" w:rsidP="00802BCB">
      <w:pPr>
        <w:rPr>
          <w:rFonts w:ascii="Garamond" w:hAnsi="Garamond"/>
          <w:noProof/>
          <w:sz w:val="20"/>
          <w:szCs w:val="20"/>
          <w:lang w:eastAsia="pt-PT"/>
        </w:rPr>
      </w:pPr>
      <w:r>
        <w:rPr>
          <w:rFonts w:ascii="Garamond" w:hAnsi="Garamond"/>
          <w:noProof/>
          <w:sz w:val="20"/>
          <w:szCs w:val="20"/>
          <w:lang w:eastAsia="pt-PT"/>
        </w:rPr>
        <w:lastRenderedPageBreak/>
        <w:drawing>
          <wp:inline distT="0" distB="0" distL="0" distR="0" wp14:anchorId="6ADE85AE" wp14:editId="75BB5653">
            <wp:extent cx="5720715" cy="482764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5mapTmpl_BOOTs_GAM"/>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5720715" cy="4827641"/>
                    </a:xfrm>
                    <a:prstGeom prst="rect">
                      <a:avLst/>
                    </a:prstGeom>
                    <a:noFill/>
                    <a:ln>
                      <a:noFill/>
                    </a:ln>
                  </pic:spPr>
                </pic:pic>
              </a:graphicData>
            </a:graphic>
          </wp:inline>
        </w:drawing>
      </w:r>
    </w:p>
    <w:p w14:paraId="39FF5018" w14:textId="5E1C5D2E" w:rsidR="00802BCB" w:rsidRPr="00DD3662" w:rsidRDefault="00802BCB" w:rsidP="00802BCB">
      <w:pPr>
        <w:pStyle w:val="Heading2"/>
        <w:jc w:val="both"/>
        <w:rPr>
          <w:color w:val="auto"/>
          <w:szCs w:val="20"/>
          <w:lang w:val="en-US"/>
        </w:rPr>
      </w:pPr>
      <w:bookmarkStart w:id="29" w:name="_Toc54969998"/>
      <w:bookmarkStart w:id="30" w:name="_Toc129787443"/>
      <w:r w:rsidRPr="006E6DA4">
        <w:rPr>
          <w:b/>
          <w:color w:val="auto"/>
          <w:szCs w:val="20"/>
          <w:lang w:val="en-US"/>
        </w:rPr>
        <w:t xml:space="preserve">Figure </w:t>
      </w:r>
      <w:r w:rsidR="00373C9F">
        <w:rPr>
          <w:b/>
          <w:color w:val="auto"/>
          <w:szCs w:val="20"/>
          <w:lang w:val="en-US"/>
        </w:rPr>
        <w:t>D</w:t>
      </w:r>
      <w:r w:rsidRPr="006E6DA4">
        <w:rPr>
          <w:b/>
          <w:color w:val="auto"/>
          <w:szCs w:val="20"/>
          <w:lang w:val="en-US"/>
        </w:rPr>
        <w:t>.</w:t>
      </w:r>
      <w:r w:rsidR="00C355A3">
        <w:rPr>
          <w:b/>
          <w:color w:val="auto"/>
          <w:szCs w:val="20"/>
          <w:lang w:val="en-US"/>
        </w:rPr>
        <w:t>5</w:t>
      </w:r>
      <w:r w:rsidRPr="00DD3662">
        <w:rPr>
          <w:color w:val="auto"/>
          <w:szCs w:val="20"/>
          <w:lang w:val="en-US"/>
        </w:rPr>
        <w:t xml:space="preserve"> –</w:t>
      </w:r>
      <w:bookmarkEnd w:id="29"/>
      <w:r>
        <w:rPr>
          <w:color w:val="auto"/>
          <w:szCs w:val="20"/>
          <w:lang w:val="en-US"/>
        </w:rPr>
        <w:t xml:space="preserve"> Habitat s</w:t>
      </w:r>
      <w:r w:rsidRPr="00DD3662">
        <w:rPr>
          <w:color w:val="auto"/>
          <w:szCs w:val="20"/>
          <w:lang w:val="en-US"/>
        </w:rPr>
        <w:t xml:space="preserve">uitability </w:t>
      </w:r>
      <w:r>
        <w:rPr>
          <w:color w:val="auto"/>
          <w:szCs w:val="20"/>
          <w:lang w:val="en-US"/>
        </w:rPr>
        <w:t xml:space="preserve">maps produced by </w:t>
      </w:r>
      <w:r w:rsidRPr="00DD3662">
        <w:rPr>
          <w:color w:val="auto"/>
          <w:szCs w:val="20"/>
          <w:lang w:val="en-US"/>
        </w:rPr>
        <w:t xml:space="preserve">GAMs </w:t>
      </w:r>
      <w:r>
        <w:rPr>
          <w:color w:val="auto"/>
          <w:szCs w:val="20"/>
          <w:lang w:val="en-US"/>
        </w:rPr>
        <w:t xml:space="preserve">for </w:t>
      </w:r>
      <w:r w:rsidRPr="00702BF3">
        <w:rPr>
          <w:color w:val="auto"/>
          <w:szCs w:val="20"/>
          <w:lang w:val="en-US"/>
        </w:rPr>
        <w:t>Scleractinia</w:t>
      </w:r>
      <w:r>
        <w:rPr>
          <w:color w:val="auto"/>
          <w:szCs w:val="20"/>
          <w:lang w:val="en-US"/>
        </w:rPr>
        <w:t xml:space="preserve"> (a-c)</w:t>
      </w:r>
      <w:r w:rsidRPr="00702BF3">
        <w:rPr>
          <w:color w:val="auto"/>
          <w:szCs w:val="20"/>
          <w:lang w:val="en-US"/>
        </w:rPr>
        <w:t xml:space="preserve">, Anthoathecata </w:t>
      </w:r>
      <w:r>
        <w:rPr>
          <w:color w:val="auto"/>
          <w:szCs w:val="20"/>
          <w:lang w:val="en-US"/>
        </w:rPr>
        <w:t xml:space="preserve">(c) and </w:t>
      </w:r>
      <w:r w:rsidRPr="00702BF3">
        <w:rPr>
          <w:color w:val="auto"/>
          <w:szCs w:val="20"/>
          <w:lang w:val="en-US"/>
        </w:rPr>
        <w:t>Antipatharia</w:t>
      </w:r>
      <w:r>
        <w:rPr>
          <w:color w:val="auto"/>
          <w:szCs w:val="20"/>
          <w:lang w:val="en-US"/>
        </w:rPr>
        <w:t xml:space="preserve"> (e). Local confidence (LC): the </w:t>
      </w:r>
      <w:r w:rsidR="00A4780F">
        <w:rPr>
          <w:color w:val="auto"/>
          <w:szCs w:val="20"/>
          <w:lang w:val="en-US"/>
        </w:rPr>
        <w:t xml:space="preserve">percentage </w:t>
      </w:r>
      <w:r>
        <w:rPr>
          <w:color w:val="auto"/>
          <w:szCs w:val="20"/>
          <w:lang w:val="en-US"/>
        </w:rPr>
        <w:t>of times a cell is classified as suitable when models are fitted with resampled input data. Overall confidence (OC): determined by the lowest score among</w:t>
      </w:r>
      <w:r w:rsidRPr="006543DB">
        <w:rPr>
          <w:lang w:val="en-US"/>
        </w:rPr>
        <w:t xml:space="preserve"> </w:t>
      </w:r>
      <w:r w:rsidRPr="00A42C1F">
        <w:rPr>
          <w:color w:val="auto"/>
          <w:szCs w:val="20"/>
          <w:lang w:val="en-US"/>
        </w:rPr>
        <w:t>AUC</w:t>
      </w:r>
      <w:r w:rsidRPr="00A42C1F">
        <w:rPr>
          <w:color w:val="auto"/>
          <w:szCs w:val="20"/>
          <w:vertAlign w:val="subscript"/>
          <w:lang w:val="en-US"/>
        </w:rPr>
        <w:t>GAM</w:t>
      </w:r>
      <w:r w:rsidRPr="00A42C1F">
        <w:rPr>
          <w:color w:val="auto"/>
          <w:szCs w:val="20"/>
          <w:lang w:val="en-US"/>
        </w:rPr>
        <w:t xml:space="preserve"> </w:t>
      </w:r>
      <w:r>
        <w:rPr>
          <w:color w:val="auto"/>
          <w:szCs w:val="20"/>
          <w:lang w:val="en-US"/>
        </w:rPr>
        <w:t xml:space="preserve">and </w:t>
      </w:r>
      <w:r w:rsidRPr="00A42C1F">
        <w:rPr>
          <w:color w:val="auto"/>
          <w:szCs w:val="20"/>
          <w:lang w:val="en-US"/>
        </w:rPr>
        <w:t>TSS</w:t>
      </w:r>
      <w:r w:rsidRPr="00A42C1F">
        <w:rPr>
          <w:color w:val="auto"/>
          <w:szCs w:val="20"/>
          <w:vertAlign w:val="subscript"/>
          <w:lang w:val="en-US"/>
        </w:rPr>
        <w:t>GAM</w:t>
      </w:r>
      <w:r w:rsidR="004B71F2">
        <w:rPr>
          <w:color w:val="auto"/>
          <w:szCs w:val="20"/>
          <w:lang w:val="en-US"/>
        </w:rPr>
        <w:t>. AUC:</w:t>
      </w:r>
      <w:r>
        <w:rPr>
          <w:color w:val="auto"/>
          <w:szCs w:val="20"/>
          <w:lang w:val="en-US"/>
        </w:rPr>
        <w:t xml:space="preserve"> </w:t>
      </w:r>
      <w:r w:rsidRPr="00A42C1F">
        <w:rPr>
          <w:color w:val="auto"/>
          <w:szCs w:val="20"/>
          <w:lang w:val="en-US"/>
        </w:rPr>
        <w:t>area under the curve;</w:t>
      </w:r>
      <w:r w:rsidR="004B71F2">
        <w:rPr>
          <w:color w:val="auto"/>
          <w:szCs w:val="20"/>
          <w:lang w:val="en-US"/>
        </w:rPr>
        <w:t xml:space="preserve"> TSS:</w:t>
      </w:r>
      <w:r w:rsidRPr="00A42C1F">
        <w:rPr>
          <w:color w:val="auto"/>
          <w:szCs w:val="20"/>
          <w:lang w:val="en-US"/>
        </w:rPr>
        <w:t xml:space="preserve"> true skill st</w:t>
      </w:r>
      <w:r w:rsidR="004B71F2">
        <w:rPr>
          <w:color w:val="auto"/>
          <w:szCs w:val="20"/>
          <w:lang w:val="en-US"/>
        </w:rPr>
        <w:t>atistics</w:t>
      </w:r>
      <w:r>
        <w:rPr>
          <w:color w:val="auto"/>
          <w:szCs w:val="20"/>
          <w:lang w:val="en-US"/>
        </w:rPr>
        <w:t xml:space="preserve">. </w:t>
      </w:r>
      <w:r w:rsidRPr="006543DB">
        <w:rPr>
          <w:rFonts w:eastAsia="Times New Roman" w:cs="Calibri"/>
          <w:color w:val="auto"/>
          <w:szCs w:val="20"/>
          <w:lang w:val="en-US" w:eastAsia="pt-PT"/>
        </w:rPr>
        <w:t>In parenthesis</w:t>
      </w:r>
      <w:r w:rsidR="00227B9A">
        <w:rPr>
          <w:rFonts w:eastAsia="Times New Roman" w:cs="Calibri"/>
          <w:color w:val="auto"/>
          <w:szCs w:val="20"/>
          <w:lang w:val="en-US" w:eastAsia="pt-PT"/>
        </w:rPr>
        <w:t>,</w:t>
      </w:r>
      <w:r w:rsidRPr="006543DB">
        <w:rPr>
          <w:rFonts w:eastAsia="Times New Roman" w:cs="Calibri"/>
          <w:color w:val="auto"/>
          <w:szCs w:val="20"/>
          <w:lang w:val="en-US" w:eastAsia="pt-PT"/>
        </w:rPr>
        <w:t xml:space="preserve"> the number of records used to </w:t>
      </w:r>
      <w:r w:rsidR="00227B9A">
        <w:rPr>
          <w:rFonts w:eastAsia="Times New Roman" w:cs="Calibri"/>
          <w:color w:val="auto"/>
          <w:szCs w:val="20"/>
          <w:lang w:val="en-US" w:eastAsia="pt-PT"/>
        </w:rPr>
        <w:t>train</w:t>
      </w:r>
      <w:r w:rsidRPr="006543DB">
        <w:rPr>
          <w:rFonts w:eastAsia="Times New Roman" w:cs="Calibri"/>
          <w:color w:val="auto"/>
          <w:szCs w:val="20"/>
          <w:lang w:val="en-US" w:eastAsia="pt-PT"/>
        </w:rPr>
        <w:t xml:space="preserve"> the models.</w:t>
      </w:r>
      <w:bookmarkEnd w:id="30"/>
    </w:p>
    <w:p w14:paraId="12B07EE4" w14:textId="77777777" w:rsidR="00802BCB" w:rsidRPr="00DD3662" w:rsidRDefault="00802BCB" w:rsidP="00802BCB">
      <w:pPr>
        <w:rPr>
          <w:rFonts w:ascii="Garamond" w:hAnsi="Garamond"/>
          <w:sz w:val="20"/>
          <w:szCs w:val="20"/>
          <w:lang w:val="en-US"/>
        </w:rPr>
      </w:pPr>
      <w:r w:rsidRPr="00DD3662">
        <w:rPr>
          <w:rFonts w:ascii="Garamond" w:hAnsi="Garamond"/>
          <w:sz w:val="20"/>
          <w:szCs w:val="20"/>
          <w:lang w:val="en-US"/>
        </w:rPr>
        <w:br w:type="page"/>
      </w:r>
    </w:p>
    <w:p w14:paraId="18009FF6" w14:textId="77777777" w:rsidR="00802BCB" w:rsidRDefault="00802BCB" w:rsidP="00802BCB">
      <w:pPr>
        <w:rPr>
          <w:rFonts w:ascii="Garamond" w:hAnsi="Garamond"/>
          <w:noProof/>
          <w:sz w:val="20"/>
          <w:szCs w:val="20"/>
          <w:lang w:eastAsia="pt-PT"/>
        </w:rPr>
      </w:pPr>
      <w:r>
        <w:rPr>
          <w:rFonts w:ascii="Garamond" w:hAnsi="Garamond"/>
          <w:noProof/>
          <w:sz w:val="20"/>
          <w:szCs w:val="20"/>
          <w:lang w:eastAsia="pt-PT"/>
        </w:rPr>
        <w:lastRenderedPageBreak/>
        <w:drawing>
          <wp:inline distT="0" distB="0" distL="0" distR="0" wp14:anchorId="2EEBA092" wp14:editId="207BC29B">
            <wp:extent cx="5720715" cy="482764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5mapTmpl_BOOTs_MAXENT"/>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720715" cy="4827641"/>
                    </a:xfrm>
                    <a:prstGeom prst="rect">
                      <a:avLst/>
                    </a:prstGeom>
                    <a:noFill/>
                    <a:ln>
                      <a:noFill/>
                    </a:ln>
                  </pic:spPr>
                </pic:pic>
              </a:graphicData>
            </a:graphic>
          </wp:inline>
        </w:drawing>
      </w:r>
    </w:p>
    <w:p w14:paraId="6B055D82" w14:textId="3D67E78B" w:rsidR="00802BCB" w:rsidRPr="00DD3662" w:rsidRDefault="00802BCB" w:rsidP="00802BCB">
      <w:pPr>
        <w:pStyle w:val="Heading2"/>
        <w:jc w:val="both"/>
        <w:rPr>
          <w:color w:val="auto"/>
          <w:szCs w:val="20"/>
          <w:lang w:val="en-US"/>
        </w:rPr>
      </w:pPr>
      <w:bookmarkStart w:id="31" w:name="_Toc54969999"/>
      <w:bookmarkStart w:id="32" w:name="_Toc129787444"/>
      <w:r w:rsidRPr="006E6DA4">
        <w:rPr>
          <w:b/>
          <w:color w:val="auto"/>
          <w:szCs w:val="20"/>
          <w:lang w:val="en-US"/>
        </w:rPr>
        <w:t xml:space="preserve">Figure </w:t>
      </w:r>
      <w:r w:rsidR="00373C9F">
        <w:rPr>
          <w:b/>
          <w:color w:val="auto"/>
          <w:szCs w:val="20"/>
          <w:lang w:val="en-US"/>
        </w:rPr>
        <w:t>D</w:t>
      </w:r>
      <w:r w:rsidRPr="006E6DA4">
        <w:rPr>
          <w:b/>
          <w:color w:val="auto"/>
          <w:szCs w:val="20"/>
          <w:lang w:val="en-US"/>
        </w:rPr>
        <w:t>.</w:t>
      </w:r>
      <w:r w:rsidR="00326D50">
        <w:rPr>
          <w:b/>
          <w:color w:val="auto"/>
          <w:szCs w:val="20"/>
          <w:lang w:val="en-US"/>
        </w:rPr>
        <w:t>6</w:t>
      </w:r>
      <w:r w:rsidRPr="00DD3662">
        <w:rPr>
          <w:color w:val="auto"/>
          <w:szCs w:val="20"/>
          <w:lang w:val="en-US"/>
        </w:rPr>
        <w:t xml:space="preserve"> – </w:t>
      </w:r>
      <w:r>
        <w:rPr>
          <w:color w:val="auto"/>
          <w:szCs w:val="20"/>
          <w:lang w:val="en-US"/>
        </w:rPr>
        <w:t>Habitat s</w:t>
      </w:r>
      <w:r w:rsidRPr="00DD3662">
        <w:rPr>
          <w:color w:val="auto"/>
          <w:szCs w:val="20"/>
          <w:lang w:val="en-US"/>
        </w:rPr>
        <w:t xml:space="preserve">uitability </w:t>
      </w:r>
      <w:r>
        <w:rPr>
          <w:color w:val="auto"/>
          <w:szCs w:val="20"/>
          <w:lang w:val="en-US"/>
        </w:rPr>
        <w:t>maps produced by Maxent models</w:t>
      </w:r>
      <w:r w:rsidRPr="00DD3662">
        <w:rPr>
          <w:color w:val="auto"/>
          <w:szCs w:val="20"/>
          <w:lang w:val="en-US"/>
        </w:rPr>
        <w:t xml:space="preserve"> </w:t>
      </w:r>
      <w:r>
        <w:rPr>
          <w:color w:val="auto"/>
          <w:szCs w:val="20"/>
          <w:lang w:val="en-US"/>
        </w:rPr>
        <w:t xml:space="preserve">for </w:t>
      </w:r>
      <w:r w:rsidRPr="00702BF3">
        <w:rPr>
          <w:color w:val="auto"/>
          <w:szCs w:val="20"/>
          <w:lang w:val="en-US"/>
        </w:rPr>
        <w:t>Scleractinia</w:t>
      </w:r>
      <w:r>
        <w:rPr>
          <w:color w:val="auto"/>
          <w:szCs w:val="20"/>
          <w:lang w:val="en-US"/>
        </w:rPr>
        <w:t xml:space="preserve"> (a-c)</w:t>
      </w:r>
      <w:r w:rsidRPr="00702BF3">
        <w:rPr>
          <w:color w:val="auto"/>
          <w:szCs w:val="20"/>
          <w:lang w:val="en-US"/>
        </w:rPr>
        <w:t xml:space="preserve">, Anthoathecata </w:t>
      </w:r>
      <w:r>
        <w:rPr>
          <w:color w:val="auto"/>
          <w:szCs w:val="20"/>
          <w:lang w:val="en-US"/>
        </w:rPr>
        <w:t xml:space="preserve">(c) and </w:t>
      </w:r>
      <w:r w:rsidRPr="00702BF3">
        <w:rPr>
          <w:color w:val="auto"/>
          <w:szCs w:val="20"/>
          <w:lang w:val="en-US"/>
        </w:rPr>
        <w:t>Antipatharia</w:t>
      </w:r>
      <w:r>
        <w:rPr>
          <w:color w:val="auto"/>
          <w:szCs w:val="20"/>
          <w:lang w:val="en-US"/>
        </w:rPr>
        <w:t xml:space="preserve"> (e). </w:t>
      </w:r>
      <w:bookmarkEnd w:id="31"/>
      <w:r w:rsidRPr="00246573">
        <w:rPr>
          <w:color w:val="auto"/>
          <w:szCs w:val="20"/>
          <w:lang w:val="en-US"/>
        </w:rPr>
        <w:t xml:space="preserve">Local confidence (LC): the </w:t>
      </w:r>
      <w:r w:rsidR="00A4780F">
        <w:rPr>
          <w:color w:val="auto"/>
          <w:szCs w:val="20"/>
          <w:lang w:val="en-US"/>
        </w:rPr>
        <w:t xml:space="preserve">percentage </w:t>
      </w:r>
      <w:r w:rsidRPr="00246573">
        <w:rPr>
          <w:color w:val="auto"/>
          <w:szCs w:val="20"/>
          <w:lang w:val="en-US"/>
        </w:rPr>
        <w:t>of times a cell is classified as suitable when models are fitted with resampled input data. Overall confidence (OC): determined by the lowest score among AUC</w:t>
      </w:r>
      <w:r w:rsidRPr="00246573">
        <w:rPr>
          <w:color w:val="auto"/>
          <w:szCs w:val="20"/>
          <w:vertAlign w:val="subscript"/>
          <w:lang w:val="en-US"/>
        </w:rPr>
        <w:t>Maxent</w:t>
      </w:r>
      <w:r>
        <w:rPr>
          <w:color w:val="auto"/>
          <w:szCs w:val="20"/>
          <w:lang w:val="en-US"/>
        </w:rPr>
        <w:t xml:space="preserve"> and</w:t>
      </w:r>
      <w:r w:rsidRPr="00246573">
        <w:rPr>
          <w:color w:val="auto"/>
          <w:szCs w:val="20"/>
          <w:lang w:val="en-US"/>
        </w:rPr>
        <w:t xml:space="preserve"> TSS</w:t>
      </w:r>
      <w:r w:rsidRPr="00246573">
        <w:rPr>
          <w:color w:val="auto"/>
          <w:szCs w:val="20"/>
          <w:vertAlign w:val="subscript"/>
          <w:lang w:val="en-US"/>
        </w:rPr>
        <w:t>Maxent</w:t>
      </w:r>
      <w:r w:rsidR="00330CA2">
        <w:rPr>
          <w:color w:val="auto"/>
          <w:szCs w:val="20"/>
          <w:lang w:val="en-US"/>
        </w:rPr>
        <w:t>. AUC:</w:t>
      </w:r>
      <w:r w:rsidRPr="00246573">
        <w:rPr>
          <w:color w:val="auto"/>
          <w:szCs w:val="20"/>
          <w:lang w:val="en-US"/>
        </w:rPr>
        <w:t xml:space="preserve"> area under the curve;</w:t>
      </w:r>
      <w:r w:rsidR="00330CA2">
        <w:rPr>
          <w:color w:val="auto"/>
          <w:szCs w:val="20"/>
          <w:lang w:val="en-US"/>
        </w:rPr>
        <w:t xml:space="preserve"> TSS:</w:t>
      </w:r>
      <w:r w:rsidRPr="00246573">
        <w:rPr>
          <w:color w:val="auto"/>
          <w:szCs w:val="20"/>
          <w:lang w:val="en-US"/>
        </w:rPr>
        <w:t xml:space="preserve"> true skill sta</w:t>
      </w:r>
      <w:r w:rsidR="00330CA2">
        <w:rPr>
          <w:color w:val="auto"/>
          <w:szCs w:val="20"/>
          <w:lang w:val="en-US"/>
        </w:rPr>
        <w:t>tistics</w:t>
      </w:r>
      <w:r w:rsidRPr="00246573">
        <w:rPr>
          <w:color w:val="auto"/>
          <w:szCs w:val="20"/>
          <w:lang w:val="en-US"/>
        </w:rPr>
        <w:t>. In parenthesis</w:t>
      </w:r>
      <w:r w:rsidR="00330CA2">
        <w:rPr>
          <w:color w:val="auto"/>
          <w:szCs w:val="20"/>
          <w:lang w:val="en-US"/>
        </w:rPr>
        <w:t>,</w:t>
      </w:r>
      <w:r w:rsidRPr="00246573">
        <w:rPr>
          <w:color w:val="auto"/>
          <w:szCs w:val="20"/>
          <w:lang w:val="en-US"/>
        </w:rPr>
        <w:t xml:space="preserve"> the number of records used to </w:t>
      </w:r>
      <w:r w:rsidR="00330CA2">
        <w:rPr>
          <w:color w:val="auto"/>
          <w:szCs w:val="20"/>
          <w:lang w:val="en-US"/>
        </w:rPr>
        <w:t xml:space="preserve">train </w:t>
      </w:r>
      <w:r w:rsidRPr="00246573">
        <w:rPr>
          <w:color w:val="auto"/>
          <w:szCs w:val="20"/>
          <w:lang w:val="en-US"/>
        </w:rPr>
        <w:t>the models.</w:t>
      </w:r>
      <w:bookmarkEnd w:id="32"/>
    </w:p>
    <w:p w14:paraId="47E12675" w14:textId="77777777" w:rsidR="00802BCB" w:rsidRPr="00DD3662" w:rsidRDefault="00802BCB" w:rsidP="00802BCB">
      <w:pPr>
        <w:rPr>
          <w:rFonts w:ascii="Garamond" w:hAnsi="Garamond"/>
          <w:sz w:val="20"/>
          <w:szCs w:val="20"/>
          <w:lang w:val="en-US"/>
        </w:rPr>
      </w:pPr>
      <w:r w:rsidRPr="00DD3662">
        <w:rPr>
          <w:rFonts w:ascii="Garamond" w:hAnsi="Garamond"/>
          <w:sz w:val="20"/>
          <w:szCs w:val="20"/>
          <w:lang w:val="en-US"/>
        </w:rPr>
        <w:br w:type="page"/>
      </w:r>
    </w:p>
    <w:p w14:paraId="238D3571" w14:textId="77777777" w:rsidR="00802BCB" w:rsidRPr="00BE1363" w:rsidRDefault="00802BCB" w:rsidP="00802BCB">
      <w:pPr>
        <w:rPr>
          <w:rFonts w:ascii="Garamond" w:hAnsi="Garamond"/>
          <w:sz w:val="20"/>
          <w:szCs w:val="20"/>
        </w:rPr>
      </w:pPr>
      <w:r>
        <w:rPr>
          <w:rFonts w:ascii="Garamond" w:hAnsi="Garamond"/>
          <w:noProof/>
          <w:color w:val="FF0000"/>
          <w:sz w:val="20"/>
          <w:szCs w:val="20"/>
          <w:lang w:eastAsia="pt-PT"/>
        </w:rPr>
        <w:lastRenderedPageBreak/>
        <w:drawing>
          <wp:inline distT="0" distB="0" distL="0" distR="0" wp14:anchorId="46E56550" wp14:editId="696C7FF5">
            <wp:extent cx="5719113" cy="4491354"/>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5mapTmpl_Fuzzy"/>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719113" cy="4491354"/>
                    </a:xfrm>
                    <a:prstGeom prst="rect">
                      <a:avLst/>
                    </a:prstGeom>
                    <a:noFill/>
                    <a:ln>
                      <a:noFill/>
                    </a:ln>
                  </pic:spPr>
                </pic:pic>
              </a:graphicData>
            </a:graphic>
          </wp:inline>
        </w:drawing>
      </w:r>
    </w:p>
    <w:p w14:paraId="7B47E8D8" w14:textId="16802E65" w:rsidR="00802BCB" w:rsidRDefault="00802BCB" w:rsidP="00802BCB">
      <w:pPr>
        <w:pStyle w:val="Heading2"/>
        <w:jc w:val="both"/>
        <w:rPr>
          <w:szCs w:val="20"/>
          <w:lang w:val="en-US"/>
        </w:rPr>
      </w:pPr>
      <w:bookmarkStart w:id="33" w:name="_Toc54970000"/>
      <w:bookmarkStart w:id="34" w:name="_Toc129787445"/>
      <w:r w:rsidRPr="006E6DA4">
        <w:rPr>
          <w:b/>
          <w:color w:val="auto"/>
          <w:szCs w:val="20"/>
          <w:lang w:val="en-US"/>
        </w:rPr>
        <w:t xml:space="preserve">Figure </w:t>
      </w:r>
      <w:r w:rsidR="00373C9F">
        <w:rPr>
          <w:b/>
          <w:color w:val="auto"/>
          <w:szCs w:val="20"/>
          <w:lang w:val="en-US"/>
        </w:rPr>
        <w:t>D</w:t>
      </w:r>
      <w:r w:rsidR="00326D50">
        <w:rPr>
          <w:b/>
          <w:color w:val="auto"/>
          <w:szCs w:val="20"/>
          <w:lang w:val="en-US"/>
        </w:rPr>
        <w:t>.7</w:t>
      </w:r>
      <w:r w:rsidRPr="00BE1363">
        <w:rPr>
          <w:color w:val="auto"/>
          <w:szCs w:val="20"/>
          <w:lang w:val="en-US"/>
        </w:rPr>
        <w:t xml:space="preserve"> – Local fuzzy matching of GAM and Maxent habita</w:t>
      </w:r>
      <w:r>
        <w:rPr>
          <w:color w:val="auto"/>
          <w:szCs w:val="20"/>
          <w:lang w:val="en-US"/>
        </w:rPr>
        <w:t xml:space="preserve">t suitability. </w:t>
      </w:r>
      <w:r w:rsidRPr="00702BF3">
        <w:rPr>
          <w:color w:val="auto"/>
          <w:szCs w:val="20"/>
          <w:lang w:val="en-US"/>
        </w:rPr>
        <w:t>Scleractinia</w:t>
      </w:r>
      <w:r>
        <w:rPr>
          <w:color w:val="auto"/>
          <w:szCs w:val="20"/>
          <w:lang w:val="en-US"/>
        </w:rPr>
        <w:t xml:space="preserve"> (a-c)</w:t>
      </w:r>
      <w:r w:rsidRPr="00702BF3">
        <w:rPr>
          <w:color w:val="auto"/>
          <w:szCs w:val="20"/>
          <w:lang w:val="en-US"/>
        </w:rPr>
        <w:t xml:space="preserve">, Anthoathecata </w:t>
      </w:r>
      <w:r>
        <w:rPr>
          <w:color w:val="auto"/>
          <w:szCs w:val="20"/>
          <w:lang w:val="en-US"/>
        </w:rPr>
        <w:t xml:space="preserve">(c) and </w:t>
      </w:r>
      <w:r w:rsidRPr="00702BF3">
        <w:rPr>
          <w:color w:val="auto"/>
          <w:szCs w:val="20"/>
          <w:lang w:val="en-US"/>
        </w:rPr>
        <w:t>Antipatharia</w:t>
      </w:r>
      <w:r>
        <w:rPr>
          <w:color w:val="auto"/>
          <w:szCs w:val="20"/>
          <w:lang w:val="en-US"/>
        </w:rPr>
        <w:t xml:space="preserve"> (e)</w:t>
      </w:r>
      <w:r w:rsidRPr="00BE1363">
        <w:rPr>
          <w:color w:val="auto"/>
          <w:szCs w:val="20"/>
          <w:lang w:val="en-US"/>
        </w:rPr>
        <w:t>.</w:t>
      </w:r>
      <w:r w:rsidRPr="00BE1363">
        <w:rPr>
          <w:b/>
          <w:color w:val="auto"/>
          <w:szCs w:val="20"/>
          <w:lang w:val="en-US"/>
        </w:rPr>
        <w:t xml:space="preserve"> </w:t>
      </w:r>
      <w:bookmarkEnd w:id="33"/>
      <w:r>
        <w:rPr>
          <w:color w:val="auto"/>
          <w:szCs w:val="20"/>
          <w:lang w:val="en-US"/>
        </w:rPr>
        <w:t xml:space="preserve">Local fuzzy matching (LF): computes the fuzzy matching of GAM and Maxent suitable cells using two membership functions (i) </w:t>
      </w:r>
      <w:r w:rsidRPr="00942DEB">
        <w:rPr>
          <w:color w:val="auto"/>
          <w:szCs w:val="20"/>
          <w:lang w:val="en-US"/>
        </w:rPr>
        <w:t>category similarity</w:t>
      </w:r>
      <w:r>
        <w:rPr>
          <w:color w:val="auto"/>
          <w:szCs w:val="20"/>
          <w:lang w:val="en-US"/>
        </w:rPr>
        <w:t xml:space="preserve"> and (ii) </w:t>
      </w:r>
      <w:r w:rsidRPr="00942DEB">
        <w:rPr>
          <w:color w:val="auto"/>
          <w:szCs w:val="20"/>
          <w:lang w:val="en-US"/>
        </w:rPr>
        <w:t>distance decay</w:t>
      </w:r>
      <w:r>
        <w:rPr>
          <w:color w:val="auto"/>
          <w:szCs w:val="20"/>
          <w:lang w:val="en-US"/>
        </w:rPr>
        <w:t xml:space="preserve">. Fuzzy matching values greater than 0.5 means that the two cells are more similar than different. Overall similarity (OS): determined by the improved fuzzy kappa score for high quality cells </w:t>
      </w:r>
      <w:r w:rsidRPr="00DD3662">
        <w:rPr>
          <w:color w:val="auto"/>
          <w:szCs w:val="20"/>
          <w:lang w:val="en-US"/>
        </w:rPr>
        <w:t>(F</w:t>
      </w:r>
      <w:r w:rsidRPr="00DD3662">
        <w:rPr>
          <w:color w:val="auto"/>
          <w:szCs w:val="20"/>
          <w:vertAlign w:val="subscript"/>
          <w:lang w:val="en-US"/>
        </w:rPr>
        <w:t>kHC</w:t>
      </w:r>
      <w:r w:rsidRPr="00DD3662">
        <w:rPr>
          <w:color w:val="auto"/>
          <w:szCs w:val="20"/>
          <w:lang w:val="en-US"/>
        </w:rPr>
        <w:t>)</w:t>
      </w:r>
      <w:r>
        <w:rPr>
          <w:color w:val="auto"/>
          <w:szCs w:val="20"/>
          <w:lang w:val="en-US"/>
        </w:rPr>
        <w:t>. The score measures the degree of overlap of GAM and Maxent high confidence cells.</w:t>
      </w:r>
      <w:bookmarkEnd w:id="34"/>
      <w:r>
        <w:rPr>
          <w:color w:val="auto"/>
          <w:szCs w:val="20"/>
          <w:lang w:val="en-US"/>
        </w:rPr>
        <w:t xml:space="preserve"> </w:t>
      </w:r>
      <w:r w:rsidRPr="00DD3662">
        <w:rPr>
          <w:szCs w:val="20"/>
          <w:lang w:val="en-US"/>
        </w:rPr>
        <w:br w:type="page"/>
      </w:r>
    </w:p>
    <w:p w14:paraId="10BC9A89" w14:textId="77777777" w:rsidR="00802BCB" w:rsidRDefault="00802BCB" w:rsidP="00802BCB">
      <w:pPr>
        <w:jc w:val="center"/>
        <w:rPr>
          <w:rFonts w:ascii="Garamond" w:hAnsi="Garamond"/>
          <w:noProof/>
          <w:sz w:val="20"/>
          <w:szCs w:val="20"/>
          <w:lang w:eastAsia="pt-PT"/>
        </w:rPr>
      </w:pPr>
      <w:r>
        <w:rPr>
          <w:rFonts w:ascii="Garamond" w:eastAsia="Times New Roman" w:hAnsi="Garamond" w:cs="Calibri"/>
          <w:noProof/>
          <w:color w:val="000000"/>
          <w:sz w:val="20"/>
          <w:szCs w:val="20"/>
          <w:lang w:eastAsia="pt-PT"/>
        </w:rPr>
        <w:lastRenderedPageBreak/>
        <w:drawing>
          <wp:inline distT="0" distB="0" distL="0" distR="0" wp14:anchorId="0275C84D" wp14:editId="7B91F3D5">
            <wp:extent cx="4572000" cy="7490460"/>
            <wp:effectExtent l="0" t="0" r="0" b="0"/>
            <wp:docPr id="10" name="Picture 10" descr="P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c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72000" cy="7490460"/>
                    </a:xfrm>
                    <a:prstGeom prst="rect">
                      <a:avLst/>
                    </a:prstGeom>
                    <a:noFill/>
                    <a:ln>
                      <a:noFill/>
                    </a:ln>
                  </pic:spPr>
                </pic:pic>
              </a:graphicData>
            </a:graphic>
          </wp:inline>
        </w:drawing>
      </w:r>
    </w:p>
    <w:p w14:paraId="2E813B2F" w14:textId="6B739AF0" w:rsidR="00802BCB" w:rsidRPr="00DD3662" w:rsidRDefault="00802BCB" w:rsidP="00802BCB">
      <w:pPr>
        <w:pStyle w:val="Heading2"/>
        <w:jc w:val="both"/>
        <w:rPr>
          <w:szCs w:val="20"/>
          <w:lang w:val="en-US"/>
        </w:rPr>
      </w:pPr>
      <w:bookmarkStart w:id="35" w:name="_Toc54969987"/>
      <w:bookmarkStart w:id="36" w:name="_Toc129787446"/>
      <w:r w:rsidRPr="006E6DA4">
        <w:rPr>
          <w:b/>
          <w:color w:val="auto"/>
          <w:szCs w:val="20"/>
          <w:lang w:val="en-US"/>
        </w:rPr>
        <w:t xml:space="preserve">Figure </w:t>
      </w:r>
      <w:r w:rsidR="00373C9F">
        <w:rPr>
          <w:b/>
          <w:color w:val="auto"/>
          <w:szCs w:val="20"/>
          <w:lang w:val="en-US"/>
        </w:rPr>
        <w:t>D</w:t>
      </w:r>
      <w:r w:rsidRPr="006E6DA4">
        <w:rPr>
          <w:b/>
          <w:color w:val="auto"/>
          <w:szCs w:val="20"/>
          <w:lang w:val="en-US"/>
        </w:rPr>
        <w:t>.</w:t>
      </w:r>
      <w:r w:rsidR="00AD7FBC">
        <w:rPr>
          <w:b/>
          <w:color w:val="auto"/>
          <w:szCs w:val="20"/>
          <w:lang w:val="en-US"/>
        </w:rPr>
        <w:t>8</w:t>
      </w:r>
      <w:r w:rsidRPr="00DD3662">
        <w:rPr>
          <w:color w:val="auto"/>
          <w:szCs w:val="20"/>
          <w:lang w:val="en-US"/>
        </w:rPr>
        <w:t xml:space="preserve"> –</w:t>
      </w:r>
      <w:bookmarkEnd w:id="35"/>
      <w:r>
        <w:rPr>
          <w:color w:val="auto"/>
          <w:szCs w:val="20"/>
          <w:lang w:val="en-US"/>
        </w:rPr>
        <w:t xml:space="preserve"> </w:t>
      </w:r>
      <w:r w:rsidRPr="00DD3662">
        <w:rPr>
          <w:color w:val="auto"/>
          <w:szCs w:val="20"/>
          <w:lang w:val="en-US"/>
        </w:rPr>
        <w:t xml:space="preserve">Response curves for GAM (solid lines) and Maxent (dashed lines) models regarding the predictor </w:t>
      </w:r>
      <w:r>
        <w:rPr>
          <w:i/>
          <w:color w:val="auto"/>
          <w:szCs w:val="20"/>
          <w:lang w:val="en-US"/>
        </w:rPr>
        <w:t>s</w:t>
      </w:r>
      <w:r w:rsidRPr="00DD3662">
        <w:rPr>
          <w:i/>
          <w:color w:val="auto"/>
          <w:szCs w:val="20"/>
          <w:lang w:val="en-US"/>
        </w:rPr>
        <w:t>eawater chemistry</w:t>
      </w:r>
      <w:r w:rsidRPr="00DD3662">
        <w:rPr>
          <w:color w:val="auto"/>
          <w:szCs w:val="20"/>
          <w:lang w:val="en-US"/>
        </w:rPr>
        <w:t>. Percentage values represent the permutation variable importance</w:t>
      </w:r>
      <w:r>
        <w:rPr>
          <w:color w:val="auto"/>
          <w:szCs w:val="20"/>
          <w:lang w:val="en-US"/>
        </w:rPr>
        <w:t xml:space="preserve"> (in bold values &gt; 10 %)</w:t>
      </w:r>
      <w:r w:rsidRPr="00DD3662">
        <w:rPr>
          <w:color w:val="auto"/>
          <w:szCs w:val="20"/>
          <w:lang w:val="en-US"/>
        </w:rPr>
        <w:t xml:space="preserve">. </w:t>
      </w:r>
      <w:r>
        <w:rPr>
          <w:color w:val="auto"/>
          <w:szCs w:val="20"/>
          <w:lang w:val="en-US"/>
        </w:rPr>
        <w:t>S</w:t>
      </w:r>
      <w:r w:rsidRPr="00DD3662">
        <w:rPr>
          <w:color w:val="auto"/>
          <w:szCs w:val="20"/>
          <w:lang w:val="en-US"/>
        </w:rPr>
        <w:t xml:space="preserve">hared important variables are colored in red. </w:t>
      </w:r>
      <w:r w:rsidRPr="006C51F2">
        <w:rPr>
          <w:color w:val="auto"/>
          <w:szCs w:val="20"/>
          <w:lang w:val="en-US"/>
        </w:rPr>
        <w:t>Species are ordered according to the mean depth of their estimated suitable habitat</w:t>
      </w:r>
      <w:r>
        <w:rPr>
          <w:color w:val="auto"/>
          <w:szCs w:val="20"/>
          <w:lang w:val="en-US"/>
        </w:rPr>
        <w:t>.</w:t>
      </w:r>
      <w:r w:rsidRPr="00DD3662">
        <w:rPr>
          <w:i/>
          <w:color w:val="auto"/>
          <w:szCs w:val="20"/>
          <w:lang w:val="en-US"/>
        </w:rPr>
        <w:t xml:space="preserve"> </w:t>
      </w:r>
      <w:r w:rsidRPr="00DD3662">
        <w:rPr>
          <w:rFonts w:eastAsia="Times New Roman" w:cs="Calibri"/>
          <w:color w:val="auto"/>
          <w:szCs w:val="20"/>
          <w:lang w:val="en-US" w:eastAsia="pt-PT"/>
        </w:rPr>
        <w:t>HSI: Habitat Suitability Index</w:t>
      </w:r>
      <w:r>
        <w:rPr>
          <w:rFonts w:eastAsia="Times New Roman" w:cs="Calibri"/>
          <w:color w:val="auto"/>
          <w:szCs w:val="20"/>
          <w:lang w:val="en-US" w:eastAsia="pt-PT"/>
        </w:rPr>
        <w:t>.</w:t>
      </w:r>
      <w:bookmarkEnd w:id="36"/>
      <w:r>
        <w:rPr>
          <w:rFonts w:eastAsia="Times New Roman" w:cs="Calibri"/>
          <w:color w:val="auto"/>
          <w:szCs w:val="20"/>
          <w:lang w:val="en-US" w:eastAsia="pt-PT"/>
        </w:rPr>
        <w:t xml:space="preserve"> </w:t>
      </w:r>
      <w:r w:rsidRPr="00DD3662">
        <w:rPr>
          <w:szCs w:val="20"/>
          <w:lang w:val="en-US"/>
        </w:rPr>
        <w:br w:type="page"/>
      </w:r>
    </w:p>
    <w:p w14:paraId="2EC84381" w14:textId="77777777" w:rsidR="00802BCB" w:rsidRPr="00DD3662" w:rsidRDefault="00802BCB" w:rsidP="00802BCB">
      <w:pPr>
        <w:jc w:val="center"/>
        <w:rPr>
          <w:rFonts w:ascii="Garamond" w:hAnsi="Garamond"/>
          <w:sz w:val="20"/>
          <w:szCs w:val="20"/>
        </w:rPr>
      </w:pPr>
      <w:r>
        <w:rPr>
          <w:rFonts w:ascii="Garamond" w:hAnsi="Garamond"/>
          <w:noProof/>
          <w:sz w:val="20"/>
          <w:szCs w:val="20"/>
          <w:lang w:eastAsia="pt-PT"/>
        </w:rPr>
        <w:lastRenderedPageBreak/>
        <w:drawing>
          <wp:inline distT="0" distB="0" distL="0" distR="0" wp14:anchorId="2944259F" wp14:editId="36641D41">
            <wp:extent cx="4572000" cy="7498080"/>
            <wp:effectExtent l="0" t="0" r="0" b="7620"/>
            <wp:docPr id="9" name="Picture 9" descr="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emp"/>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0" cy="7498080"/>
                    </a:xfrm>
                    <a:prstGeom prst="rect">
                      <a:avLst/>
                    </a:prstGeom>
                    <a:noFill/>
                    <a:ln>
                      <a:noFill/>
                    </a:ln>
                  </pic:spPr>
                </pic:pic>
              </a:graphicData>
            </a:graphic>
          </wp:inline>
        </w:drawing>
      </w:r>
    </w:p>
    <w:p w14:paraId="53D28600" w14:textId="0042F302" w:rsidR="00802BCB" w:rsidRPr="0010784F" w:rsidRDefault="00AD7FBC" w:rsidP="00802BCB">
      <w:pPr>
        <w:pStyle w:val="Heading2"/>
        <w:jc w:val="both"/>
        <w:rPr>
          <w:szCs w:val="20"/>
          <w:lang w:val="en-US"/>
        </w:rPr>
      </w:pPr>
      <w:bookmarkStart w:id="37" w:name="_Toc54969988"/>
      <w:bookmarkStart w:id="38" w:name="_Toc129787447"/>
      <w:r>
        <w:rPr>
          <w:b/>
          <w:color w:val="auto"/>
          <w:szCs w:val="20"/>
          <w:lang w:val="en-US"/>
        </w:rPr>
        <w:t xml:space="preserve">Figure </w:t>
      </w:r>
      <w:r w:rsidR="00373C9F">
        <w:rPr>
          <w:b/>
          <w:color w:val="auto"/>
          <w:szCs w:val="20"/>
          <w:lang w:val="en-US"/>
        </w:rPr>
        <w:t>D</w:t>
      </w:r>
      <w:r>
        <w:rPr>
          <w:b/>
          <w:color w:val="auto"/>
          <w:szCs w:val="20"/>
          <w:lang w:val="en-US"/>
        </w:rPr>
        <w:t>.9</w:t>
      </w:r>
      <w:r w:rsidR="00802BCB" w:rsidRPr="00DD3662">
        <w:rPr>
          <w:color w:val="auto"/>
          <w:szCs w:val="20"/>
          <w:lang w:val="en-US"/>
        </w:rPr>
        <w:t xml:space="preserve"> –</w:t>
      </w:r>
      <w:bookmarkEnd w:id="37"/>
      <w:r w:rsidR="00802BCB">
        <w:rPr>
          <w:color w:val="auto"/>
          <w:szCs w:val="20"/>
          <w:lang w:val="en-US"/>
        </w:rPr>
        <w:t xml:space="preserve"> </w:t>
      </w:r>
      <w:r w:rsidR="00802BCB" w:rsidRPr="00DD3662">
        <w:rPr>
          <w:color w:val="auto"/>
          <w:szCs w:val="20"/>
          <w:lang w:val="en-US"/>
        </w:rPr>
        <w:t xml:space="preserve">Response curves for GAM (solid lines) and Maxent (dashed lines) models regarding the predictor </w:t>
      </w:r>
      <w:r w:rsidR="00802BCB">
        <w:rPr>
          <w:i/>
          <w:color w:val="auto"/>
          <w:szCs w:val="20"/>
          <w:lang w:val="en-US"/>
        </w:rPr>
        <w:t>seafloor t</w:t>
      </w:r>
      <w:r w:rsidR="00802BCB" w:rsidRPr="00DD3662">
        <w:rPr>
          <w:i/>
          <w:color w:val="auto"/>
          <w:szCs w:val="20"/>
          <w:lang w:val="en-US"/>
        </w:rPr>
        <w:t>emperature</w:t>
      </w:r>
      <w:r w:rsidR="00802BCB" w:rsidRPr="00DD3662">
        <w:rPr>
          <w:color w:val="auto"/>
          <w:szCs w:val="20"/>
          <w:lang w:val="en-US"/>
        </w:rPr>
        <w:t>. Percentage values represent the permutation variable importance</w:t>
      </w:r>
      <w:r w:rsidR="00802BCB">
        <w:rPr>
          <w:color w:val="auto"/>
          <w:szCs w:val="20"/>
          <w:lang w:val="en-US"/>
        </w:rPr>
        <w:t xml:space="preserve"> (in bold values &gt; 10 %)</w:t>
      </w:r>
      <w:r w:rsidR="00802BCB" w:rsidRPr="00DD3662">
        <w:rPr>
          <w:color w:val="auto"/>
          <w:szCs w:val="20"/>
          <w:lang w:val="en-US"/>
        </w:rPr>
        <w:t xml:space="preserve">. </w:t>
      </w:r>
      <w:r w:rsidR="00802BCB">
        <w:rPr>
          <w:color w:val="auto"/>
          <w:szCs w:val="20"/>
          <w:lang w:val="en-US"/>
        </w:rPr>
        <w:t>S</w:t>
      </w:r>
      <w:r w:rsidR="00802BCB" w:rsidRPr="00DD3662">
        <w:rPr>
          <w:color w:val="auto"/>
          <w:szCs w:val="20"/>
          <w:lang w:val="en-US"/>
        </w:rPr>
        <w:t xml:space="preserve">hared important variables are colored in red. </w:t>
      </w:r>
      <w:r w:rsidR="00802BCB" w:rsidRPr="006C51F2">
        <w:rPr>
          <w:color w:val="auto"/>
          <w:szCs w:val="20"/>
          <w:lang w:val="en-US"/>
        </w:rPr>
        <w:t>Species are ordered according to the mean depth of their estimated suitable habitat</w:t>
      </w:r>
      <w:r w:rsidR="00802BCB">
        <w:rPr>
          <w:color w:val="auto"/>
          <w:szCs w:val="20"/>
          <w:lang w:val="en-US"/>
        </w:rPr>
        <w:t>.</w:t>
      </w:r>
      <w:r w:rsidR="00802BCB" w:rsidRPr="00DD3662">
        <w:rPr>
          <w:i/>
          <w:color w:val="auto"/>
          <w:szCs w:val="20"/>
          <w:lang w:val="en-US"/>
        </w:rPr>
        <w:t xml:space="preserve"> </w:t>
      </w:r>
      <w:r w:rsidR="00802BCB" w:rsidRPr="00DD3662">
        <w:rPr>
          <w:rFonts w:eastAsia="Times New Roman" w:cs="Calibri"/>
          <w:color w:val="auto"/>
          <w:szCs w:val="20"/>
          <w:lang w:val="en-US" w:eastAsia="pt-PT"/>
        </w:rPr>
        <w:t>HSI: Habitat Suitability Index</w:t>
      </w:r>
      <w:r w:rsidR="00802BCB">
        <w:rPr>
          <w:rFonts w:eastAsia="Times New Roman" w:cs="Calibri"/>
          <w:color w:val="auto"/>
          <w:szCs w:val="20"/>
          <w:lang w:val="en-US" w:eastAsia="pt-PT"/>
        </w:rPr>
        <w:t>.</w:t>
      </w:r>
      <w:bookmarkEnd w:id="38"/>
      <w:r w:rsidR="00802BCB">
        <w:rPr>
          <w:rFonts w:eastAsia="Times New Roman" w:cs="Calibri"/>
          <w:color w:val="auto"/>
          <w:szCs w:val="20"/>
          <w:lang w:val="en-US" w:eastAsia="pt-PT"/>
        </w:rPr>
        <w:t xml:space="preserve"> </w:t>
      </w:r>
      <w:r w:rsidR="00802BCB" w:rsidRPr="0010784F">
        <w:rPr>
          <w:szCs w:val="20"/>
          <w:lang w:val="en-US"/>
        </w:rPr>
        <w:br w:type="page"/>
      </w:r>
    </w:p>
    <w:p w14:paraId="4E6B9B8B" w14:textId="77777777" w:rsidR="00802BCB" w:rsidRPr="00DD3662" w:rsidRDefault="00802BCB" w:rsidP="00802BCB">
      <w:pPr>
        <w:jc w:val="center"/>
        <w:rPr>
          <w:rFonts w:ascii="Garamond" w:hAnsi="Garamond"/>
          <w:sz w:val="20"/>
          <w:szCs w:val="20"/>
          <w:lang w:val="en-US"/>
        </w:rPr>
      </w:pPr>
      <w:r>
        <w:rPr>
          <w:rFonts w:ascii="Garamond" w:hAnsi="Garamond"/>
          <w:noProof/>
          <w:sz w:val="20"/>
          <w:szCs w:val="20"/>
          <w:lang w:eastAsia="pt-PT"/>
        </w:rPr>
        <w:lastRenderedPageBreak/>
        <w:drawing>
          <wp:inline distT="0" distB="0" distL="0" distR="0" wp14:anchorId="39C30DF2" wp14:editId="0AFAD3C2">
            <wp:extent cx="4572000" cy="7498080"/>
            <wp:effectExtent l="0" t="0" r="0" b="7620"/>
            <wp:docPr id="8" name="Picture 8" descr="P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OC"/>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72000" cy="7498080"/>
                    </a:xfrm>
                    <a:prstGeom prst="rect">
                      <a:avLst/>
                    </a:prstGeom>
                    <a:noFill/>
                    <a:ln>
                      <a:noFill/>
                    </a:ln>
                  </pic:spPr>
                </pic:pic>
              </a:graphicData>
            </a:graphic>
          </wp:inline>
        </w:drawing>
      </w:r>
    </w:p>
    <w:p w14:paraId="113B12C5" w14:textId="2DCAD7A6" w:rsidR="00802BCB" w:rsidRPr="0010784F" w:rsidRDefault="00802BCB" w:rsidP="00802BCB">
      <w:pPr>
        <w:pStyle w:val="Heading2"/>
        <w:jc w:val="both"/>
        <w:rPr>
          <w:szCs w:val="20"/>
          <w:lang w:val="en-US"/>
        </w:rPr>
      </w:pPr>
      <w:bookmarkStart w:id="39" w:name="_Toc54969989"/>
      <w:bookmarkStart w:id="40" w:name="_Toc129787448"/>
      <w:r w:rsidRPr="006E6DA4">
        <w:rPr>
          <w:b/>
          <w:color w:val="auto"/>
          <w:szCs w:val="20"/>
          <w:lang w:val="en-US"/>
        </w:rPr>
        <w:t xml:space="preserve">Figure </w:t>
      </w:r>
      <w:r w:rsidR="00373C9F">
        <w:rPr>
          <w:b/>
          <w:color w:val="auto"/>
          <w:szCs w:val="20"/>
          <w:lang w:val="en-US"/>
        </w:rPr>
        <w:t>D</w:t>
      </w:r>
      <w:r w:rsidRPr="006E6DA4">
        <w:rPr>
          <w:b/>
          <w:color w:val="auto"/>
          <w:szCs w:val="20"/>
          <w:lang w:val="en-US"/>
        </w:rPr>
        <w:t>.1</w:t>
      </w:r>
      <w:r w:rsidR="00AD7FBC">
        <w:rPr>
          <w:b/>
          <w:color w:val="auto"/>
          <w:szCs w:val="20"/>
          <w:lang w:val="en-US"/>
        </w:rPr>
        <w:t>0</w:t>
      </w:r>
      <w:r w:rsidRPr="00DD3662">
        <w:rPr>
          <w:color w:val="auto"/>
          <w:szCs w:val="20"/>
          <w:lang w:val="en-US"/>
        </w:rPr>
        <w:t xml:space="preserve"> –</w:t>
      </w:r>
      <w:bookmarkEnd w:id="39"/>
      <w:r>
        <w:rPr>
          <w:color w:val="auto"/>
          <w:szCs w:val="20"/>
          <w:lang w:val="en-US"/>
        </w:rPr>
        <w:t xml:space="preserve"> </w:t>
      </w:r>
      <w:r w:rsidRPr="00DD3662">
        <w:rPr>
          <w:color w:val="auto"/>
          <w:szCs w:val="20"/>
          <w:lang w:val="en-US"/>
        </w:rPr>
        <w:t xml:space="preserve">Response curves for GAM (solid lines) and Maxent (dashed lines) models regarding the predictor </w:t>
      </w:r>
      <w:r w:rsidRPr="00DD3662">
        <w:rPr>
          <w:i/>
          <w:color w:val="auto"/>
          <w:szCs w:val="20"/>
          <w:lang w:val="en-US"/>
        </w:rPr>
        <w:t>POC flux</w:t>
      </w:r>
      <w:r>
        <w:rPr>
          <w:i/>
          <w:color w:val="auto"/>
          <w:szCs w:val="20"/>
          <w:lang w:val="en-US"/>
        </w:rPr>
        <w:t xml:space="preserve"> </w:t>
      </w:r>
      <w:r>
        <w:rPr>
          <w:color w:val="auto"/>
          <w:szCs w:val="20"/>
          <w:lang w:val="en-US"/>
        </w:rPr>
        <w:t>(Particulate Organic Carbon flux)</w:t>
      </w:r>
      <w:r w:rsidRPr="00DD3662">
        <w:rPr>
          <w:color w:val="auto"/>
          <w:szCs w:val="20"/>
          <w:lang w:val="en-US"/>
        </w:rPr>
        <w:t>. Percentage values represent the permutation variable importance</w:t>
      </w:r>
      <w:r>
        <w:rPr>
          <w:color w:val="auto"/>
          <w:szCs w:val="20"/>
          <w:lang w:val="en-US"/>
        </w:rPr>
        <w:t xml:space="preserve"> (in bold values &gt; 10 %)</w:t>
      </w:r>
      <w:r w:rsidRPr="00DD3662">
        <w:rPr>
          <w:color w:val="auto"/>
          <w:szCs w:val="20"/>
          <w:lang w:val="en-US"/>
        </w:rPr>
        <w:t xml:space="preserve">. </w:t>
      </w:r>
      <w:r>
        <w:rPr>
          <w:color w:val="auto"/>
          <w:szCs w:val="20"/>
          <w:lang w:val="en-US"/>
        </w:rPr>
        <w:t>S</w:t>
      </w:r>
      <w:r w:rsidRPr="00DD3662">
        <w:rPr>
          <w:color w:val="auto"/>
          <w:szCs w:val="20"/>
          <w:lang w:val="en-US"/>
        </w:rPr>
        <w:t xml:space="preserve">hared important variables are colored in red. </w:t>
      </w:r>
      <w:r w:rsidRPr="006C51F2">
        <w:rPr>
          <w:color w:val="auto"/>
          <w:szCs w:val="20"/>
          <w:lang w:val="en-US"/>
        </w:rPr>
        <w:t>Species are ordered according to the mean depth of their estimated suitable habitat</w:t>
      </w:r>
      <w:r>
        <w:rPr>
          <w:color w:val="auto"/>
          <w:szCs w:val="20"/>
          <w:lang w:val="en-US"/>
        </w:rPr>
        <w:t>.</w:t>
      </w:r>
      <w:r w:rsidRPr="00DD3662">
        <w:rPr>
          <w:i/>
          <w:color w:val="auto"/>
          <w:szCs w:val="20"/>
          <w:lang w:val="en-US"/>
        </w:rPr>
        <w:t xml:space="preserve"> </w:t>
      </w:r>
      <w:r w:rsidRPr="00DD3662">
        <w:rPr>
          <w:rFonts w:eastAsia="Times New Roman" w:cs="Calibri"/>
          <w:color w:val="auto"/>
          <w:szCs w:val="20"/>
          <w:lang w:val="en-US" w:eastAsia="pt-PT"/>
        </w:rPr>
        <w:t>HSI: Habitat Suitability Index</w:t>
      </w:r>
      <w:r>
        <w:rPr>
          <w:rFonts w:eastAsia="Times New Roman" w:cs="Calibri"/>
          <w:color w:val="auto"/>
          <w:szCs w:val="20"/>
          <w:lang w:val="en-US" w:eastAsia="pt-PT"/>
        </w:rPr>
        <w:t>.</w:t>
      </w:r>
      <w:bookmarkEnd w:id="40"/>
      <w:r>
        <w:rPr>
          <w:rFonts w:eastAsia="Times New Roman" w:cs="Calibri"/>
          <w:color w:val="auto"/>
          <w:szCs w:val="20"/>
          <w:lang w:val="en-US" w:eastAsia="pt-PT"/>
        </w:rPr>
        <w:t xml:space="preserve"> </w:t>
      </w:r>
      <w:r w:rsidRPr="0010784F">
        <w:rPr>
          <w:szCs w:val="20"/>
          <w:lang w:val="en-US"/>
        </w:rPr>
        <w:br w:type="page"/>
      </w:r>
    </w:p>
    <w:p w14:paraId="224BB8EE" w14:textId="77777777" w:rsidR="00802BCB" w:rsidRPr="00DD3662" w:rsidRDefault="00802BCB" w:rsidP="00802BCB">
      <w:pPr>
        <w:jc w:val="center"/>
        <w:rPr>
          <w:rFonts w:ascii="Garamond" w:hAnsi="Garamond"/>
          <w:sz w:val="20"/>
          <w:szCs w:val="20"/>
        </w:rPr>
      </w:pPr>
      <w:r>
        <w:rPr>
          <w:rFonts w:ascii="Garamond" w:hAnsi="Garamond"/>
          <w:noProof/>
          <w:sz w:val="20"/>
          <w:szCs w:val="20"/>
          <w:lang w:eastAsia="pt-PT"/>
        </w:rPr>
        <w:lastRenderedPageBreak/>
        <w:drawing>
          <wp:inline distT="0" distB="0" distL="0" distR="0" wp14:anchorId="539A80F5" wp14:editId="69521BC8">
            <wp:extent cx="4572000" cy="7498080"/>
            <wp:effectExtent l="0" t="0" r="0" b="7620"/>
            <wp:docPr id="7" name="Picture 7" descr="Ox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Oxs"/>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72000" cy="7498080"/>
                    </a:xfrm>
                    <a:prstGeom prst="rect">
                      <a:avLst/>
                    </a:prstGeom>
                    <a:noFill/>
                    <a:ln>
                      <a:noFill/>
                    </a:ln>
                  </pic:spPr>
                </pic:pic>
              </a:graphicData>
            </a:graphic>
          </wp:inline>
        </w:drawing>
      </w:r>
    </w:p>
    <w:p w14:paraId="4E024020" w14:textId="6B8E8433" w:rsidR="00802BCB" w:rsidRPr="0010784F" w:rsidRDefault="00802BCB" w:rsidP="00802BCB">
      <w:pPr>
        <w:pStyle w:val="Heading2"/>
        <w:jc w:val="both"/>
        <w:rPr>
          <w:rFonts w:eastAsia="Times New Roman" w:cs="Calibri"/>
          <w:color w:val="000000"/>
          <w:szCs w:val="20"/>
          <w:lang w:val="en-US" w:eastAsia="pt-PT"/>
        </w:rPr>
      </w:pPr>
      <w:bookmarkStart w:id="41" w:name="_Toc54969990"/>
      <w:bookmarkStart w:id="42" w:name="_Toc129787449"/>
      <w:r w:rsidRPr="006E6DA4">
        <w:rPr>
          <w:b/>
          <w:color w:val="auto"/>
          <w:szCs w:val="20"/>
          <w:lang w:val="en-US"/>
        </w:rPr>
        <w:t xml:space="preserve">Figure </w:t>
      </w:r>
      <w:r w:rsidR="00373C9F">
        <w:rPr>
          <w:b/>
          <w:color w:val="auto"/>
          <w:szCs w:val="20"/>
          <w:lang w:val="en-US"/>
        </w:rPr>
        <w:t>D</w:t>
      </w:r>
      <w:r w:rsidRPr="006E6DA4">
        <w:rPr>
          <w:b/>
          <w:color w:val="auto"/>
          <w:szCs w:val="20"/>
          <w:lang w:val="en-US"/>
        </w:rPr>
        <w:t>.1</w:t>
      </w:r>
      <w:r w:rsidR="00AD7FBC">
        <w:rPr>
          <w:b/>
          <w:color w:val="auto"/>
          <w:szCs w:val="20"/>
          <w:lang w:val="en-US"/>
        </w:rPr>
        <w:t>1</w:t>
      </w:r>
      <w:r w:rsidRPr="00DD3662">
        <w:rPr>
          <w:color w:val="auto"/>
          <w:szCs w:val="20"/>
          <w:lang w:val="en-US"/>
        </w:rPr>
        <w:t xml:space="preserve"> – Response curves for GAM (solid lines) and Maxent (dashed lines) models regarding the predictor </w:t>
      </w:r>
      <w:r>
        <w:rPr>
          <w:i/>
          <w:color w:val="auto"/>
          <w:szCs w:val="20"/>
          <w:lang w:val="en-US"/>
        </w:rPr>
        <w:t>o</w:t>
      </w:r>
      <w:r w:rsidRPr="00DD3662">
        <w:rPr>
          <w:i/>
          <w:color w:val="auto"/>
          <w:szCs w:val="20"/>
          <w:lang w:val="en-US"/>
        </w:rPr>
        <w:t>xygen saturation</w:t>
      </w:r>
      <w:r w:rsidRPr="00DD3662">
        <w:rPr>
          <w:color w:val="auto"/>
          <w:szCs w:val="20"/>
          <w:lang w:val="en-US"/>
        </w:rPr>
        <w:t xml:space="preserve">. </w:t>
      </w:r>
      <w:bookmarkEnd w:id="41"/>
      <w:r w:rsidRPr="00DD3662">
        <w:rPr>
          <w:color w:val="auto"/>
          <w:szCs w:val="20"/>
          <w:lang w:val="en-US"/>
        </w:rPr>
        <w:t>Percentage values represent the permutation variable importance</w:t>
      </w:r>
      <w:r>
        <w:rPr>
          <w:color w:val="auto"/>
          <w:szCs w:val="20"/>
          <w:lang w:val="en-US"/>
        </w:rPr>
        <w:t xml:space="preserve"> (in bold values &gt; 10 %)</w:t>
      </w:r>
      <w:r w:rsidRPr="00DD3662">
        <w:rPr>
          <w:color w:val="auto"/>
          <w:szCs w:val="20"/>
          <w:lang w:val="en-US"/>
        </w:rPr>
        <w:t xml:space="preserve">. </w:t>
      </w:r>
      <w:r>
        <w:rPr>
          <w:color w:val="auto"/>
          <w:szCs w:val="20"/>
          <w:lang w:val="en-US"/>
        </w:rPr>
        <w:t>S</w:t>
      </w:r>
      <w:r w:rsidRPr="00DD3662">
        <w:rPr>
          <w:color w:val="auto"/>
          <w:szCs w:val="20"/>
          <w:lang w:val="en-US"/>
        </w:rPr>
        <w:t xml:space="preserve">hared important variables are colored in red. </w:t>
      </w:r>
      <w:r w:rsidRPr="006C51F2">
        <w:rPr>
          <w:color w:val="auto"/>
          <w:szCs w:val="20"/>
          <w:lang w:val="en-US"/>
        </w:rPr>
        <w:t>Species are ordered according to the mean depth of their estimated suitable habitat</w:t>
      </w:r>
      <w:r>
        <w:rPr>
          <w:color w:val="auto"/>
          <w:szCs w:val="20"/>
          <w:lang w:val="en-US"/>
        </w:rPr>
        <w:t>.</w:t>
      </w:r>
      <w:r w:rsidRPr="00DD3662">
        <w:rPr>
          <w:i/>
          <w:color w:val="auto"/>
          <w:szCs w:val="20"/>
          <w:lang w:val="en-US"/>
        </w:rPr>
        <w:t xml:space="preserve"> </w:t>
      </w:r>
      <w:r w:rsidRPr="00DD3662">
        <w:rPr>
          <w:rFonts w:eastAsia="Times New Roman" w:cs="Calibri"/>
          <w:color w:val="auto"/>
          <w:szCs w:val="20"/>
          <w:lang w:val="en-US" w:eastAsia="pt-PT"/>
        </w:rPr>
        <w:t>HSI: Habitat Suitability Index</w:t>
      </w:r>
      <w:r>
        <w:rPr>
          <w:rFonts w:eastAsia="Times New Roman" w:cs="Calibri"/>
          <w:color w:val="auto"/>
          <w:szCs w:val="20"/>
          <w:lang w:val="en-US" w:eastAsia="pt-PT"/>
        </w:rPr>
        <w:t>.</w:t>
      </w:r>
      <w:bookmarkEnd w:id="42"/>
      <w:r w:rsidRPr="0010784F">
        <w:rPr>
          <w:szCs w:val="20"/>
          <w:lang w:val="en-US"/>
        </w:rPr>
        <w:br w:type="page"/>
      </w:r>
    </w:p>
    <w:p w14:paraId="4762F845" w14:textId="77777777" w:rsidR="00802BCB" w:rsidRPr="00DD3662" w:rsidRDefault="00802BCB" w:rsidP="00802BCB">
      <w:pPr>
        <w:jc w:val="center"/>
        <w:rPr>
          <w:rFonts w:ascii="Garamond" w:eastAsia="Times New Roman" w:hAnsi="Garamond" w:cs="Calibri"/>
          <w:color w:val="000000"/>
          <w:sz w:val="20"/>
          <w:szCs w:val="20"/>
          <w:lang w:eastAsia="pt-PT"/>
        </w:rPr>
      </w:pPr>
      <w:r>
        <w:rPr>
          <w:rFonts w:ascii="Garamond" w:eastAsia="Times New Roman" w:hAnsi="Garamond" w:cs="Calibri"/>
          <w:noProof/>
          <w:color w:val="000000"/>
          <w:sz w:val="20"/>
          <w:szCs w:val="20"/>
          <w:lang w:eastAsia="pt-PT"/>
        </w:rPr>
        <w:lastRenderedPageBreak/>
        <w:drawing>
          <wp:inline distT="0" distB="0" distL="0" distR="0" wp14:anchorId="0E00AD43" wp14:editId="4B03A281">
            <wp:extent cx="4572000" cy="7498080"/>
            <wp:effectExtent l="0" t="0" r="0" b="7620"/>
            <wp:docPr id="6" name="Picture 6" descr="S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lo"/>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72000" cy="7498080"/>
                    </a:xfrm>
                    <a:prstGeom prst="rect">
                      <a:avLst/>
                    </a:prstGeom>
                    <a:noFill/>
                    <a:ln>
                      <a:noFill/>
                    </a:ln>
                  </pic:spPr>
                </pic:pic>
              </a:graphicData>
            </a:graphic>
          </wp:inline>
        </w:drawing>
      </w:r>
    </w:p>
    <w:p w14:paraId="3ADB5771" w14:textId="72E8E7D1" w:rsidR="00802BCB" w:rsidRPr="0010784F" w:rsidRDefault="00802BCB" w:rsidP="00802BCB">
      <w:pPr>
        <w:pStyle w:val="Heading2"/>
        <w:jc w:val="both"/>
        <w:rPr>
          <w:rFonts w:eastAsia="Times New Roman" w:cs="Calibri"/>
          <w:color w:val="000000"/>
          <w:szCs w:val="20"/>
          <w:lang w:val="en-US" w:eastAsia="pt-PT"/>
        </w:rPr>
      </w:pPr>
      <w:bookmarkStart w:id="43" w:name="_Toc54969991"/>
      <w:bookmarkStart w:id="44" w:name="_Toc129787450"/>
      <w:r w:rsidRPr="006E6DA4">
        <w:rPr>
          <w:b/>
          <w:color w:val="auto"/>
          <w:szCs w:val="20"/>
          <w:lang w:val="en-US"/>
        </w:rPr>
        <w:t xml:space="preserve">Figure </w:t>
      </w:r>
      <w:r w:rsidR="00373C9F">
        <w:rPr>
          <w:b/>
          <w:color w:val="auto"/>
          <w:szCs w:val="20"/>
          <w:lang w:val="en-US"/>
        </w:rPr>
        <w:t>D</w:t>
      </w:r>
      <w:r w:rsidRPr="006E6DA4">
        <w:rPr>
          <w:b/>
          <w:color w:val="auto"/>
          <w:szCs w:val="20"/>
          <w:lang w:val="en-US"/>
        </w:rPr>
        <w:t>.1</w:t>
      </w:r>
      <w:r w:rsidR="00AD7FBC">
        <w:rPr>
          <w:b/>
          <w:color w:val="auto"/>
          <w:szCs w:val="20"/>
          <w:lang w:val="en-US"/>
        </w:rPr>
        <w:t xml:space="preserve">2 </w:t>
      </w:r>
      <w:r w:rsidRPr="00DD3662">
        <w:rPr>
          <w:color w:val="auto"/>
          <w:szCs w:val="20"/>
          <w:lang w:val="en-US"/>
        </w:rPr>
        <w:t xml:space="preserve">– </w:t>
      </w:r>
      <w:bookmarkEnd w:id="43"/>
      <w:r w:rsidRPr="00DD3662">
        <w:rPr>
          <w:color w:val="auto"/>
          <w:szCs w:val="20"/>
          <w:lang w:val="en-US"/>
        </w:rPr>
        <w:t xml:space="preserve">Response curves for GAM (solid lines) and Maxent (dashed lines) models regarding the predictor </w:t>
      </w:r>
      <w:r>
        <w:rPr>
          <w:i/>
          <w:color w:val="auto"/>
          <w:szCs w:val="20"/>
          <w:lang w:val="en-US"/>
        </w:rPr>
        <w:t>s</w:t>
      </w:r>
      <w:r w:rsidRPr="00DD3662">
        <w:rPr>
          <w:i/>
          <w:color w:val="auto"/>
          <w:szCs w:val="20"/>
          <w:lang w:val="en-US"/>
        </w:rPr>
        <w:t>lope</w:t>
      </w:r>
      <w:r w:rsidRPr="00DD3662">
        <w:rPr>
          <w:color w:val="auto"/>
          <w:szCs w:val="20"/>
          <w:lang w:val="en-US"/>
        </w:rPr>
        <w:t>. Percentage values represent the permutation variable importance</w:t>
      </w:r>
      <w:r>
        <w:rPr>
          <w:color w:val="auto"/>
          <w:szCs w:val="20"/>
          <w:lang w:val="en-US"/>
        </w:rPr>
        <w:t xml:space="preserve"> (in bold values &gt; 10 %)</w:t>
      </w:r>
      <w:r w:rsidRPr="00DD3662">
        <w:rPr>
          <w:color w:val="auto"/>
          <w:szCs w:val="20"/>
          <w:lang w:val="en-US"/>
        </w:rPr>
        <w:t xml:space="preserve">. </w:t>
      </w:r>
      <w:r>
        <w:rPr>
          <w:color w:val="auto"/>
          <w:szCs w:val="20"/>
          <w:lang w:val="en-US"/>
        </w:rPr>
        <w:t>S</w:t>
      </w:r>
      <w:r w:rsidRPr="00DD3662">
        <w:rPr>
          <w:color w:val="auto"/>
          <w:szCs w:val="20"/>
          <w:lang w:val="en-US"/>
        </w:rPr>
        <w:t xml:space="preserve">hared important variables are colored in red. </w:t>
      </w:r>
      <w:r w:rsidRPr="006C51F2">
        <w:rPr>
          <w:color w:val="auto"/>
          <w:szCs w:val="20"/>
          <w:lang w:val="en-US"/>
        </w:rPr>
        <w:t>Species are ordered according to the mean depth of their estimated suitable habitat</w:t>
      </w:r>
      <w:r>
        <w:rPr>
          <w:color w:val="auto"/>
          <w:szCs w:val="20"/>
          <w:lang w:val="en-US"/>
        </w:rPr>
        <w:t>.</w:t>
      </w:r>
      <w:r w:rsidRPr="00DD3662">
        <w:rPr>
          <w:i/>
          <w:color w:val="auto"/>
          <w:szCs w:val="20"/>
          <w:lang w:val="en-US"/>
        </w:rPr>
        <w:t xml:space="preserve"> </w:t>
      </w:r>
      <w:r w:rsidRPr="00DD3662">
        <w:rPr>
          <w:rFonts w:eastAsia="Times New Roman" w:cs="Calibri"/>
          <w:color w:val="auto"/>
          <w:szCs w:val="20"/>
          <w:lang w:val="en-US" w:eastAsia="pt-PT"/>
        </w:rPr>
        <w:t>HSI: Habitat Suitability Index</w:t>
      </w:r>
      <w:r>
        <w:rPr>
          <w:rFonts w:eastAsia="Times New Roman" w:cs="Calibri"/>
          <w:color w:val="auto"/>
          <w:szCs w:val="20"/>
          <w:lang w:val="en-US" w:eastAsia="pt-PT"/>
        </w:rPr>
        <w:t>.</w:t>
      </w:r>
      <w:bookmarkEnd w:id="44"/>
      <w:r w:rsidRPr="0010784F">
        <w:rPr>
          <w:rFonts w:eastAsia="Times New Roman" w:cs="Calibri"/>
          <w:color w:val="000000"/>
          <w:szCs w:val="20"/>
          <w:lang w:val="en-US" w:eastAsia="pt-PT"/>
        </w:rPr>
        <w:br w:type="page"/>
      </w:r>
    </w:p>
    <w:p w14:paraId="0BB664DE" w14:textId="77777777" w:rsidR="00802BCB" w:rsidRPr="00DD3662" w:rsidRDefault="008503EC" w:rsidP="00802BCB">
      <w:pPr>
        <w:jc w:val="center"/>
        <w:rPr>
          <w:rFonts w:ascii="Garamond" w:hAnsi="Garamond"/>
          <w:sz w:val="20"/>
          <w:szCs w:val="20"/>
        </w:rPr>
      </w:pPr>
      <w:r>
        <w:rPr>
          <w:rFonts w:ascii="Garamond" w:hAnsi="Garamond"/>
          <w:noProof/>
          <w:sz w:val="20"/>
          <w:szCs w:val="20"/>
          <w:lang w:eastAsia="pt-PT"/>
        </w:rPr>
        <w:lastRenderedPageBreak/>
        <w:pict w14:anchorId="657E0D6C">
          <v:shape id="_x0000_i1051" type="#_x0000_t75" style="width:5in;height:589.95pt">
            <v:imagedata r:id="rId26" o:title="BPI5"/>
          </v:shape>
        </w:pict>
      </w:r>
    </w:p>
    <w:p w14:paraId="6F4851D1" w14:textId="18D6A5C4" w:rsidR="00802BCB" w:rsidRPr="0010784F" w:rsidRDefault="00802BCB" w:rsidP="00802BCB">
      <w:pPr>
        <w:pStyle w:val="Heading2"/>
        <w:jc w:val="both"/>
        <w:rPr>
          <w:szCs w:val="20"/>
          <w:lang w:val="en-US"/>
        </w:rPr>
      </w:pPr>
      <w:bookmarkStart w:id="45" w:name="_Toc54969992"/>
      <w:bookmarkStart w:id="46" w:name="_Toc129787451"/>
      <w:r w:rsidRPr="006E6DA4">
        <w:rPr>
          <w:b/>
          <w:color w:val="auto"/>
          <w:szCs w:val="20"/>
          <w:lang w:val="en-US"/>
        </w:rPr>
        <w:t xml:space="preserve">Figure </w:t>
      </w:r>
      <w:r w:rsidR="00373C9F">
        <w:rPr>
          <w:b/>
          <w:color w:val="auto"/>
          <w:szCs w:val="20"/>
          <w:lang w:val="en-US"/>
        </w:rPr>
        <w:t>D</w:t>
      </w:r>
      <w:r w:rsidRPr="006E6DA4">
        <w:rPr>
          <w:b/>
          <w:color w:val="auto"/>
          <w:szCs w:val="20"/>
          <w:lang w:val="en-US"/>
        </w:rPr>
        <w:t>.1</w:t>
      </w:r>
      <w:r w:rsidR="00AD7FBC">
        <w:rPr>
          <w:b/>
          <w:color w:val="auto"/>
          <w:szCs w:val="20"/>
          <w:lang w:val="en-US"/>
        </w:rPr>
        <w:t>3</w:t>
      </w:r>
      <w:r w:rsidRPr="00DD3662">
        <w:rPr>
          <w:color w:val="auto"/>
          <w:szCs w:val="20"/>
          <w:lang w:val="en-US"/>
        </w:rPr>
        <w:t xml:space="preserve"> –</w:t>
      </w:r>
      <w:bookmarkEnd w:id="45"/>
      <w:r>
        <w:rPr>
          <w:color w:val="auto"/>
          <w:szCs w:val="20"/>
          <w:lang w:val="en-US"/>
        </w:rPr>
        <w:t xml:space="preserve"> </w:t>
      </w:r>
      <w:r w:rsidRPr="00DD3662">
        <w:rPr>
          <w:color w:val="auto"/>
          <w:szCs w:val="20"/>
          <w:lang w:val="en-US"/>
        </w:rPr>
        <w:t xml:space="preserve">Response curves for GAM (solid lines) and Maxent (dashed lines) models regarding the predictor </w:t>
      </w:r>
      <w:r w:rsidRPr="00DD3662">
        <w:rPr>
          <w:i/>
          <w:color w:val="auto"/>
          <w:szCs w:val="20"/>
          <w:lang w:val="en-US"/>
        </w:rPr>
        <w:t>BPI</w:t>
      </w:r>
      <w:r w:rsidR="00E34C51">
        <w:rPr>
          <w:i/>
          <w:color w:val="auto"/>
          <w:szCs w:val="20"/>
          <w:lang w:val="en-US"/>
        </w:rPr>
        <w:t>_</w:t>
      </w:r>
      <w:r w:rsidRPr="00DD3662">
        <w:rPr>
          <w:i/>
          <w:color w:val="auto"/>
          <w:szCs w:val="20"/>
          <w:lang w:val="en-US"/>
        </w:rPr>
        <w:t>5</w:t>
      </w:r>
      <w:r w:rsidR="00E34C51">
        <w:rPr>
          <w:i/>
          <w:color w:val="auto"/>
          <w:szCs w:val="20"/>
          <w:lang w:val="en-US"/>
        </w:rPr>
        <w:t>km</w:t>
      </w:r>
      <w:r w:rsidRPr="00DD3662">
        <w:rPr>
          <w:i/>
          <w:color w:val="auto"/>
          <w:szCs w:val="20"/>
          <w:lang w:val="en-US"/>
        </w:rPr>
        <w:t xml:space="preserve"> </w:t>
      </w:r>
      <w:r>
        <w:rPr>
          <w:color w:val="auto"/>
          <w:szCs w:val="20"/>
          <w:lang w:val="en-US"/>
        </w:rPr>
        <w:t>(</w:t>
      </w:r>
      <w:r w:rsidR="0062673A">
        <w:rPr>
          <w:color w:val="auto"/>
          <w:szCs w:val="20"/>
          <w:lang w:val="en-US"/>
        </w:rPr>
        <w:t>b</w:t>
      </w:r>
      <w:r w:rsidRPr="00512C3E">
        <w:rPr>
          <w:color w:val="auto"/>
          <w:szCs w:val="20"/>
          <w:lang w:val="en-US"/>
        </w:rPr>
        <w:t xml:space="preserve">athymetric </w:t>
      </w:r>
      <w:r w:rsidR="0062673A">
        <w:rPr>
          <w:color w:val="auto"/>
          <w:szCs w:val="20"/>
          <w:lang w:val="en-US"/>
        </w:rPr>
        <w:t>p</w:t>
      </w:r>
      <w:r>
        <w:rPr>
          <w:color w:val="auto"/>
          <w:szCs w:val="20"/>
          <w:lang w:val="en-US"/>
        </w:rPr>
        <w:t xml:space="preserve">osition </w:t>
      </w:r>
      <w:r w:rsidR="0062673A">
        <w:rPr>
          <w:color w:val="auto"/>
          <w:szCs w:val="20"/>
          <w:lang w:val="en-US"/>
        </w:rPr>
        <w:t>i</w:t>
      </w:r>
      <w:r>
        <w:rPr>
          <w:color w:val="auto"/>
          <w:szCs w:val="20"/>
          <w:lang w:val="en-US"/>
        </w:rPr>
        <w:t>ndex computed on a 5 km radius)</w:t>
      </w:r>
      <w:r w:rsidRPr="00DD3662">
        <w:rPr>
          <w:color w:val="auto"/>
          <w:szCs w:val="20"/>
          <w:lang w:val="en-US"/>
        </w:rPr>
        <w:t>. Percentage values represent the permutation variable importance</w:t>
      </w:r>
      <w:r>
        <w:rPr>
          <w:color w:val="auto"/>
          <w:szCs w:val="20"/>
          <w:lang w:val="en-US"/>
        </w:rPr>
        <w:t xml:space="preserve"> (in bold values &gt; 10 %)</w:t>
      </w:r>
      <w:r w:rsidRPr="00DD3662">
        <w:rPr>
          <w:color w:val="auto"/>
          <w:szCs w:val="20"/>
          <w:lang w:val="en-US"/>
        </w:rPr>
        <w:t xml:space="preserve">. </w:t>
      </w:r>
      <w:r>
        <w:rPr>
          <w:color w:val="auto"/>
          <w:szCs w:val="20"/>
          <w:lang w:val="en-US"/>
        </w:rPr>
        <w:t>S</w:t>
      </w:r>
      <w:r w:rsidRPr="00DD3662">
        <w:rPr>
          <w:color w:val="auto"/>
          <w:szCs w:val="20"/>
          <w:lang w:val="en-US"/>
        </w:rPr>
        <w:t xml:space="preserve">hared important variables are colored in red. </w:t>
      </w:r>
      <w:r w:rsidRPr="006C51F2">
        <w:rPr>
          <w:color w:val="auto"/>
          <w:szCs w:val="20"/>
          <w:lang w:val="en-US"/>
        </w:rPr>
        <w:t>Species are ordered according to the mean depth of their estimated suitable habitat</w:t>
      </w:r>
      <w:r>
        <w:rPr>
          <w:color w:val="auto"/>
          <w:szCs w:val="20"/>
          <w:lang w:val="en-US"/>
        </w:rPr>
        <w:t>.</w:t>
      </w:r>
      <w:r w:rsidRPr="00DD3662">
        <w:rPr>
          <w:i/>
          <w:color w:val="auto"/>
          <w:szCs w:val="20"/>
          <w:lang w:val="en-US"/>
        </w:rPr>
        <w:t xml:space="preserve"> </w:t>
      </w:r>
      <w:r w:rsidRPr="00DD3662">
        <w:rPr>
          <w:rFonts w:eastAsia="Times New Roman" w:cs="Calibri"/>
          <w:color w:val="auto"/>
          <w:szCs w:val="20"/>
          <w:lang w:val="en-US" w:eastAsia="pt-PT"/>
        </w:rPr>
        <w:t>HSI: Habitat Suitability Index</w:t>
      </w:r>
      <w:r w:rsidRPr="00DD3662">
        <w:rPr>
          <w:rFonts w:eastAsia="Times New Roman" w:cs="Calibri"/>
          <w:color w:val="000000"/>
          <w:szCs w:val="20"/>
          <w:lang w:val="en-US" w:eastAsia="pt-PT"/>
        </w:rPr>
        <w:t>.</w:t>
      </w:r>
      <w:bookmarkEnd w:id="46"/>
      <w:r>
        <w:rPr>
          <w:rFonts w:eastAsia="Times New Roman" w:cs="Calibri"/>
          <w:color w:val="000000"/>
          <w:szCs w:val="20"/>
          <w:lang w:val="en-US" w:eastAsia="pt-PT"/>
        </w:rPr>
        <w:t xml:space="preserve"> </w:t>
      </w:r>
      <w:r w:rsidRPr="0010784F">
        <w:rPr>
          <w:szCs w:val="20"/>
          <w:lang w:val="en-US"/>
        </w:rPr>
        <w:br w:type="page"/>
      </w:r>
    </w:p>
    <w:p w14:paraId="4477AF78" w14:textId="77777777" w:rsidR="00802BCB" w:rsidRPr="00DD3662" w:rsidRDefault="008503EC" w:rsidP="00802BCB">
      <w:pPr>
        <w:jc w:val="center"/>
        <w:rPr>
          <w:rFonts w:ascii="Garamond" w:eastAsia="Times New Roman" w:hAnsi="Garamond" w:cs="Calibri"/>
          <w:color w:val="000000"/>
          <w:sz w:val="20"/>
          <w:szCs w:val="20"/>
          <w:lang w:eastAsia="pt-PT"/>
        </w:rPr>
      </w:pPr>
      <w:r>
        <w:rPr>
          <w:rFonts w:ascii="Garamond" w:eastAsia="Times New Roman" w:hAnsi="Garamond" w:cs="Calibri"/>
          <w:noProof/>
          <w:color w:val="000000"/>
          <w:sz w:val="20"/>
          <w:szCs w:val="20"/>
          <w:lang w:eastAsia="pt-PT"/>
        </w:rPr>
        <w:lastRenderedPageBreak/>
        <w:pict w14:anchorId="2FD5CAEB">
          <v:shape id="_x0000_i1052" type="#_x0000_t75" style="width:5in;height:589.95pt">
            <v:imagedata r:id="rId27" o:title="BPI20"/>
          </v:shape>
        </w:pict>
      </w:r>
    </w:p>
    <w:p w14:paraId="3E9361D7" w14:textId="6D560614" w:rsidR="00802BCB" w:rsidRPr="0010784F" w:rsidRDefault="00802BCB" w:rsidP="00802BCB">
      <w:pPr>
        <w:pStyle w:val="Heading2"/>
        <w:jc w:val="both"/>
        <w:rPr>
          <w:szCs w:val="20"/>
          <w:lang w:val="en-US"/>
        </w:rPr>
      </w:pPr>
      <w:bookmarkStart w:id="47" w:name="_Toc54969993"/>
      <w:bookmarkStart w:id="48" w:name="_Toc129787452"/>
      <w:r w:rsidRPr="006E6DA4">
        <w:rPr>
          <w:b/>
          <w:color w:val="auto"/>
          <w:szCs w:val="20"/>
          <w:lang w:val="en-US"/>
        </w:rPr>
        <w:t xml:space="preserve">Figure </w:t>
      </w:r>
      <w:r w:rsidR="00373C9F">
        <w:rPr>
          <w:b/>
          <w:color w:val="auto"/>
          <w:szCs w:val="20"/>
          <w:lang w:val="en-US"/>
        </w:rPr>
        <w:t>D</w:t>
      </w:r>
      <w:r w:rsidRPr="006E6DA4">
        <w:rPr>
          <w:b/>
          <w:color w:val="auto"/>
          <w:szCs w:val="20"/>
          <w:lang w:val="en-US"/>
        </w:rPr>
        <w:t>.</w:t>
      </w:r>
      <w:r w:rsidR="00AD7FBC">
        <w:rPr>
          <w:b/>
          <w:color w:val="auto"/>
          <w:szCs w:val="20"/>
          <w:lang w:val="en-US"/>
        </w:rPr>
        <w:t>14</w:t>
      </w:r>
      <w:r w:rsidRPr="00DD3662">
        <w:rPr>
          <w:color w:val="auto"/>
          <w:szCs w:val="20"/>
          <w:lang w:val="en-US"/>
        </w:rPr>
        <w:t xml:space="preserve"> –</w:t>
      </w:r>
      <w:bookmarkEnd w:id="47"/>
      <w:r>
        <w:rPr>
          <w:color w:val="auto"/>
          <w:szCs w:val="20"/>
          <w:lang w:val="en-US"/>
        </w:rPr>
        <w:t xml:space="preserve"> </w:t>
      </w:r>
      <w:r w:rsidRPr="00DD3662">
        <w:rPr>
          <w:color w:val="auto"/>
          <w:szCs w:val="20"/>
          <w:lang w:val="en-US"/>
        </w:rPr>
        <w:t xml:space="preserve">Response curves for GAM (solid lines) and Maxent (dashed lines) models regarding the predictor </w:t>
      </w:r>
      <w:r w:rsidRPr="00DD3662">
        <w:rPr>
          <w:i/>
          <w:color w:val="auto"/>
          <w:szCs w:val="20"/>
          <w:lang w:val="en-US"/>
        </w:rPr>
        <w:t>BPI</w:t>
      </w:r>
      <w:r w:rsidR="00B22DDC">
        <w:rPr>
          <w:i/>
          <w:color w:val="auto"/>
          <w:szCs w:val="20"/>
          <w:lang w:val="en-US"/>
        </w:rPr>
        <w:t>_</w:t>
      </w:r>
      <w:r>
        <w:rPr>
          <w:i/>
          <w:color w:val="auto"/>
          <w:szCs w:val="20"/>
          <w:lang w:val="en-US"/>
        </w:rPr>
        <w:t>20</w:t>
      </w:r>
      <w:r w:rsidR="00B22DDC">
        <w:rPr>
          <w:i/>
          <w:color w:val="auto"/>
          <w:szCs w:val="20"/>
          <w:lang w:val="en-US"/>
        </w:rPr>
        <w:t>km</w:t>
      </w:r>
      <w:r w:rsidRPr="00DD3662">
        <w:rPr>
          <w:i/>
          <w:color w:val="auto"/>
          <w:szCs w:val="20"/>
          <w:lang w:val="en-US"/>
        </w:rPr>
        <w:t xml:space="preserve"> </w:t>
      </w:r>
      <w:r w:rsidR="000F73F6">
        <w:rPr>
          <w:color w:val="auto"/>
          <w:szCs w:val="20"/>
          <w:lang w:val="en-US"/>
        </w:rPr>
        <w:t>(b</w:t>
      </w:r>
      <w:r w:rsidRPr="00512C3E">
        <w:rPr>
          <w:color w:val="auto"/>
          <w:szCs w:val="20"/>
          <w:lang w:val="en-US"/>
        </w:rPr>
        <w:t xml:space="preserve">athymetric </w:t>
      </w:r>
      <w:r w:rsidR="000F73F6">
        <w:rPr>
          <w:color w:val="auto"/>
          <w:szCs w:val="20"/>
          <w:lang w:val="en-US"/>
        </w:rPr>
        <w:t>p</w:t>
      </w:r>
      <w:r>
        <w:rPr>
          <w:color w:val="auto"/>
          <w:szCs w:val="20"/>
          <w:lang w:val="en-US"/>
        </w:rPr>
        <w:t xml:space="preserve">osition </w:t>
      </w:r>
      <w:r w:rsidR="000F73F6">
        <w:rPr>
          <w:color w:val="auto"/>
          <w:szCs w:val="20"/>
          <w:lang w:val="en-US"/>
        </w:rPr>
        <w:t>i</w:t>
      </w:r>
      <w:r>
        <w:rPr>
          <w:color w:val="auto"/>
          <w:szCs w:val="20"/>
          <w:lang w:val="en-US"/>
        </w:rPr>
        <w:t>ndex computed on a 20 km radius)</w:t>
      </w:r>
      <w:r w:rsidRPr="00DD3662">
        <w:rPr>
          <w:color w:val="auto"/>
          <w:szCs w:val="20"/>
          <w:lang w:val="en-US"/>
        </w:rPr>
        <w:t>. Percentage values represent the permutation variable importance</w:t>
      </w:r>
      <w:r>
        <w:rPr>
          <w:color w:val="auto"/>
          <w:szCs w:val="20"/>
          <w:lang w:val="en-US"/>
        </w:rPr>
        <w:t xml:space="preserve"> (in bold values &gt; 10 %)</w:t>
      </w:r>
      <w:r w:rsidRPr="00DD3662">
        <w:rPr>
          <w:color w:val="auto"/>
          <w:szCs w:val="20"/>
          <w:lang w:val="en-US"/>
        </w:rPr>
        <w:t xml:space="preserve">. </w:t>
      </w:r>
      <w:r>
        <w:rPr>
          <w:color w:val="auto"/>
          <w:szCs w:val="20"/>
          <w:lang w:val="en-US"/>
        </w:rPr>
        <w:t>S</w:t>
      </w:r>
      <w:r w:rsidRPr="00DD3662">
        <w:rPr>
          <w:color w:val="auto"/>
          <w:szCs w:val="20"/>
          <w:lang w:val="en-US"/>
        </w:rPr>
        <w:t xml:space="preserve">hared important variables are colored in red. </w:t>
      </w:r>
      <w:r w:rsidRPr="006C51F2">
        <w:rPr>
          <w:color w:val="auto"/>
          <w:szCs w:val="20"/>
          <w:lang w:val="en-US"/>
        </w:rPr>
        <w:t>Species are ordered according to the mean depth of their estimated suitable habitat</w:t>
      </w:r>
      <w:r>
        <w:rPr>
          <w:color w:val="auto"/>
          <w:szCs w:val="20"/>
          <w:lang w:val="en-US"/>
        </w:rPr>
        <w:t>.</w:t>
      </w:r>
      <w:r w:rsidRPr="00DD3662">
        <w:rPr>
          <w:i/>
          <w:color w:val="auto"/>
          <w:szCs w:val="20"/>
          <w:lang w:val="en-US"/>
        </w:rPr>
        <w:t xml:space="preserve"> </w:t>
      </w:r>
      <w:r w:rsidRPr="00DD3662">
        <w:rPr>
          <w:rFonts w:eastAsia="Times New Roman" w:cs="Calibri"/>
          <w:color w:val="auto"/>
          <w:szCs w:val="20"/>
          <w:lang w:val="en-US" w:eastAsia="pt-PT"/>
        </w:rPr>
        <w:t>HSI: Habitat Suitability Index</w:t>
      </w:r>
      <w:r w:rsidRPr="00DD3662">
        <w:rPr>
          <w:rFonts w:eastAsia="Times New Roman" w:cs="Calibri"/>
          <w:color w:val="000000"/>
          <w:szCs w:val="20"/>
          <w:lang w:val="en-US" w:eastAsia="pt-PT"/>
        </w:rPr>
        <w:t>.</w:t>
      </w:r>
      <w:bookmarkEnd w:id="48"/>
      <w:r>
        <w:rPr>
          <w:rFonts w:eastAsia="Times New Roman" w:cs="Calibri"/>
          <w:color w:val="000000"/>
          <w:szCs w:val="20"/>
          <w:lang w:val="en-US" w:eastAsia="pt-PT"/>
        </w:rPr>
        <w:t xml:space="preserve">  </w:t>
      </w:r>
      <w:r w:rsidRPr="0010784F">
        <w:rPr>
          <w:szCs w:val="20"/>
          <w:lang w:val="en-US"/>
        </w:rPr>
        <w:br w:type="page"/>
      </w:r>
    </w:p>
    <w:p w14:paraId="371D4761" w14:textId="77777777" w:rsidR="00802BCB" w:rsidRPr="00DD3662" w:rsidRDefault="00802BCB" w:rsidP="00802BCB">
      <w:pPr>
        <w:jc w:val="center"/>
        <w:rPr>
          <w:rFonts w:ascii="Garamond" w:eastAsia="Times New Roman" w:hAnsi="Garamond" w:cs="Calibri"/>
          <w:color w:val="000000"/>
          <w:sz w:val="20"/>
          <w:szCs w:val="20"/>
          <w:lang w:eastAsia="pt-PT"/>
        </w:rPr>
      </w:pPr>
      <w:r>
        <w:rPr>
          <w:rFonts w:ascii="Garamond" w:eastAsia="Times New Roman" w:hAnsi="Garamond" w:cs="Calibri"/>
          <w:noProof/>
          <w:color w:val="000000"/>
          <w:sz w:val="20"/>
          <w:szCs w:val="20"/>
          <w:lang w:eastAsia="pt-PT"/>
        </w:rPr>
        <w:lastRenderedPageBreak/>
        <w:drawing>
          <wp:inline distT="0" distB="0" distL="0" distR="0" wp14:anchorId="37D65551" wp14:editId="3493C3E4">
            <wp:extent cx="4572000" cy="7498080"/>
            <wp:effectExtent l="0" t="0" r="0" b="7620"/>
            <wp:docPr id="2" name="Picture 2" descr="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72000" cy="7498080"/>
                    </a:xfrm>
                    <a:prstGeom prst="rect">
                      <a:avLst/>
                    </a:prstGeom>
                    <a:noFill/>
                    <a:ln>
                      <a:noFill/>
                    </a:ln>
                  </pic:spPr>
                </pic:pic>
              </a:graphicData>
            </a:graphic>
          </wp:inline>
        </w:drawing>
      </w:r>
    </w:p>
    <w:p w14:paraId="794818A5" w14:textId="3C68DBC8" w:rsidR="00802BCB" w:rsidRDefault="00802BCB" w:rsidP="00802BCB">
      <w:pPr>
        <w:pStyle w:val="Heading2"/>
        <w:jc w:val="both"/>
        <w:rPr>
          <w:rFonts w:eastAsia="Times New Roman" w:cs="Calibri"/>
          <w:color w:val="000000"/>
          <w:szCs w:val="20"/>
          <w:lang w:val="en-US" w:eastAsia="pt-PT"/>
        </w:rPr>
      </w:pPr>
      <w:bookmarkStart w:id="49" w:name="_Toc54969994"/>
      <w:bookmarkStart w:id="50" w:name="_Toc129787453"/>
      <w:r w:rsidRPr="006E6DA4">
        <w:rPr>
          <w:b/>
          <w:color w:val="auto"/>
          <w:szCs w:val="20"/>
          <w:lang w:val="en-US"/>
        </w:rPr>
        <w:t xml:space="preserve">Figure </w:t>
      </w:r>
      <w:r w:rsidR="00373C9F">
        <w:rPr>
          <w:b/>
          <w:color w:val="auto"/>
          <w:szCs w:val="20"/>
          <w:lang w:val="en-US"/>
        </w:rPr>
        <w:t>D</w:t>
      </w:r>
      <w:r w:rsidR="00C70393">
        <w:rPr>
          <w:b/>
          <w:color w:val="auto"/>
          <w:szCs w:val="20"/>
          <w:lang w:val="en-US"/>
        </w:rPr>
        <w:t>.</w:t>
      </w:r>
      <w:r w:rsidR="00AD7FBC">
        <w:rPr>
          <w:b/>
          <w:color w:val="auto"/>
          <w:szCs w:val="20"/>
          <w:lang w:val="en-US"/>
        </w:rPr>
        <w:t>15</w:t>
      </w:r>
      <w:r w:rsidRPr="00DD3662">
        <w:rPr>
          <w:color w:val="auto"/>
          <w:szCs w:val="20"/>
          <w:lang w:val="en-US"/>
        </w:rPr>
        <w:t xml:space="preserve"> –</w:t>
      </w:r>
      <w:bookmarkEnd w:id="49"/>
      <w:r>
        <w:rPr>
          <w:color w:val="auto"/>
          <w:szCs w:val="20"/>
          <w:lang w:val="en-US"/>
        </w:rPr>
        <w:t xml:space="preserve"> </w:t>
      </w:r>
      <w:r w:rsidRPr="00DD3662">
        <w:rPr>
          <w:color w:val="auto"/>
          <w:szCs w:val="20"/>
          <w:lang w:val="en-US"/>
        </w:rPr>
        <w:t xml:space="preserve">Response curves for GAM (solid lines) and Maxent (dashed lines) models regarding the predictor </w:t>
      </w:r>
      <w:r>
        <w:rPr>
          <w:i/>
          <w:color w:val="auto"/>
          <w:szCs w:val="20"/>
          <w:lang w:val="en-US"/>
        </w:rPr>
        <w:t>bottom current speed</w:t>
      </w:r>
      <w:r w:rsidRPr="00DD3662">
        <w:rPr>
          <w:color w:val="auto"/>
          <w:szCs w:val="20"/>
          <w:lang w:val="en-US"/>
        </w:rPr>
        <w:t>. Percentage values represent the permutation variable importance</w:t>
      </w:r>
      <w:r>
        <w:rPr>
          <w:color w:val="auto"/>
          <w:szCs w:val="20"/>
          <w:lang w:val="en-US"/>
        </w:rPr>
        <w:t xml:space="preserve"> (in bold values &gt; 10 %)</w:t>
      </w:r>
      <w:r w:rsidRPr="00DD3662">
        <w:rPr>
          <w:color w:val="auto"/>
          <w:szCs w:val="20"/>
          <w:lang w:val="en-US"/>
        </w:rPr>
        <w:t xml:space="preserve">. </w:t>
      </w:r>
      <w:r>
        <w:rPr>
          <w:color w:val="auto"/>
          <w:szCs w:val="20"/>
          <w:lang w:val="en-US"/>
        </w:rPr>
        <w:t>S</w:t>
      </w:r>
      <w:r w:rsidRPr="00DD3662">
        <w:rPr>
          <w:color w:val="auto"/>
          <w:szCs w:val="20"/>
          <w:lang w:val="en-US"/>
        </w:rPr>
        <w:t xml:space="preserve">hared important variables are colored in red. </w:t>
      </w:r>
      <w:r w:rsidRPr="006C51F2">
        <w:rPr>
          <w:color w:val="auto"/>
          <w:szCs w:val="20"/>
          <w:lang w:val="en-US"/>
        </w:rPr>
        <w:t>Species are ordered according to the mean depth of their estimated suitable habitat</w:t>
      </w:r>
      <w:r>
        <w:rPr>
          <w:color w:val="auto"/>
          <w:szCs w:val="20"/>
          <w:lang w:val="en-US"/>
        </w:rPr>
        <w:t>.</w:t>
      </w:r>
      <w:r w:rsidRPr="00DD3662">
        <w:rPr>
          <w:i/>
          <w:color w:val="auto"/>
          <w:szCs w:val="20"/>
          <w:lang w:val="en-US"/>
        </w:rPr>
        <w:t xml:space="preserve"> </w:t>
      </w:r>
      <w:r w:rsidRPr="00DD3662">
        <w:rPr>
          <w:rFonts w:eastAsia="Times New Roman" w:cs="Calibri"/>
          <w:color w:val="auto"/>
          <w:szCs w:val="20"/>
          <w:lang w:val="en-US" w:eastAsia="pt-PT"/>
        </w:rPr>
        <w:t>HSI: Habitat Suitability Index</w:t>
      </w:r>
      <w:r>
        <w:rPr>
          <w:rFonts w:eastAsia="Times New Roman" w:cs="Calibri"/>
          <w:color w:val="auto"/>
          <w:szCs w:val="20"/>
          <w:lang w:val="en-US" w:eastAsia="pt-PT"/>
        </w:rPr>
        <w:t>.</w:t>
      </w:r>
      <w:bookmarkEnd w:id="50"/>
      <w:r>
        <w:rPr>
          <w:rFonts w:eastAsia="Times New Roman" w:cs="Calibri"/>
          <w:color w:val="auto"/>
          <w:szCs w:val="20"/>
          <w:lang w:val="en-US" w:eastAsia="pt-PT"/>
        </w:rPr>
        <w:t xml:space="preserve"> </w:t>
      </w:r>
      <w:r w:rsidRPr="0010784F">
        <w:rPr>
          <w:rFonts w:eastAsia="Times New Roman" w:cs="Calibri"/>
          <w:color w:val="000000"/>
          <w:szCs w:val="20"/>
          <w:lang w:val="en-US" w:eastAsia="pt-PT"/>
        </w:rPr>
        <w:br w:type="page"/>
      </w:r>
    </w:p>
    <w:p w14:paraId="53D02800" w14:textId="77777777" w:rsidR="00802BCB" w:rsidRPr="00E27C21" w:rsidRDefault="00802BCB" w:rsidP="00802BCB">
      <w:pPr>
        <w:pStyle w:val="Heading1"/>
        <w:rPr>
          <w:b/>
          <w:sz w:val="28"/>
          <w:szCs w:val="28"/>
        </w:rPr>
      </w:pPr>
      <w:bookmarkStart w:id="51" w:name="_Toc54970010"/>
      <w:bookmarkStart w:id="52" w:name="_Toc129787454"/>
      <w:r w:rsidRPr="00E27C21">
        <w:rPr>
          <w:b/>
          <w:sz w:val="28"/>
          <w:szCs w:val="28"/>
        </w:rPr>
        <w:lastRenderedPageBreak/>
        <w:t>References</w:t>
      </w:r>
      <w:bookmarkEnd w:id="51"/>
      <w:bookmarkEnd w:id="52"/>
    </w:p>
    <w:p w14:paraId="739B5DA4" w14:textId="77777777" w:rsidR="00802BCB" w:rsidRPr="006543DB" w:rsidRDefault="00802BCB" w:rsidP="00802BCB">
      <w:pPr>
        <w:rPr>
          <w:rFonts w:ascii="Garamond" w:hAnsi="Garamond"/>
          <w:sz w:val="20"/>
          <w:szCs w:val="20"/>
        </w:rPr>
      </w:pPr>
    </w:p>
    <w:p w14:paraId="53B504FA" w14:textId="3597B54A" w:rsidR="00F415C0" w:rsidRPr="00F415C0" w:rsidRDefault="00802BCB" w:rsidP="00F415C0">
      <w:pPr>
        <w:widowControl w:val="0"/>
        <w:autoSpaceDE w:val="0"/>
        <w:autoSpaceDN w:val="0"/>
        <w:adjustRightInd w:val="0"/>
        <w:spacing w:line="240" w:lineRule="auto"/>
        <w:ind w:left="480" w:hanging="480"/>
        <w:rPr>
          <w:rFonts w:ascii="Garamond" w:hAnsi="Garamond" w:cs="Times New Roman"/>
          <w:noProof/>
          <w:sz w:val="20"/>
          <w:szCs w:val="24"/>
        </w:rPr>
      </w:pPr>
      <w:r w:rsidRPr="00D4703B">
        <w:rPr>
          <w:rFonts w:ascii="Garamond" w:hAnsi="Garamond"/>
          <w:sz w:val="20"/>
          <w:szCs w:val="20"/>
          <w:lang w:val="en-US"/>
        </w:rPr>
        <w:fldChar w:fldCharType="begin" w:fldLock="1"/>
      </w:r>
      <w:r w:rsidRPr="006543DB">
        <w:rPr>
          <w:rFonts w:ascii="Garamond" w:hAnsi="Garamond"/>
          <w:sz w:val="20"/>
          <w:szCs w:val="20"/>
        </w:rPr>
        <w:instrText xml:space="preserve">ADDIN Mendeley Bibliography CSL_BIBLIOGRAPHY </w:instrText>
      </w:r>
      <w:r w:rsidRPr="00D4703B">
        <w:rPr>
          <w:rFonts w:ascii="Garamond" w:hAnsi="Garamond"/>
          <w:sz w:val="20"/>
          <w:szCs w:val="20"/>
          <w:lang w:val="en-US"/>
        </w:rPr>
        <w:fldChar w:fldCharType="separate"/>
      </w:r>
      <w:r w:rsidR="00F415C0" w:rsidRPr="00F415C0">
        <w:rPr>
          <w:rFonts w:ascii="Garamond" w:hAnsi="Garamond" w:cs="Times New Roman"/>
          <w:noProof/>
          <w:sz w:val="20"/>
          <w:szCs w:val="24"/>
        </w:rPr>
        <w:t xml:space="preserve">Addamo, A.M., Vertino, A., Stolarski, J., García-Jiménez, R., Taviani, M., Machordom, A., 2016. </w:t>
      </w:r>
      <w:r w:rsidR="00F415C0" w:rsidRPr="00A715DB">
        <w:rPr>
          <w:rFonts w:ascii="Garamond" w:hAnsi="Garamond" w:cs="Times New Roman"/>
          <w:noProof/>
          <w:sz w:val="20"/>
          <w:szCs w:val="24"/>
          <w:lang w:val="en-US"/>
        </w:rPr>
        <w:t xml:space="preserve">Merging scleractinian genera: the overwhelming genetic similarity between solitary </w:t>
      </w:r>
      <w:r w:rsidR="00F415C0" w:rsidRPr="00A715DB">
        <w:rPr>
          <w:rFonts w:ascii="Garamond" w:hAnsi="Garamond" w:cs="Times New Roman"/>
          <w:i/>
          <w:noProof/>
          <w:sz w:val="20"/>
          <w:szCs w:val="24"/>
          <w:lang w:val="en-US"/>
        </w:rPr>
        <w:t>Desmophyllum</w:t>
      </w:r>
      <w:r w:rsidR="00F415C0" w:rsidRPr="00A715DB">
        <w:rPr>
          <w:rFonts w:ascii="Garamond" w:hAnsi="Garamond" w:cs="Times New Roman"/>
          <w:noProof/>
          <w:sz w:val="20"/>
          <w:szCs w:val="24"/>
          <w:lang w:val="en-US"/>
        </w:rPr>
        <w:t xml:space="preserve"> and colonial </w:t>
      </w:r>
      <w:r w:rsidR="00F415C0" w:rsidRPr="00A715DB">
        <w:rPr>
          <w:rFonts w:ascii="Garamond" w:hAnsi="Garamond" w:cs="Times New Roman"/>
          <w:i/>
          <w:noProof/>
          <w:sz w:val="20"/>
          <w:szCs w:val="24"/>
          <w:lang w:val="en-US"/>
        </w:rPr>
        <w:t>Lophelia</w:t>
      </w:r>
      <w:r w:rsidR="00F415C0" w:rsidRPr="00A715DB">
        <w:rPr>
          <w:rFonts w:ascii="Garamond" w:hAnsi="Garamond" w:cs="Times New Roman"/>
          <w:noProof/>
          <w:sz w:val="20"/>
          <w:szCs w:val="24"/>
          <w:lang w:val="en-US"/>
        </w:rPr>
        <w:t xml:space="preserve">. </w:t>
      </w:r>
      <w:r w:rsidR="00F415C0" w:rsidRPr="00F415C0">
        <w:rPr>
          <w:rFonts w:ascii="Garamond" w:hAnsi="Garamond" w:cs="Times New Roman"/>
          <w:noProof/>
          <w:sz w:val="20"/>
          <w:szCs w:val="24"/>
        </w:rPr>
        <w:t>BMC Evol. Biol. 16, 108. https://doi.org/10.1186/s12862-016-0654-8</w:t>
      </w:r>
    </w:p>
    <w:p w14:paraId="628CC6C1" w14:textId="77777777" w:rsidR="00F415C0" w:rsidRPr="00A715DB" w:rsidRDefault="00F415C0" w:rsidP="00F415C0">
      <w:pPr>
        <w:widowControl w:val="0"/>
        <w:autoSpaceDE w:val="0"/>
        <w:autoSpaceDN w:val="0"/>
        <w:adjustRightInd w:val="0"/>
        <w:spacing w:line="240" w:lineRule="auto"/>
        <w:ind w:left="480" w:hanging="480"/>
        <w:rPr>
          <w:rFonts w:ascii="Garamond" w:hAnsi="Garamond" w:cs="Times New Roman"/>
          <w:noProof/>
          <w:sz w:val="20"/>
          <w:szCs w:val="24"/>
          <w:lang w:val="en-US"/>
        </w:rPr>
      </w:pPr>
      <w:r w:rsidRPr="00F415C0">
        <w:rPr>
          <w:rFonts w:ascii="Garamond" w:hAnsi="Garamond" w:cs="Times New Roman"/>
          <w:noProof/>
          <w:sz w:val="20"/>
          <w:szCs w:val="24"/>
        </w:rPr>
        <w:t xml:space="preserve">Amorim, P., Perán, A.D., Pham, C.K., Juliano, M., Cardigos, F., Tempera, F., Morato, T., 2017. </w:t>
      </w:r>
      <w:r w:rsidRPr="00A715DB">
        <w:rPr>
          <w:rFonts w:ascii="Garamond" w:hAnsi="Garamond" w:cs="Times New Roman"/>
          <w:noProof/>
          <w:sz w:val="20"/>
          <w:szCs w:val="24"/>
          <w:lang w:val="en-US"/>
        </w:rPr>
        <w:t>Overview of the Ocean Climatology and Its Variability in the Azores Region of the North Atlantic Including Environmental Characteristics at the Seabed. Front. Mar. Sci. 4, 1–16. https://doi.org/10.3389/fmars.2017.00056</w:t>
      </w:r>
    </w:p>
    <w:p w14:paraId="4DB1D572" w14:textId="77777777" w:rsidR="00F415C0" w:rsidRPr="00F415C0" w:rsidRDefault="00F415C0" w:rsidP="00F415C0">
      <w:pPr>
        <w:widowControl w:val="0"/>
        <w:autoSpaceDE w:val="0"/>
        <w:autoSpaceDN w:val="0"/>
        <w:adjustRightInd w:val="0"/>
        <w:spacing w:line="240" w:lineRule="auto"/>
        <w:ind w:left="480" w:hanging="480"/>
        <w:rPr>
          <w:rFonts w:ascii="Garamond" w:hAnsi="Garamond" w:cs="Times New Roman"/>
          <w:noProof/>
          <w:sz w:val="20"/>
          <w:szCs w:val="24"/>
        </w:rPr>
      </w:pPr>
      <w:r w:rsidRPr="00A715DB">
        <w:rPr>
          <w:rFonts w:ascii="Garamond" w:hAnsi="Garamond" w:cs="Times New Roman"/>
          <w:noProof/>
          <w:sz w:val="20"/>
          <w:szCs w:val="24"/>
          <w:lang w:val="en-US"/>
        </w:rPr>
        <w:t xml:space="preserve">Böning, C.W., Behrens, E., Biastoch, A., Getzlaff, K., Bamber, J.L., 2016. Emerging impact of Greenland meltwater on deepwater formation in the North Atlantic Ocean. </w:t>
      </w:r>
      <w:r w:rsidRPr="00F415C0">
        <w:rPr>
          <w:rFonts w:ascii="Garamond" w:hAnsi="Garamond" w:cs="Times New Roman"/>
          <w:noProof/>
          <w:sz w:val="20"/>
          <w:szCs w:val="24"/>
        </w:rPr>
        <w:t>Nat. Geosci. 9, 523–527. https://doi.org/10.1038/ngeo2740</w:t>
      </w:r>
    </w:p>
    <w:p w14:paraId="3A564F81" w14:textId="77777777" w:rsidR="00F415C0" w:rsidRPr="00A715DB" w:rsidRDefault="00F415C0" w:rsidP="00F415C0">
      <w:pPr>
        <w:widowControl w:val="0"/>
        <w:autoSpaceDE w:val="0"/>
        <w:autoSpaceDN w:val="0"/>
        <w:adjustRightInd w:val="0"/>
        <w:spacing w:line="240" w:lineRule="auto"/>
        <w:ind w:left="480" w:hanging="480"/>
        <w:rPr>
          <w:rFonts w:ascii="Garamond" w:hAnsi="Garamond" w:cs="Times New Roman"/>
          <w:noProof/>
          <w:sz w:val="20"/>
          <w:szCs w:val="24"/>
          <w:lang w:val="en-US"/>
        </w:rPr>
      </w:pPr>
      <w:r w:rsidRPr="00F415C0">
        <w:rPr>
          <w:rFonts w:ascii="Garamond" w:hAnsi="Garamond" w:cs="Times New Roman"/>
          <w:noProof/>
          <w:sz w:val="20"/>
          <w:szCs w:val="24"/>
        </w:rPr>
        <w:t xml:space="preserve">Braga-Henriques, A., Porteiro, F.M., Ribeiro, P.A., de Matos, V., Sampaio, Í., Ocaña, O., Santos, R.S., 2013. </w:t>
      </w:r>
      <w:r w:rsidRPr="00A715DB">
        <w:rPr>
          <w:rFonts w:ascii="Garamond" w:hAnsi="Garamond" w:cs="Times New Roman"/>
          <w:noProof/>
          <w:sz w:val="20"/>
          <w:szCs w:val="24"/>
          <w:lang w:val="en-US"/>
        </w:rPr>
        <w:t>Diversity, distribution and spatial structure of the cold-water coral fauna of the Azores (NE Atlantic). Biogeosciences 10, 4009–4036. https://doi.org/10.5194/bg-10-4009-2013</w:t>
      </w:r>
    </w:p>
    <w:p w14:paraId="1C34E095" w14:textId="77777777" w:rsidR="00F415C0" w:rsidRPr="00A715DB" w:rsidRDefault="00F415C0" w:rsidP="00F415C0">
      <w:pPr>
        <w:widowControl w:val="0"/>
        <w:autoSpaceDE w:val="0"/>
        <w:autoSpaceDN w:val="0"/>
        <w:adjustRightInd w:val="0"/>
        <w:spacing w:line="240" w:lineRule="auto"/>
        <w:ind w:left="480" w:hanging="480"/>
        <w:rPr>
          <w:rFonts w:ascii="Garamond" w:hAnsi="Garamond" w:cs="Times New Roman"/>
          <w:noProof/>
          <w:sz w:val="20"/>
          <w:szCs w:val="24"/>
          <w:lang w:val="en-US"/>
        </w:rPr>
      </w:pPr>
      <w:r w:rsidRPr="00A715DB">
        <w:rPr>
          <w:rFonts w:ascii="Garamond" w:hAnsi="Garamond" w:cs="Times New Roman"/>
          <w:noProof/>
          <w:sz w:val="20"/>
          <w:szCs w:val="24"/>
          <w:lang w:val="en-US"/>
        </w:rPr>
        <w:t>Crotty, S.M., Altieri, A.H., Bruno, J.F., Fischman, H., Bertness, M.D., 2019. The Foundation for Building the Conservation Capacity of Community Ecology. Front. Mar. Sci. 6, 1–8. https://doi.org/10.3389/fmars.2019.00238</w:t>
      </w:r>
    </w:p>
    <w:p w14:paraId="33986A01" w14:textId="77777777" w:rsidR="00F415C0" w:rsidRPr="00A715DB" w:rsidRDefault="00F415C0" w:rsidP="00F415C0">
      <w:pPr>
        <w:widowControl w:val="0"/>
        <w:autoSpaceDE w:val="0"/>
        <w:autoSpaceDN w:val="0"/>
        <w:adjustRightInd w:val="0"/>
        <w:spacing w:line="240" w:lineRule="auto"/>
        <w:ind w:left="480" w:hanging="480"/>
        <w:rPr>
          <w:rFonts w:ascii="Garamond" w:hAnsi="Garamond" w:cs="Times New Roman"/>
          <w:noProof/>
          <w:sz w:val="20"/>
          <w:szCs w:val="24"/>
          <w:lang w:val="en-US"/>
        </w:rPr>
      </w:pPr>
      <w:r w:rsidRPr="00A715DB">
        <w:rPr>
          <w:rFonts w:ascii="Garamond" w:hAnsi="Garamond" w:cs="Times New Roman"/>
          <w:noProof/>
          <w:sz w:val="20"/>
          <w:szCs w:val="24"/>
          <w:lang w:val="en-US"/>
        </w:rPr>
        <w:t>EMODnet, 2018. EMODnet Digital Bathymetry (DTM 2018). https://doi.org/10.12770/18ff0d48-b203-4a65-94a9-5fd8b0ec35f6</w:t>
      </w:r>
    </w:p>
    <w:p w14:paraId="792772D7" w14:textId="77777777" w:rsidR="00F415C0" w:rsidRPr="00F415C0" w:rsidRDefault="00F415C0" w:rsidP="00F415C0">
      <w:pPr>
        <w:widowControl w:val="0"/>
        <w:autoSpaceDE w:val="0"/>
        <w:autoSpaceDN w:val="0"/>
        <w:adjustRightInd w:val="0"/>
        <w:spacing w:line="240" w:lineRule="auto"/>
        <w:ind w:left="480" w:hanging="480"/>
        <w:rPr>
          <w:rFonts w:ascii="Garamond" w:hAnsi="Garamond" w:cs="Times New Roman"/>
          <w:noProof/>
          <w:sz w:val="20"/>
          <w:szCs w:val="24"/>
        </w:rPr>
      </w:pPr>
      <w:r w:rsidRPr="00F415C0">
        <w:rPr>
          <w:rFonts w:ascii="Garamond" w:hAnsi="Garamond" w:cs="Times New Roman"/>
          <w:noProof/>
          <w:sz w:val="20"/>
          <w:szCs w:val="24"/>
        </w:rPr>
        <w:t xml:space="preserve">Sampaio, Í., Freiwald, A., Porteiro, F.M., Menezes, G., Carreiro-Silva, M., 2019. </w:t>
      </w:r>
      <w:r w:rsidRPr="00A715DB">
        <w:rPr>
          <w:rFonts w:ascii="Garamond" w:hAnsi="Garamond" w:cs="Times New Roman"/>
          <w:noProof/>
          <w:sz w:val="20"/>
          <w:szCs w:val="24"/>
          <w:lang w:val="en-US"/>
        </w:rPr>
        <w:t xml:space="preserve">Census of octocorallia (cnidaria: Anthozoa) of the azores (NE atlantic) with a nomenclature update. </w:t>
      </w:r>
      <w:r w:rsidRPr="00F415C0">
        <w:rPr>
          <w:rFonts w:ascii="Garamond" w:hAnsi="Garamond" w:cs="Times New Roman"/>
          <w:noProof/>
          <w:sz w:val="20"/>
          <w:szCs w:val="24"/>
        </w:rPr>
        <w:t>Zootaxa 4550, 451–498. https://doi.org/10.11646/zootaxa.4550.4.1</w:t>
      </w:r>
    </w:p>
    <w:p w14:paraId="796D9112" w14:textId="77777777" w:rsidR="00F415C0" w:rsidRPr="00F415C0" w:rsidRDefault="00F415C0" w:rsidP="00F415C0">
      <w:pPr>
        <w:widowControl w:val="0"/>
        <w:autoSpaceDE w:val="0"/>
        <w:autoSpaceDN w:val="0"/>
        <w:adjustRightInd w:val="0"/>
        <w:spacing w:line="240" w:lineRule="auto"/>
        <w:ind w:left="480" w:hanging="480"/>
        <w:rPr>
          <w:rFonts w:ascii="Garamond" w:hAnsi="Garamond" w:cs="Times New Roman"/>
          <w:noProof/>
          <w:sz w:val="20"/>
          <w:szCs w:val="24"/>
        </w:rPr>
      </w:pPr>
      <w:r w:rsidRPr="00F415C0">
        <w:rPr>
          <w:rFonts w:ascii="Garamond" w:hAnsi="Garamond" w:cs="Times New Roman"/>
          <w:noProof/>
          <w:sz w:val="20"/>
          <w:szCs w:val="24"/>
        </w:rPr>
        <w:t xml:space="preserve">Walbridge, S., Slocum, N., Pobuda, M., Wright, D., 2018. </w:t>
      </w:r>
      <w:r w:rsidRPr="00A715DB">
        <w:rPr>
          <w:rFonts w:ascii="Garamond" w:hAnsi="Garamond" w:cs="Times New Roman"/>
          <w:noProof/>
          <w:sz w:val="20"/>
          <w:szCs w:val="24"/>
          <w:lang w:val="en-US"/>
        </w:rPr>
        <w:t xml:space="preserve">Unified Geomorphological Analysis Workflows with Benthic Terrain Modeler. </w:t>
      </w:r>
      <w:r w:rsidRPr="00F415C0">
        <w:rPr>
          <w:rFonts w:ascii="Garamond" w:hAnsi="Garamond" w:cs="Times New Roman"/>
          <w:noProof/>
          <w:sz w:val="20"/>
          <w:szCs w:val="24"/>
        </w:rPr>
        <w:t>Geosciences 8, 94. https://doi.org/10.3390/geosciences8030094</w:t>
      </w:r>
    </w:p>
    <w:p w14:paraId="7B636030" w14:textId="77777777" w:rsidR="00F415C0" w:rsidRPr="00A715DB" w:rsidRDefault="00F415C0" w:rsidP="00F415C0">
      <w:pPr>
        <w:widowControl w:val="0"/>
        <w:autoSpaceDE w:val="0"/>
        <w:autoSpaceDN w:val="0"/>
        <w:adjustRightInd w:val="0"/>
        <w:spacing w:line="240" w:lineRule="auto"/>
        <w:ind w:left="480" w:hanging="480"/>
        <w:rPr>
          <w:rFonts w:ascii="Garamond" w:hAnsi="Garamond"/>
          <w:noProof/>
          <w:sz w:val="20"/>
          <w:lang w:val="en-US"/>
        </w:rPr>
      </w:pPr>
      <w:r w:rsidRPr="00F415C0">
        <w:rPr>
          <w:rFonts w:ascii="Garamond" w:hAnsi="Garamond" w:cs="Times New Roman"/>
          <w:noProof/>
          <w:sz w:val="20"/>
          <w:szCs w:val="24"/>
        </w:rPr>
        <w:t xml:space="preserve">Wei, C.-L., González‐Irusta, J., Dominguez‐Carrió, C., Morato, T., 2020. </w:t>
      </w:r>
      <w:r w:rsidRPr="00A715DB">
        <w:rPr>
          <w:rFonts w:ascii="Garamond" w:hAnsi="Garamond" w:cs="Times New Roman"/>
          <w:noProof/>
          <w:sz w:val="20"/>
          <w:szCs w:val="24"/>
          <w:lang w:val="en-US"/>
        </w:rPr>
        <w:t>Set of terrain (static in time) and environmental (dynamic in time) variables used as candidate predictors of present-day (1951-2000) and future (2081-2100) suitable habitat of cold-water corals and deep-sea fishes in the North Atlantic, PANGEA. https://doi.org/10.1594/PANGAEA.911117</w:t>
      </w:r>
    </w:p>
    <w:p w14:paraId="2491A0D7" w14:textId="77777777" w:rsidR="00802BCB" w:rsidRPr="00C652B3" w:rsidRDefault="00802BCB" w:rsidP="00802BCB">
      <w:pPr>
        <w:rPr>
          <w:lang w:val="en-US"/>
        </w:rPr>
      </w:pPr>
      <w:r w:rsidRPr="00D4703B">
        <w:rPr>
          <w:rFonts w:ascii="Garamond" w:hAnsi="Garamond"/>
          <w:sz w:val="20"/>
          <w:szCs w:val="20"/>
          <w:lang w:val="en-US"/>
        </w:rPr>
        <w:fldChar w:fldCharType="end"/>
      </w:r>
    </w:p>
    <w:p w14:paraId="01D41AB9" w14:textId="77777777" w:rsidR="0021116D" w:rsidRPr="00146BC3" w:rsidRDefault="0021116D">
      <w:pPr>
        <w:rPr>
          <w:lang w:val="en-US"/>
        </w:rPr>
      </w:pPr>
    </w:p>
    <w:sectPr w:rsidR="0021116D" w:rsidRPr="00146BC3" w:rsidSect="00987EF3">
      <w:pgSz w:w="11906" w:h="16838"/>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1608585" w14:textId="77777777" w:rsidR="00731F2B" w:rsidRDefault="00731F2B">
      <w:pPr>
        <w:spacing w:after="0" w:line="240" w:lineRule="auto"/>
      </w:pPr>
      <w:r>
        <w:separator/>
      </w:r>
    </w:p>
  </w:endnote>
  <w:endnote w:type="continuationSeparator" w:id="0">
    <w:p w14:paraId="591D1D3D" w14:textId="77777777" w:rsidR="00731F2B" w:rsidRDefault="00731F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Garamond" w:hAnsi="Garamond"/>
        <w:sz w:val="20"/>
        <w:szCs w:val="20"/>
      </w:rPr>
      <w:id w:val="2116555344"/>
      <w:docPartObj>
        <w:docPartGallery w:val="Page Numbers (Bottom of Page)"/>
        <w:docPartUnique/>
      </w:docPartObj>
    </w:sdtPr>
    <w:sdtEndPr>
      <w:rPr>
        <w:noProof/>
      </w:rPr>
    </w:sdtEndPr>
    <w:sdtContent>
      <w:p w14:paraId="75DE1CD6" w14:textId="09274E9B" w:rsidR="002040D9" w:rsidRPr="008F56BA" w:rsidRDefault="00802BCB">
        <w:pPr>
          <w:pStyle w:val="Footer"/>
          <w:jc w:val="center"/>
          <w:rPr>
            <w:rFonts w:ascii="Garamond" w:hAnsi="Garamond"/>
            <w:sz w:val="20"/>
            <w:szCs w:val="20"/>
          </w:rPr>
        </w:pPr>
        <w:r w:rsidRPr="008F56BA">
          <w:rPr>
            <w:rFonts w:ascii="Garamond" w:hAnsi="Garamond"/>
            <w:sz w:val="20"/>
            <w:szCs w:val="20"/>
          </w:rPr>
          <w:fldChar w:fldCharType="begin"/>
        </w:r>
        <w:r w:rsidRPr="008F56BA">
          <w:rPr>
            <w:rFonts w:ascii="Garamond" w:hAnsi="Garamond"/>
            <w:sz w:val="20"/>
            <w:szCs w:val="20"/>
          </w:rPr>
          <w:instrText xml:space="preserve"> PAGE   \* MERGEFORMAT </w:instrText>
        </w:r>
        <w:r w:rsidRPr="008F56BA">
          <w:rPr>
            <w:rFonts w:ascii="Garamond" w:hAnsi="Garamond"/>
            <w:sz w:val="20"/>
            <w:szCs w:val="20"/>
          </w:rPr>
          <w:fldChar w:fldCharType="separate"/>
        </w:r>
        <w:r w:rsidR="002F4D80">
          <w:rPr>
            <w:rFonts w:ascii="Garamond" w:hAnsi="Garamond"/>
            <w:noProof/>
            <w:sz w:val="20"/>
            <w:szCs w:val="20"/>
          </w:rPr>
          <w:t>1</w:t>
        </w:r>
        <w:r w:rsidRPr="008F56BA">
          <w:rPr>
            <w:rFonts w:ascii="Garamond" w:hAnsi="Garamond"/>
            <w:noProof/>
            <w:sz w:val="20"/>
            <w:szCs w:val="20"/>
          </w:rPr>
          <w:fldChar w:fldCharType="end"/>
        </w:r>
      </w:p>
    </w:sdtContent>
  </w:sdt>
  <w:p w14:paraId="65052BE3" w14:textId="77777777" w:rsidR="002040D9" w:rsidRDefault="00731F2B">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CB41A9" w14:textId="77777777" w:rsidR="00731F2B" w:rsidRDefault="00731F2B">
      <w:pPr>
        <w:spacing w:after="0" w:line="240" w:lineRule="auto"/>
      </w:pPr>
      <w:r>
        <w:separator/>
      </w:r>
    </w:p>
  </w:footnote>
  <w:footnote w:type="continuationSeparator" w:id="0">
    <w:p w14:paraId="4693084A" w14:textId="77777777" w:rsidR="00731F2B" w:rsidRDefault="00731F2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2BCB"/>
    <w:rsid w:val="00001C5C"/>
    <w:rsid w:val="00011054"/>
    <w:rsid w:val="000130A1"/>
    <w:rsid w:val="00024F54"/>
    <w:rsid w:val="00060CA1"/>
    <w:rsid w:val="000666FB"/>
    <w:rsid w:val="00083071"/>
    <w:rsid w:val="00092699"/>
    <w:rsid w:val="000A116F"/>
    <w:rsid w:val="000A2119"/>
    <w:rsid w:val="000A602E"/>
    <w:rsid w:val="000C400E"/>
    <w:rsid w:val="000E3FB9"/>
    <w:rsid w:val="000E5980"/>
    <w:rsid w:val="000F623D"/>
    <w:rsid w:val="000F73F6"/>
    <w:rsid w:val="00100F41"/>
    <w:rsid w:val="0010784F"/>
    <w:rsid w:val="00123CD4"/>
    <w:rsid w:val="00144388"/>
    <w:rsid w:val="00146BC3"/>
    <w:rsid w:val="00150E8F"/>
    <w:rsid w:val="001548CF"/>
    <w:rsid w:val="00155081"/>
    <w:rsid w:val="00172D4C"/>
    <w:rsid w:val="00186122"/>
    <w:rsid w:val="001A0A88"/>
    <w:rsid w:val="001A66DD"/>
    <w:rsid w:val="001B38AE"/>
    <w:rsid w:val="001C497C"/>
    <w:rsid w:val="001D0CDF"/>
    <w:rsid w:val="001D2ADD"/>
    <w:rsid w:val="001F1920"/>
    <w:rsid w:val="001F6C6D"/>
    <w:rsid w:val="00203587"/>
    <w:rsid w:val="0021116D"/>
    <w:rsid w:val="00223F14"/>
    <w:rsid w:val="00223F16"/>
    <w:rsid w:val="00227B9A"/>
    <w:rsid w:val="00240135"/>
    <w:rsid w:val="002420C1"/>
    <w:rsid w:val="00252F02"/>
    <w:rsid w:val="00255098"/>
    <w:rsid w:val="00255104"/>
    <w:rsid w:val="00260F7A"/>
    <w:rsid w:val="00287D3C"/>
    <w:rsid w:val="0029136D"/>
    <w:rsid w:val="00292691"/>
    <w:rsid w:val="002D1370"/>
    <w:rsid w:val="002D42DE"/>
    <w:rsid w:val="002E7B7F"/>
    <w:rsid w:val="002E7C30"/>
    <w:rsid w:val="002F4D80"/>
    <w:rsid w:val="002F6FDE"/>
    <w:rsid w:val="002F7064"/>
    <w:rsid w:val="00306029"/>
    <w:rsid w:val="00320DBF"/>
    <w:rsid w:val="00323EAA"/>
    <w:rsid w:val="0032576C"/>
    <w:rsid w:val="00326D50"/>
    <w:rsid w:val="00330CA2"/>
    <w:rsid w:val="0033692B"/>
    <w:rsid w:val="0035103C"/>
    <w:rsid w:val="003547C8"/>
    <w:rsid w:val="00354E52"/>
    <w:rsid w:val="00373C9F"/>
    <w:rsid w:val="003830AA"/>
    <w:rsid w:val="0039573A"/>
    <w:rsid w:val="003A0EA1"/>
    <w:rsid w:val="003A26E1"/>
    <w:rsid w:val="003B0609"/>
    <w:rsid w:val="003B5C66"/>
    <w:rsid w:val="003E200B"/>
    <w:rsid w:val="003E34A7"/>
    <w:rsid w:val="003F573A"/>
    <w:rsid w:val="00400742"/>
    <w:rsid w:val="00406C56"/>
    <w:rsid w:val="00410065"/>
    <w:rsid w:val="004274F4"/>
    <w:rsid w:val="00432161"/>
    <w:rsid w:val="00456A64"/>
    <w:rsid w:val="00461EC1"/>
    <w:rsid w:val="00463A8B"/>
    <w:rsid w:val="0047129C"/>
    <w:rsid w:val="004818F1"/>
    <w:rsid w:val="00497DBD"/>
    <w:rsid w:val="004A4239"/>
    <w:rsid w:val="004B71F2"/>
    <w:rsid w:val="004C3BD2"/>
    <w:rsid w:val="004D0407"/>
    <w:rsid w:val="004E70C6"/>
    <w:rsid w:val="004F009D"/>
    <w:rsid w:val="004F4AAD"/>
    <w:rsid w:val="004F625E"/>
    <w:rsid w:val="00520C11"/>
    <w:rsid w:val="00525B5A"/>
    <w:rsid w:val="00532CBE"/>
    <w:rsid w:val="005436D3"/>
    <w:rsid w:val="00553F5A"/>
    <w:rsid w:val="0056148B"/>
    <w:rsid w:val="00585AEA"/>
    <w:rsid w:val="00585D51"/>
    <w:rsid w:val="005A34D1"/>
    <w:rsid w:val="005A5379"/>
    <w:rsid w:val="005A68A5"/>
    <w:rsid w:val="005B710F"/>
    <w:rsid w:val="005C261B"/>
    <w:rsid w:val="005D0629"/>
    <w:rsid w:val="005E4E50"/>
    <w:rsid w:val="005F3DE6"/>
    <w:rsid w:val="005F43F2"/>
    <w:rsid w:val="006122DE"/>
    <w:rsid w:val="006164E2"/>
    <w:rsid w:val="0062673A"/>
    <w:rsid w:val="00630A21"/>
    <w:rsid w:val="00633B8D"/>
    <w:rsid w:val="00633D9A"/>
    <w:rsid w:val="006436DA"/>
    <w:rsid w:val="00646D20"/>
    <w:rsid w:val="00646E56"/>
    <w:rsid w:val="00653664"/>
    <w:rsid w:val="006543DB"/>
    <w:rsid w:val="006559A2"/>
    <w:rsid w:val="00666717"/>
    <w:rsid w:val="00667D67"/>
    <w:rsid w:val="006851A5"/>
    <w:rsid w:val="00686754"/>
    <w:rsid w:val="00692611"/>
    <w:rsid w:val="0069428D"/>
    <w:rsid w:val="00697138"/>
    <w:rsid w:val="006A0B5C"/>
    <w:rsid w:val="006A1B17"/>
    <w:rsid w:val="006A51DB"/>
    <w:rsid w:val="006A54BD"/>
    <w:rsid w:val="006C4CD3"/>
    <w:rsid w:val="006D4469"/>
    <w:rsid w:val="006F59E8"/>
    <w:rsid w:val="006F71DF"/>
    <w:rsid w:val="00705856"/>
    <w:rsid w:val="0070671D"/>
    <w:rsid w:val="00731F2B"/>
    <w:rsid w:val="00735716"/>
    <w:rsid w:val="007453AA"/>
    <w:rsid w:val="00755C31"/>
    <w:rsid w:val="0075727B"/>
    <w:rsid w:val="00771033"/>
    <w:rsid w:val="00774DDB"/>
    <w:rsid w:val="00776DB2"/>
    <w:rsid w:val="007A7117"/>
    <w:rsid w:val="007B3331"/>
    <w:rsid w:val="007C114B"/>
    <w:rsid w:val="007C3EDD"/>
    <w:rsid w:val="007D3273"/>
    <w:rsid w:val="007D5227"/>
    <w:rsid w:val="007E2C08"/>
    <w:rsid w:val="00802BCB"/>
    <w:rsid w:val="008033F8"/>
    <w:rsid w:val="00806C29"/>
    <w:rsid w:val="0082489A"/>
    <w:rsid w:val="00835680"/>
    <w:rsid w:val="008430BD"/>
    <w:rsid w:val="00845E0B"/>
    <w:rsid w:val="008503EC"/>
    <w:rsid w:val="008560FB"/>
    <w:rsid w:val="00864201"/>
    <w:rsid w:val="008663AC"/>
    <w:rsid w:val="008854F6"/>
    <w:rsid w:val="00885D7E"/>
    <w:rsid w:val="0089002C"/>
    <w:rsid w:val="00892BDD"/>
    <w:rsid w:val="00893932"/>
    <w:rsid w:val="00895158"/>
    <w:rsid w:val="008A7BE4"/>
    <w:rsid w:val="008C549D"/>
    <w:rsid w:val="008D59B6"/>
    <w:rsid w:val="008D730A"/>
    <w:rsid w:val="008F3D9C"/>
    <w:rsid w:val="009023EC"/>
    <w:rsid w:val="0092300C"/>
    <w:rsid w:val="00925F40"/>
    <w:rsid w:val="00935329"/>
    <w:rsid w:val="00937B94"/>
    <w:rsid w:val="00952EC2"/>
    <w:rsid w:val="00953D1C"/>
    <w:rsid w:val="00995BB1"/>
    <w:rsid w:val="009B4589"/>
    <w:rsid w:val="009B652C"/>
    <w:rsid w:val="009D17F2"/>
    <w:rsid w:val="009D3257"/>
    <w:rsid w:val="009D5C05"/>
    <w:rsid w:val="009F29DA"/>
    <w:rsid w:val="009F4075"/>
    <w:rsid w:val="009F483F"/>
    <w:rsid w:val="009F4B0F"/>
    <w:rsid w:val="00A07125"/>
    <w:rsid w:val="00A10DD6"/>
    <w:rsid w:val="00A132EE"/>
    <w:rsid w:val="00A17BB2"/>
    <w:rsid w:val="00A20442"/>
    <w:rsid w:val="00A218FA"/>
    <w:rsid w:val="00A2754D"/>
    <w:rsid w:val="00A3017E"/>
    <w:rsid w:val="00A34179"/>
    <w:rsid w:val="00A430A0"/>
    <w:rsid w:val="00A4780F"/>
    <w:rsid w:val="00A50500"/>
    <w:rsid w:val="00A55BAE"/>
    <w:rsid w:val="00A619CA"/>
    <w:rsid w:val="00A715DB"/>
    <w:rsid w:val="00A93628"/>
    <w:rsid w:val="00A94CD8"/>
    <w:rsid w:val="00AA51E6"/>
    <w:rsid w:val="00AA5DD7"/>
    <w:rsid w:val="00AA733E"/>
    <w:rsid w:val="00AB12D7"/>
    <w:rsid w:val="00AD1382"/>
    <w:rsid w:val="00AD2383"/>
    <w:rsid w:val="00AD4194"/>
    <w:rsid w:val="00AD7FBC"/>
    <w:rsid w:val="00AE04E4"/>
    <w:rsid w:val="00B01D3D"/>
    <w:rsid w:val="00B14A92"/>
    <w:rsid w:val="00B22DDC"/>
    <w:rsid w:val="00B2406A"/>
    <w:rsid w:val="00B262EE"/>
    <w:rsid w:val="00B338EE"/>
    <w:rsid w:val="00B42267"/>
    <w:rsid w:val="00B5542F"/>
    <w:rsid w:val="00B55C12"/>
    <w:rsid w:val="00B60BC0"/>
    <w:rsid w:val="00B64419"/>
    <w:rsid w:val="00B64C86"/>
    <w:rsid w:val="00B716A3"/>
    <w:rsid w:val="00B718FC"/>
    <w:rsid w:val="00B842FD"/>
    <w:rsid w:val="00BA1FD7"/>
    <w:rsid w:val="00BA6128"/>
    <w:rsid w:val="00BB08D4"/>
    <w:rsid w:val="00BB4737"/>
    <w:rsid w:val="00BB4A41"/>
    <w:rsid w:val="00BC00BD"/>
    <w:rsid w:val="00BC5559"/>
    <w:rsid w:val="00BD58EB"/>
    <w:rsid w:val="00BF1182"/>
    <w:rsid w:val="00BF2C86"/>
    <w:rsid w:val="00C355A3"/>
    <w:rsid w:val="00C37CFA"/>
    <w:rsid w:val="00C44BD7"/>
    <w:rsid w:val="00C454C9"/>
    <w:rsid w:val="00C456AF"/>
    <w:rsid w:val="00C4571D"/>
    <w:rsid w:val="00C549F8"/>
    <w:rsid w:val="00C628FD"/>
    <w:rsid w:val="00C70393"/>
    <w:rsid w:val="00C75865"/>
    <w:rsid w:val="00C764BA"/>
    <w:rsid w:val="00C82E7F"/>
    <w:rsid w:val="00C909C3"/>
    <w:rsid w:val="00C9365D"/>
    <w:rsid w:val="00CA67FC"/>
    <w:rsid w:val="00CB5AE3"/>
    <w:rsid w:val="00CB6975"/>
    <w:rsid w:val="00CC7285"/>
    <w:rsid w:val="00CD5967"/>
    <w:rsid w:val="00D03318"/>
    <w:rsid w:val="00D06991"/>
    <w:rsid w:val="00D3389E"/>
    <w:rsid w:val="00D949C5"/>
    <w:rsid w:val="00D94C85"/>
    <w:rsid w:val="00D96444"/>
    <w:rsid w:val="00DC208A"/>
    <w:rsid w:val="00DD22DC"/>
    <w:rsid w:val="00DD3CE1"/>
    <w:rsid w:val="00DE28F4"/>
    <w:rsid w:val="00DF1AB3"/>
    <w:rsid w:val="00E1469A"/>
    <w:rsid w:val="00E22F04"/>
    <w:rsid w:val="00E24E35"/>
    <w:rsid w:val="00E2798F"/>
    <w:rsid w:val="00E27C21"/>
    <w:rsid w:val="00E34C51"/>
    <w:rsid w:val="00E36067"/>
    <w:rsid w:val="00E577B4"/>
    <w:rsid w:val="00E653EB"/>
    <w:rsid w:val="00E71B07"/>
    <w:rsid w:val="00E73F50"/>
    <w:rsid w:val="00E758EF"/>
    <w:rsid w:val="00E75A57"/>
    <w:rsid w:val="00E75DD0"/>
    <w:rsid w:val="00E94B29"/>
    <w:rsid w:val="00EA0877"/>
    <w:rsid w:val="00EB2C0D"/>
    <w:rsid w:val="00EC29EA"/>
    <w:rsid w:val="00EC7604"/>
    <w:rsid w:val="00ED37F5"/>
    <w:rsid w:val="00EE69DF"/>
    <w:rsid w:val="00EF0198"/>
    <w:rsid w:val="00F160BC"/>
    <w:rsid w:val="00F23CF5"/>
    <w:rsid w:val="00F415C0"/>
    <w:rsid w:val="00F415FF"/>
    <w:rsid w:val="00F4736C"/>
    <w:rsid w:val="00F55204"/>
    <w:rsid w:val="00F652EB"/>
    <w:rsid w:val="00F74203"/>
    <w:rsid w:val="00F75563"/>
    <w:rsid w:val="00F75B80"/>
    <w:rsid w:val="00F920CE"/>
    <w:rsid w:val="00F96960"/>
    <w:rsid w:val="00FA24D2"/>
    <w:rsid w:val="00FC0C88"/>
    <w:rsid w:val="00FD0FBA"/>
    <w:rsid w:val="00FE6A3E"/>
    <w:rsid w:val="00FF3723"/>
    <w:rsid w:val="00FF3D42"/>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5F61FBE"/>
  <w15:chartTrackingRefBased/>
  <w15:docId w15:val="{5623AE51-D9CC-43CB-AB5B-CEAD625A06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t-P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02BCB"/>
  </w:style>
  <w:style w:type="paragraph" w:styleId="Heading1">
    <w:name w:val="heading 1"/>
    <w:basedOn w:val="Normal"/>
    <w:next w:val="Normal"/>
    <w:link w:val="Heading1Char"/>
    <w:uiPriority w:val="9"/>
    <w:qFormat/>
    <w:rsid w:val="00802BCB"/>
    <w:pPr>
      <w:keepNext/>
      <w:keepLines/>
      <w:spacing w:before="240" w:after="0"/>
      <w:outlineLvl w:val="0"/>
    </w:pPr>
    <w:rPr>
      <w:rFonts w:ascii="Garamond" w:eastAsiaTheme="majorEastAsia" w:hAnsi="Garamond" w:cstheme="majorBidi"/>
      <w:sz w:val="24"/>
      <w:szCs w:val="32"/>
    </w:rPr>
  </w:style>
  <w:style w:type="paragraph" w:styleId="Heading2">
    <w:name w:val="heading 2"/>
    <w:basedOn w:val="Normal"/>
    <w:next w:val="Normal"/>
    <w:link w:val="Heading2Char"/>
    <w:uiPriority w:val="9"/>
    <w:unhideWhenUsed/>
    <w:qFormat/>
    <w:rsid w:val="00802BCB"/>
    <w:pPr>
      <w:keepNext/>
      <w:keepLines/>
      <w:spacing w:before="40" w:after="0"/>
      <w:outlineLvl w:val="1"/>
    </w:pPr>
    <w:rPr>
      <w:rFonts w:ascii="Garamond" w:eastAsiaTheme="majorEastAsia" w:hAnsi="Garamond" w:cstheme="majorBidi"/>
      <w:color w:val="000000" w:themeColor="text1"/>
      <w:sz w:val="20"/>
      <w:szCs w:val="26"/>
    </w:rPr>
  </w:style>
  <w:style w:type="paragraph" w:styleId="Heading3">
    <w:name w:val="heading 3"/>
    <w:basedOn w:val="Normal"/>
    <w:next w:val="Normal"/>
    <w:link w:val="Heading3Char"/>
    <w:uiPriority w:val="9"/>
    <w:unhideWhenUsed/>
    <w:qFormat/>
    <w:rsid w:val="00802BC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802BCB"/>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02BCB"/>
    <w:rPr>
      <w:rFonts w:ascii="Garamond" w:eastAsiaTheme="majorEastAsia" w:hAnsi="Garamond" w:cstheme="majorBidi"/>
      <w:sz w:val="24"/>
      <w:szCs w:val="32"/>
    </w:rPr>
  </w:style>
  <w:style w:type="character" w:customStyle="1" w:styleId="Heading2Char">
    <w:name w:val="Heading 2 Char"/>
    <w:basedOn w:val="DefaultParagraphFont"/>
    <w:link w:val="Heading2"/>
    <w:uiPriority w:val="9"/>
    <w:rsid w:val="00802BCB"/>
    <w:rPr>
      <w:rFonts w:ascii="Garamond" w:eastAsiaTheme="majorEastAsia" w:hAnsi="Garamond" w:cstheme="majorBidi"/>
      <w:color w:val="000000" w:themeColor="text1"/>
      <w:sz w:val="20"/>
      <w:szCs w:val="26"/>
    </w:rPr>
  </w:style>
  <w:style w:type="character" w:customStyle="1" w:styleId="Heading3Char">
    <w:name w:val="Heading 3 Char"/>
    <w:basedOn w:val="DefaultParagraphFont"/>
    <w:link w:val="Heading3"/>
    <w:uiPriority w:val="9"/>
    <w:rsid w:val="00802BCB"/>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sid w:val="00802BCB"/>
    <w:rPr>
      <w:rFonts w:asciiTheme="majorHAnsi" w:eastAsiaTheme="majorEastAsia" w:hAnsiTheme="majorHAnsi" w:cstheme="majorBidi"/>
      <w:i/>
      <w:iCs/>
      <w:color w:val="2E74B5" w:themeColor="accent1" w:themeShade="BF"/>
    </w:rPr>
  </w:style>
  <w:style w:type="table" w:styleId="TableGrid">
    <w:name w:val="Table Grid"/>
    <w:basedOn w:val="TableNormal"/>
    <w:uiPriority w:val="59"/>
    <w:rsid w:val="00802BCB"/>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02BCB"/>
    <w:pPr>
      <w:spacing w:after="200" w:line="240" w:lineRule="auto"/>
    </w:pPr>
    <w:rPr>
      <w:rFonts w:ascii="Garamond" w:hAnsi="Garamond"/>
      <w:b/>
      <w:iCs/>
      <w:sz w:val="18"/>
      <w:szCs w:val="18"/>
      <w:lang w:val="en-GB"/>
    </w:rPr>
  </w:style>
  <w:style w:type="paragraph" w:styleId="BalloonText">
    <w:name w:val="Balloon Text"/>
    <w:basedOn w:val="Normal"/>
    <w:link w:val="BalloonTextChar"/>
    <w:uiPriority w:val="99"/>
    <w:semiHidden/>
    <w:unhideWhenUsed/>
    <w:rsid w:val="00802BC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02BCB"/>
    <w:rPr>
      <w:rFonts w:ascii="Segoe UI" w:hAnsi="Segoe UI" w:cs="Segoe UI"/>
      <w:sz w:val="18"/>
      <w:szCs w:val="18"/>
    </w:rPr>
  </w:style>
  <w:style w:type="paragraph" w:styleId="TOCHeading">
    <w:name w:val="TOC Heading"/>
    <w:basedOn w:val="Heading1"/>
    <w:next w:val="Normal"/>
    <w:uiPriority w:val="39"/>
    <w:unhideWhenUsed/>
    <w:qFormat/>
    <w:rsid w:val="00802BCB"/>
    <w:pPr>
      <w:outlineLvl w:val="9"/>
    </w:pPr>
    <w:rPr>
      <w:lang w:val="en-US"/>
    </w:rPr>
  </w:style>
  <w:style w:type="paragraph" w:styleId="TOC1">
    <w:name w:val="toc 1"/>
    <w:basedOn w:val="Normal"/>
    <w:next w:val="Normal"/>
    <w:autoRedefine/>
    <w:uiPriority w:val="39"/>
    <w:unhideWhenUsed/>
    <w:rsid w:val="00802BCB"/>
    <w:pPr>
      <w:spacing w:after="100"/>
    </w:pPr>
  </w:style>
  <w:style w:type="character" w:styleId="Hyperlink">
    <w:name w:val="Hyperlink"/>
    <w:basedOn w:val="DefaultParagraphFont"/>
    <w:uiPriority w:val="99"/>
    <w:unhideWhenUsed/>
    <w:rsid w:val="00802BCB"/>
    <w:rPr>
      <w:color w:val="0563C1" w:themeColor="hyperlink"/>
      <w:u w:val="single"/>
    </w:rPr>
  </w:style>
  <w:style w:type="paragraph" w:styleId="TOC2">
    <w:name w:val="toc 2"/>
    <w:basedOn w:val="Normal"/>
    <w:next w:val="Normal"/>
    <w:autoRedefine/>
    <w:uiPriority w:val="39"/>
    <w:unhideWhenUsed/>
    <w:rsid w:val="00802BCB"/>
    <w:pPr>
      <w:spacing w:after="100"/>
      <w:ind w:left="220"/>
    </w:pPr>
  </w:style>
  <w:style w:type="paragraph" w:styleId="TOC3">
    <w:name w:val="toc 3"/>
    <w:basedOn w:val="Normal"/>
    <w:next w:val="Normal"/>
    <w:autoRedefine/>
    <w:uiPriority w:val="39"/>
    <w:unhideWhenUsed/>
    <w:rsid w:val="00802BCB"/>
    <w:pPr>
      <w:spacing w:after="100"/>
      <w:ind w:left="440"/>
    </w:pPr>
  </w:style>
  <w:style w:type="character" w:styleId="CommentReference">
    <w:name w:val="annotation reference"/>
    <w:basedOn w:val="DefaultParagraphFont"/>
    <w:uiPriority w:val="99"/>
    <w:semiHidden/>
    <w:unhideWhenUsed/>
    <w:rsid w:val="00802BCB"/>
    <w:rPr>
      <w:sz w:val="16"/>
      <w:szCs w:val="16"/>
    </w:rPr>
  </w:style>
  <w:style w:type="paragraph" w:styleId="CommentText">
    <w:name w:val="annotation text"/>
    <w:basedOn w:val="Normal"/>
    <w:link w:val="CommentTextChar"/>
    <w:uiPriority w:val="99"/>
    <w:unhideWhenUsed/>
    <w:rsid w:val="00802BCB"/>
    <w:pPr>
      <w:spacing w:line="240" w:lineRule="auto"/>
    </w:pPr>
    <w:rPr>
      <w:sz w:val="20"/>
      <w:szCs w:val="20"/>
    </w:rPr>
  </w:style>
  <w:style w:type="character" w:customStyle="1" w:styleId="CommentTextChar">
    <w:name w:val="Comment Text Char"/>
    <w:basedOn w:val="DefaultParagraphFont"/>
    <w:link w:val="CommentText"/>
    <w:uiPriority w:val="99"/>
    <w:rsid w:val="00802BCB"/>
    <w:rPr>
      <w:sz w:val="20"/>
      <w:szCs w:val="20"/>
    </w:rPr>
  </w:style>
  <w:style w:type="paragraph" w:styleId="Header">
    <w:name w:val="header"/>
    <w:basedOn w:val="Normal"/>
    <w:link w:val="HeaderChar"/>
    <w:uiPriority w:val="99"/>
    <w:unhideWhenUsed/>
    <w:rsid w:val="00802BCB"/>
    <w:pPr>
      <w:tabs>
        <w:tab w:val="center" w:pos="4513"/>
        <w:tab w:val="right" w:pos="9026"/>
      </w:tabs>
      <w:spacing w:after="0" w:line="240" w:lineRule="auto"/>
    </w:pPr>
  </w:style>
  <w:style w:type="character" w:customStyle="1" w:styleId="HeaderChar">
    <w:name w:val="Header Char"/>
    <w:basedOn w:val="DefaultParagraphFont"/>
    <w:link w:val="Header"/>
    <w:uiPriority w:val="99"/>
    <w:rsid w:val="00802BCB"/>
  </w:style>
  <w:style w:type="paragraph" w:styleId="Footer">
    <w:name w:val="footer"/>
    <w:basedOn w:val="Normal"/>
    <w:link w:val="FooterChar"/>
    <w:uiPriority w:val="99"/>
    <w:unhideWhenUsed/>
    <w:rsid w:val="00802BCB"/>
    <w:pPr>
      <w:tabs>
        <w:tab w:val="center" w:pos="4513"/>
        <w:tab w:val="right" w:pos="9026"/>
      </w:tabs>
      <w:spacing w:after="0" w:line="240" w:lineRule="auto"/>
    </w:pPr>
  </w:style>
  <w:style w:type="character" w:customStyle="1" w:styleId="FooterChar">
    <w:name w:val="Footer Char"/>
    <w:basedOn w:val="DefaultParagraphFont"/>
    <w:link w:val="Footer"/>
    <w:uiPriority w:val="99"/>
    <w:rsid w:val="00802BCB"/>
  </w:style>
  <w:style w:type="character" w:customStyle="1" w:styleId="markedcontent">
    <w:name w:val="markedcontent"/>
    <w:basedOn w:val="DefaultParagraphFont"/>
    <w:rsid w:val="00755C31"/>
  </w:style>
  <w:style w:type="paragraph" w:styleId="ListParagraph">
    <w:name w:val="List Paragraph"/>
    <w:basedOn w:val="Normal"/>
    <w:uiPriority w:val="34"/>
    <w:qFormat/>
    <w:rsid w:val="00AA51E6"/>
    <w:pPr>
      <w:ind w:left="720"/>
      <w:contextualSpacing/>
    </w:pPr>
  </w:style>
  <w:style w:type="paragraph" w:styleId="CommentSubject">
    <w:name w:val="annotation subject"/>
    <w:basedOn w:val="CommentText"/>
    <w:next w:val="CommentText"/>
    <w:link w:val="CommentSubjectChar"/>
    <w:uiPriority w:val="99"/>
    <w:semiHidden/>
    <w:unhideWhenUsed/>
    <w:rsid w:val="00406C56"/>
    <w:rPr>
      <w:b/>
      <w:bCs/>
    </w:rPr>
  </w:style>
  <w:style w:type="character" w:customStyle="1" w:styleId="CommentSubjectChar">
    <w:name w:val="Comment Subject Char"/>
    <w:basedOn w:val="CommentTextChar"/>
    <w:link w:val="CommentSubject"/>
    <w:uiPriority w:val="99"/>
    <w:semiHidden/>
    <w:rsid w:val="00406C5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hyperlink" Target="mailto:gh.taranto@gmail.com" TargetMode="Externa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image" Target="media/image17.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tif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tiff"/><Relationship Id="rId19" Type="http://schemas.openxmlformats.org/officeDocument/2006/relationships/image" Target="media/image11.tiff"/><Relationship Id="rId4" Type="http://schemas.openxmlformats.org/officeDocument/2006/relationships/webSettings" Target="webSettings.xml"/><Relationship Id="rId9" Type="http://schemas.openxmlformats.org/officeDocument/2006/relationships/image" Target="media/image1.tif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971358-52E4-44CE-B0D0-D9CE39DDCE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29</Pages>
  <Words>14541</Words>
  <Characters>78523</Characters>
  <Application>Microsoft Office Word</Application>
  <DocSecurity>0</DocSecurity>
  <Lines>654</Lines>
  <Paragraphs>185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92879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Gerald H. Taranto</dc:creator>
  <cp:keywords/>
  <dc:description/>
  <cp:lastModifiedBy>Gerald H. Taranto</cp:lastModifiedBy>
  <cp:revision>4</cp:revision>
  <dcterms:created xsi:type="dcterms:W3CDTF">2023-03-15T16:39:00Z</dcterms:created>
  <dcterms:modified xsi:type="dcterms:W3CDTF">2023-03-15T16:45:00Z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92140b42-756c-36ff-970c-44e679bce8e1</vt:lpwstr>
  </property>
  <property fmtid="{D5CDD505-2E9C-101B-9397-08002B2CF9AE}" pid="4" name="Mendeley Citation Style_1">
    <vt:lpwstr>http://www.zotero.org/styles/global-ecology-and-conservation</vt:lpwstr>
  </property>
  <property fmtid="{D5CDD505-2E9C-101B-9397-08002B2CF9AE}" pid="5" name="Mendeley Recent Style Id 0_1">
    <vt:lpwstr>http://www.zotero.org/styles/american-sociological-association</vt:lpwstr>
  </property>
  <property fmtid="{D5CDD505-2E9C-101B-9397-08002B2CF9AE}" pid="6" name="Mendeley Recent Style Name 0_1">
    <vt:lpwstr>American Sociological Association</vt:lpwstr>
  </property>
  <property fmtid="{D5CDD505-2E9C-101B-9397-08002B2CF9AE}" pid="7" name="Mendeley Recent Style Id 1_1">
    <vt:lpwstr>http://www.zotero.org/styles/chicago-author-date</vt:lpwstr>
  </property>
  <property fmtid="{D5CDD505-2E9C-101B-9397-08002B2CF9AE}" pid="8" name="Mendeley Recent Style Name 1_1">
    <vt:lpwstr>Chicago Manual of Style 17th edition (author-date)</vt:lpwstr>
  </property>
  <property fmtid="{D5CDD505-2E9C-101B-9397-08002B2CF9AE}" pid="9" name="Mendeley Recent Style Id 2_1">
    <vt:lpwstr>http://www.zotero.org/styles/harvard-cite-them-right</vt:lpwstr>
  </property>
  <property fmtid="{D5CDD505-2E9C-101B-9397-08002B2CF9AE}" pid="10" name="Mendeley Recent Style Name 2_1">
    <vt:lpwstr>Cite Them Right 10th edition - Harvard</vt:lpwstr>
  </property>
  <property fmtid="{D5CDD505-2E9C-101B-9397-08002B2CF9AE}" pid="11" name="Mendeley Recent Style Id 3_1">
    <vt:lpwstr>http://www.zotero.org/styles/deep-sea-research-part-i</vt:lpwstr>
  </property>
  <property fmtid="{D5CDD505-2E9C-101B-9397-08002B2CF9AE}" pid="12" name="Mendeley Recent Style Name 3_1">
    <vt:lpwstr>Deep-Sea Research Part I</vt:lpwstr>
  </property>
  <property fmtid="{D5CDD505-2E9C-101B-9397-08002B2CF9AE}" pid="13" name="Mendeley Recent Style Id 4_1">
    <vt:lpwstr>http://www.zotero.org/styles/ecography</vt:lpwstr>
  </property>
  <property fmtid="{D5CDD505-2E9C-101B-9397-08002B2CF9AE}" pid="14" name="Mendeley Recent Style Name 4_1">
    <vt:lpwstr>Ecography</vt:lpwstr>
  </property>
  <property fmtid="{D5CDD505-2E9C-101B-9397-08002B2CF9AE}" pid="15" name="Mendeley Recent Style Id 5_1">
    <vt:lpwstr>http://www.zotero.org/styles/ecology</vt:lpwstr>
  </property>
  <property fmtid="{D5CDD505-2E9C-101B-9397-08002B2CF9AE}" pid="16" name="Mendeley Recent Style Name 5_1">
    <vt:lpwstr>Ecology</vt:lpwstr>
  </property>
  <property fmtid="{D5CDD505-2E9C-101B-9397-08002B2CF9AE}" pid="17" name="Mendeley Recent Style Id 6_1">
    <vt:lpwstr>http://www.zotero.org/styles/environmental-modelling-and-software</vt:lpwstr>
  </property>
  <property fmtid="{D5CDD505-2E9C-101B-9397-08002B2CF9AE}" pid="18" name="Mendeley Recent Style Name 6_1">
    <vt:lpwstr>Environmental Modelling and Software</vt:lpwstr>
  </property>
  <property fmtid="{D5CDD505-2E9C-101B-9397-08002B2CF9AE}" pid="19" name="Mendeley Recent Style Id 7_1">
    <vt:lpwstr>http://www.zotero.org/styles/global-ecology-and-conservation</vt:lpwstr>
  </property>
  <property fmtid="{D5CDD505-2E9C-101B-9397-08002B2CF9AE}" pid="20" name="Mendeley Recent Style Name 7_1">
    <vt:lpwstr>Global Ecology and Conservation</vt:lpwstr>
  </property>
  <property fmtid="{D5CDD505-2E9C-101B-9397-08002B2CF9AE}" pid="21" name="Mendeley Recent Style Id 8_1">
    <vt:lpwstr>http://www.zotero.org/styles/ieee</vt:lpwstr>
  </property>
  <property fmtid="{D5CDD505-2E9C-101B-9397-08002B2CF9AE}" pid="22" name="Mendeley Recent Style Name 8_1">
    <vt:lpwstr>IEEE</vt:lpwstr>
  </property>
  <property fmtid="{D5CDD505-2E9C-101B-9397-08002B2CF9AE}" pid="23" name="Mendeley Recent Style Id 9_1">
    <vt:lpwstr>http://www.zotero.org/styles/journal-of-biogeography</vt:lpwstr>
  </property>
  <property fmtid="{D5CDD505-2E9C-101B-9397-08002B2CF9AE}" pid="24" name="Mendeley Recent Style Name 9_1">
    <vt:lpwstr>Journal of Biogeography</vt:lpwstr>
  </property>
</Properties>
</file>