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7954EE" w14:textId="3AEF88A5" w:rsidR="00AA6781" w:rsidRPr="00FF12B5" w:rsidRDefault="00C03F08">
      <w:pPr>
        <w:rPr>
          <w:sz w:val="24"/>
          <w:lang w:val="en-GB"/>
        </w:rPr>
      </w:pPr>
      <w:r w:rsidRPr="00FF12B5">
        <w:rPr>
          <w:b/>
          <w:sz w:val="24"/>
          <w:lang w:val="en-GB"/>
        </w:rPr>
        <w:t xml:space="preserve">Additional </w:t>
      </w:r>
      <w:r w:rsidR="001C2CB4">
        <w:rPr>
          <w:b/>
          <w:sz w:val="24"/>
          <w:lang w:val="en-GB"/>
        </w:rPr>
        <w:t>file 1</w:t>
      </w:r>
      <w:bookmarkStart w:id="0" w:name="_GoBack"/>
      <w:bookmarkEnd w:id="0"/>
      <w:r w:rsidR="00020E74" w:rsidRPr="00FF12B5">
        <w:rPr>
          <w:b/>
          <w:sz w:val="24"/>
          <w:lang w:val="en-GB"/>
        </w:rPr>
        <w:t xml:space="preserve"> - Annex</w:t>
      </w:r>
      <w:r w:rsidR="00020E74" w:rsidRPr="007B0078">
        <w:rPr>
          <w:b/>
          <w:sz w:val="24"/>
          <w:lang w:val="en-GB"/>
        </w:rPr>
        <w:t xml:space="preserve"> 1</w:t>
      </w:r>
      <w:r w:rsidR="00AA6781" w:rsidRPr="00FF12B5">
        <w:rPr>
          <w:sz w:val="24"/>
          <w:lang w:val="en-GB"/>
        </w:rPr>
        <w:t xml:space="preserve"> </w:t>
      </w:r>
      <w:r w:rsidR="00AA6781" w:rsidRPr="00FF12B5">
        <w:rPr>
          <w:b/>
          <w:sz w:val="24"/>
          <w:lang w:val="en-GB"/>
        </w:rPr>
        <w:t>- MONITOOL sampling sites</w:t>
      </w:r>
    </w:p>
    <w:p w14:paraId="656796C2" w14:textId="520F8A76" w:rsidR="00AA6781" w:rsidRPr="006F5EBD" w:rsidRDefault="00AA6781">
      <w:pPr>
        <w:rPr>
          <w:b/>
          <w:lang w:val="en-GB"/>
        </w:rPr>
      </w:pPr>
    </w:p>
    <w:p w14:paraId="393F9F9E" w14:textId="77777777" w:rsidR="00AA6781" w:rsidRPr="006F5EBD" w:rsidRDefault="00AA6781">
      <w:pPr>
        <w:rPr>
          <w:b/>
          <w:lang w:val="en-GB"/>
        </w:rPr>
      </w:pPr>
    </w:p>
    <w:tbl>
      <w:tblPr>
        <w:tblW w:w="9067" w:type="dxa"/>
        <w:jc w:val="center"/>
        <w:tblCellMar>
          <w:left w:w="70" w:type="dxa"/>
          <w:right w:w="70" w:type="dxa"/>
        </w:tblCellMar>
        <w:tblLook w:val="04A0" w:firstRow="1" w:lastRow="0" w:firstColumn="1" w:lastColumn="0" w:noHBand="0" w:noVBand="1"/>
      </w:tblPr>
      <w:tblGrid>
        <w:gridCol w:w="1555"/>
        <w:gridCol w:w="3118"/>
        <w:gridCol w:w="1985"/>
        <w:gridCol w:w="2409"/>
      </w:tblGrid>
      <w:tr w:rsidR="00CA4211" w:rsidRPr="00906F8E" w14:paraId="6CC9164A" w14:textId="77777777" w:rsidTr="009F40F2">
        <w:trPr>
          <w:trHeight w:val="600"/>
          <w:jc w:val="center"/>
        </w:trPr>
        <w:tc>
          <w:tcPr>
            <w:tcW w:w="1555" w:type="dxa"/>
            <w:tcBorders>
              <w:top w:val="single" w:sz="4" w:space="0" w:color="auto"/>
              <w:left w:val="single" w:sz="4" w:space="0" w:color="BFBFBF"/>
              <w:bottom w:val="single" w:sz="4" w:space="0" w:color="BFBFBF"/>
              <w:right w:val="single" w:sz="4" w:space="0" w:color="006699"/>
            </w:tcBorders>
            <w:shd w:val="clear" w:color="000000" w:fill="31869B"/>
            <w:vAlign w:val="center"/>
            <w:hideMark/>
          </w:tcPr>
          <w:p w14:paraId="1D99DE6F" w14:textId="77777777" w:rsidR="00CA4211" w:rsidRPr="00160CA8" w:rsidRDefault="00CA4211" w:rsidP="0049370A">
            <w:pPr>
              <w:spacing w:after="0" w:line="240" w:lineRule="auto"/>
              <w:jc w:val="center"/>
              <w:rPr>
                <w:rFonts w:asciiTheme="majorHAnsi" w:eastAsia="Times New Roman" w:hAnsiTheme="majorHAnsi" w:cstheme="majorHAnsi"/>
                <w:b/>
                <w:bCs/>
                <w:color w:val="FFFFFF" w:themeColor="background1"/>
                <w:sz w:val="20"/>
                <w:szCs w:val="18"/>
                <w:lang w:val="en-GB" w:eastAsia="fr-FR"/>
              </w:rPr>
            </w:pPr>
            <w:r w:rsidRPr="00160CA8">
              <w:rPr>
                <w:rFonts w:asciiTheme="majorHAnsi" w:eastAsia="Times New Roman" w:hAnsiTheme="majorHAnsi" w:cstheme="majorHAnsi"/>
                <w:b/>
                <w:bCs/>
                <w:color w:val="FFFFFF" w:themeColor="background1"/>
                <w:sz w:val="20"/>
                <w:szCs w:val="18"/>
                <w:lang w:val="en-GB" w:eastAsia="fr-FR"/>
              </w:rPr>
              <w:t>Institute</w:t>
            </w:r>
          </w:p>
        </w:tc>
        <w:tc>
          <w:tcPr>
            <w:tcW w:w="3118" w:type="dxa"/>
            <w:tcBorders>
              <w:top w:val="single" w:sz="4" w:space="0" w:color="006699"/>
              <w:left w:val="single" w:sz="4" w:space="0" w:color="006699"/>
              <w:bottom w:val="single" w:sz="4" w:space="0" w:color="006699"/>
              <w:right w:val="single" w:sz="4" w:space="0" w:color="006699"/>
            </w:tcBorders>
            <w:shd w:val="clear" w:color="000000" w:fill="31869B"/>
            <w:vAlign w:val="center"/>
            <w:hideMark/>
          </w:tcPr>
          <w:p w14:paraId="32F70A90" w14:textId="77777777" w:rsidR="00CA4211" w:rsidRPr="00160CA8" w:rsidRDefault="00CA4211" w:rsidP="0049370A">
            <w:pPr>
              <w:spacing w:after="0" w:line="240" w:lineRule="auto"/>
              <w:jc w:val="center"/>
              <w:rPr>
                <w:rFonts w:asciiTheme="majorHAnsi" w:eastAsia="Times New Roman" w:hAnsiTheme="majorHAnsi" w:cstheme="majorHAnsi"/>
                <w:b/>
                <w:bCs/>
                <w:color w:val="FFFFFF" w:themeColor="background1"/>
                <w:sz w:val="20"/>
                <w:szCs w:val="18"/>
                <w:lang w:val="en-GB" w:eastAsia="fr-FR"/>
              </w:rPr>
            </w:pPr>
            <w:r w:rsidRPr="00160CA8">
              <w:rPr>
                <w:rFonts w:asciiTheme="majorHAnsi" w:eastAsia="Times New Roman" w:hAnsiTheme="majorHAnsi" w:cstheme="majorHAnsi"/>
                <w:b/>
                <w:bCs/>
                <w:color w:val="FFFFFF" w:themeColor="background1"/>
                <w:sz w:val="20"/>
                <w:szCs w:val="18"/>
                <w:lang w:val="en-GB" w:eastAsia="fr-FR"/>
              </w:rPr>
              <w:t xml:space="preserve">Sampling </w:t>
            </w:r>
            <w:r>
              <w:rPr>
                <w:rFonts w:asciiTheme="majorHAnsi" w:eastAsia="Times New Roman" w:hAnsiTheme="majorHAnsi" w:cstheme="majorHAnsi"/>
                <w:b/>
                <w:bCs/>
                <w:color w:val="FFFFFF" w:themeColor="background1"/>
                <w:sz w:val="20"/>
                <w:szCs w:val="18"/>
                <w:lang w:val="en-GB" w:eastAsia="fr-FR"/>
              </w:rPr>
              <w:t>sites</w:t>
            </w:r>
          </w:p>
        </w:tc>
        <w:tc>
          <w:tcPr>
            <w:tcW w:w="1985" w:type="dxa"/>
            <w:tcBorders>
              <w:top w:val="single" w:sz="4" w:space="0" w:color="006699"/>
              <w:left w:val="single" w:sz="4" w:space="0" w:color="006699"/>
              <w:bottom w:val="single" w:sz="4" w:space="0" w:color="006699"/>
              <w:right w:val="single" w:sz="4" w:space="0" w:color="006699"/>
            </w:tcBorders>
            <w:shd w:val="clear" w:color="000000" w:fill="31869B"/>
            <w:vAlign w:val="center"/>
          </w:tcPr>
          <w:p w14:paraId="0D76B469" w14:textId="635DA67E" w:rsidR="00CA4211" w:rsidRPr="0037317A" w:rsidRDefault="00CA4211" w:rsidP="00CA4211">
            <w:pPr>
              <w:spacing w:after="0" w:line="240" w:lineRule="auto"/>
              <w:jc w:val="center"/>
              <w:rPr>
                <w:rFonts w:asciiTheme="majorHAnsi" w:eastAsia="Times New Roman" w:hAnsiTheme="majorHAnsi" w:cstheme="majorHAnsi"/>
                <w:b/>
                <w:bCs/>
                <w:color w:val="FFFFFF" w:themeColor="background1"/>
                <w:sz w:val="20"/>
                <w:szCs w:val="18"/>
                <w:lang w:val="en-GB" w:eastAsia="fr-FR"/>
              </w:rPr>
            </w:pPr>
            <w:r w:rsidRPr="0037317A">
              <w:rPr>
                <w:rFonts w:asciiTheme="majorHAnsi" w:eastAsia="Times New Roman" w:hAnsiTheme="majorHAnsi" w:cstheme="majorHAnsi"/>
                <w:b/>
                <w:bCs/>
                <w:color w:val="FFFFFF" w:themeColor="background1"/>
                <w:sz w:val="20"/>
                <w:szCs w:val="18"/>
                <w:lang w:val="en-GB" w:eastAsia="fr-FR"/>
              </w:rPr>
              <w:t>Site number</w:t>
            </w:r>
            <w:r w:rsidR="006C544E" w:rsidRPr="0037317A">
              <w:rPr>
                <w:rFonts w:asciiTheme="majorHAnsi" w:eastAsia="Times New Roman" w:hAnsiTheme="majorHAnsi" w:cstheme="majorHAnsi"/>
                <w:b/>
                <w:bCs/>
                <w:color w:val="FFFFFF" w:themeColor="background1"/>
                <w:sz w:val="20"/>
                <w:szCs w:val="18"/>
                <w:lang w:val="en-GB" w:eastAsia="fr-FR"/>
              </w:rPr>
              <w:t xml:space="preserve"> (Figure 5)</w:t>
            </w:r>
          </w:p>
          <w:p w14:paraId="3A1393E0" w14:textId="39DBB0E3" w:rsidR="0093697B" w:rsidRPr="00D22E92" w:rsidRDefault="0093697B" w:rsidP="00CA4211">
            <w:pPr>
              <w:spacing w:after="0" w:line="240" w:lineRule="auto"/>
              <w:jc w:val="center"/>
              <w:rPr>
                <w:rFonts w:asciiTheme="majorHAnsi" w:eastAsia="Times New Roman" w:hAnsiTheme="majorHAnsi" w:cstheme="majorHAnsi"/>
                <w:b/>
                <w:bCs/>
                <w:color w:val="FFFFFF" w:themeColor="background1"/>
                <w:sz w:val="20"/>
                <w:szCs w:val="18"/>
                <w:lang w:val="en-GB" w:eastAsia="fr-FR"/>
              </w:rPr>
            </w:pPr>
            <w:r w:rsidRPr="00D22E92">
              <w:rPr>
                <w:rFonts w:asciiTheme="majorHAnsi" w:eastAsia="Times New Roman" w:hAnsiTheme="majorHAnsi" w:cstheme="majorHAnsi"/>
                <w:b/>
                <w:bCs/>
                <w:color w:val="FFFFFF" w:themeColor="background1"/>
                <w:sz w:val="20"/>
                <w:szCs w:val="18"/>
                <w:lang w:val="en-GB" w:eastAsia="fr-FR"/>
              </w:rPr>
              <w:t>(2 sampling period</w:t>
            </w:r>
            <w:r w:rsidR="00445EF9" w:rsidRPr="00D22E92">
              <w:rPr>
                <w:rFonts w:asciiTheme="majorHAnsi" w:eastAsia="Times New Roman" w:hAnsiTheme="majorHAnsi" w:cstheme="majorHAnsi"/>
                <w:b/>
                <w:bCs/>
                <w:color w:val="FFFFFF" w:themeColor="background1"/>
                <w:sz w:val="20"/>
                <w:szCs w:val="18"/>
                <w:lang w:val="en-GB" w:eastAsia="fr-FR"/>
              </w:rPr>
              <w:t>s</w:t>
            </w:r>
            <w:r w:rsidRPr="00D22E92">
              <w:rPr>
                <w:rFonts w:asciiTheme="majorHAnsi" w:eastAsia="Times New Roman" w:hAnsiTheme="majorHAnsi" w:cstheme="majorHAnsi"/>
                <w:b/>
                <w:bCs/>
                <w:color w:val="FFFFFF" w:themeColor="background1"/>
                <w:sz w:val="20"/>
                <w:szCs w:val="18"/>
                <w:lang w:val="en-GB" w:eastAsia="fr-FR"/>
              </w:rPr>
              <w:t>)</w:t>
            </w:r>
          </w:p>
        </w:tc>
        <w:tc>
          <w:tcPr>
            <w:tcW w:w="2409" w:type="dxa"/>
            <w:tcBorders>
              <w:top w:val="single" w:sz="4" w:space="0" w:color="006699"/>
              <w:left w:val="single" w:sz="4" w:space="0" w:color="006699"/>
              <w:bottom w:val="single" w:sz="4" w:space="0" w:color="006699"/>
              <w:right w:val="single" w:sz="4" w:space="0" w:color="006699"/>
            </w:tcBorders>
            <w:shd w:val="clear" w:color="000000" w:fill="31869B"/>
            <w:vAlign w:val="center"/>
            <w:hideMark/>
          </w:tcPr>
          <w:p w14:paraId="4A5CFFAB" w14:textId="1FD7194A" w:rsidR="00CA4211" w:rsidRPr="00D22E92" w:rsidRDefault="0093697B" w:rsidP="0049370A">
            <w:pPr>
              <w:spacing w:after="0" w:line="240" w:lineRule="auto"/>
              <w:jc w:val="center"/>
              <w:rPr>
                <w:rFonts w:asciiTheme="majorHAnsi" w:eastAsia="Times New Roman" w:hAnsiTheme="majorHAnsi" w:cstheme="majorHAnsi"/>
                <w:b/>
                <w:bCs/>
                <w:color w:val="FFFFFF" w:themeColor="background1"/>
                <w:sz w:val="20"/>
                <w:szCs w:val="18"/>
                <w:lang w:val="en-GB" w:eastAsia="fr-FR"/>
              </w:rPr>
            </w:pPr>
            <w:r w:rsidRPr="00D22E92">
              <w:rPr>
                <w:rFonts w:asciiTheme="majorHAnsi" w:eastAsia="Times New Roman" w:hAnsiTheme="majorHAnsi" w:cstheme="majorHAnsi"/>
                <w:b/>
                <w:bCs/>
                <w:color w:val="FFFFFF" w:themeColor="background1"/>
                <w:sz w:val="20"/>
                <w:szCs w:val="18"/>
                <w:lang w:val="en-GB" w:eastAsia="fr-FR"/>
              </w:rPr>
              <w:t>Site with one sampling period</w:t>
            </w:r>
          </w:p>
        </w:tc>
      </w:tr>
      <w:tr w:rsidR="0093697B" w:rsidRPr="000618D4" w14:paraId="254A5775" w14:textId="77777777" w:rsidTr="009F40F2">
        <w:trPr>
          <w:trHeight w:val="170"/>
          <w:jc w:val="center"/>
        </w:trPr>
        <w:tc>
          <w:tcPr>
            <w:tcW w:w="1555" w:type="dxa"/>
            <w:tcBorders>
              <w:top w:val="single" w:sz="4" w:space="0" w:color="DAEEF3"/>
              <w:left w:val="single" w:sz="4" w:space="0" w:color="4BACC6"/>
              <w:bottom w:val="single" w:sz="4" w:space="0" w:color="92CDDC"/>
              <w:right w:val="single" w:sz="4" w:space="0" w:color="006699"/>
            </w:tcBorders>
            <w:shd w:val="clear" w:color="92CDDC" w:fill="92CDDC"/>
            <w:noWrap/>
            <w:vAlign w:val="center"/>
            <w:hideMark/>
          </w:tcPr>
          <w:p w14:paraId="7969068C"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AZTI</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4D2D17D4" w14:textId="77777777" w:rsidR="0093697B" w:rsidRPr="008B6268" w:rsidRDefault="0093697B" w:rsidP="0093697B">
            <w:pPr>
              <w:spacing w:after="0" w:line="240" w:lineRule="auto"/>
              <w:rPr>
                <w:rFonts w:eastAsia="Times New Roman" w:cstheme="minorHAnsi"/>
                <w:sz w:val="20"/>
                <w:szCs w:val="16"/>
                <w:lang w:val="en-GB" w:eastAsia="fr-FR"/>
              </w:rPr>
            </w:pPr>
            <w:r w:rsidRPr="008B6268">
              <w:rPr>
                <w:rFonts w:eastAsia="Times New Roman" w:cstheme="minorHAnsi"/>
                <w:sz w:val="20"/>
                <w:szCs w:val="16"/>
                <w:lang w:val="en-GB" w:eastAsia="fr-FR"/>
              </w:rPr>
              <w:t>Deba</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18FE568D" w14:textId="41DEEF0D"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1</w:t>
            </w: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55F7FA4E" w14:textId="41AD0EAE"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2FAAAA31"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3009E42B"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06831619" w14:textId="77777777" w:rsidR="0093697B" w:rsidRPr="008B6268" w:rsidRDefault="0093697B" w:rsidP="0093697B">
            <w:pPr>
              <w:spacing w:after="0" w:line="240" w:lineRule="auto"/>
              <w:rPr>
                <w:rFonts w:eastAsia="Times New Roman" w:cstheme="minorHAnsi"/>
                <w:sz w:val="20"/>
                <w:szCs w:val="16"/>
                <w:lang w:val="en-GB" w:eastAsia="fr-FR"/>
              </w:rPr>
            </w:pPr>
            <w:r w:rsidRPr="008B6268">
              <w:rPr>
                <w:rFonts w:eastAsia="Times New Roman" w:cstheme="minorHAnsi"/>
                <w:sz w:val="20"/>
                <w:szCs w:val="16"/>
                <w:lang w:val="en-GB" w:eastAsia="fr-FR"/>
              </w:rPr>
              <w:t>Lezo</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0D74D38B" w14:textId="7E11FB1C"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2</w:t>
            </w: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6DF373B4" w14:textId="27191123"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1F5D2777"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414FDF8F"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30404EE9" w14:textId="77777777" w:rsidR="0093697B" w:rsidRPr="008B6268" w:rsidRDefault="0093697B" w:rsidP="0093697B">
            <w:pPr>
              <w:spacing w:after="0" w:line="240" w:lineRule="auto"/>
              <w:rPr>
                <w:rFonts w:eastAsia="Times New Roman" w:cstheme="minorHAnsi"/>
                <w:sz w:val="20"/>
                <w:szCs w:val="16"/>
                <w:lang w:val="en-GB" w:eastAsia="fr-FR"/>
              </w:rPr>
            </w:pPr>
            <w:r w:rsidRPr="008B6268">
              <w:rPr>
                <w:rFonts w:eastAsia="Times New Roman" w:cstheme="minorHAnsi"/>
                <w:sz w:val="20"/>
                <w:szCs w:val="16"/>
                <w:lang w:val="en-GB" w:eastAsia="fr-FR"/>
              </w:rPr>
              <w:t>Museo</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30633BAE" w14:textId="0FDE4B25"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3</w:t>
            </w: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2E2011F1" w14:textId="07B34316"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6345BE8A" w14:textId="77777777" w:rsidTr="009F40F2">
        <w:trPr>
          <w:trHeight w:val="170"/>
          <w:jc w:val="center"/>
        </w:trPr>
        <w:tc>
          <w:tcPr>
            <w:tcW w:w="1555" w:type="dxa"/>
            <w:tcBorders>
              <w:top w:val="single" w:sz="4" w:space="0" w:color="92CDDC"/>
              <w:left w:val="single" w:sz="4" w:space="0" w:color="4BACC6"/>
              <w:bottom w:val="single" w:sz="4" w:space="0" w:color="DAEEF3"/>
              <w:right w:val="single" w:sz="4" w:space="0" w:color="006699"/>
            </w:tcBorders>
            <w:shd w:val="clear" w:color="92CDDC" w:fill="92CDDC"/>
            <w:noWrap/>
            <w:vAlign w:val="center"/>
            <w:hideMark/>
          </w:tcPr>
          <w:p w14:paraId="53BFBCB2"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7DB6E8E7" w14:textId="77777777" w:rsidR="0093697B" w:rsidRPr="008B6268" w:rsidRDefault="0093697B" w:rsidP="0093697B">
            <w:pPr>
              <w:spacing w:after="0" w:line="240" w:lineRule="auto"/>
              <w:rPr>
                <w:rFonts w:eastAsia="Times New Roman" w:cstheme="minorHAnsi"/>
                <w:sz w:val="20"/>
                <w:szCs w:val="16"/>
                <w:lang w:val="en-GB" w:eastAsia="fr-FR"/>
              </w:rPr>
            </w:pPr>
            <w:r w:rsidRPr="008B6268">
              <w:rPr>
                <w:rFonts w:eastAsia="Times New Roman" w:cstheme="minorHAnsi"/>
                <w:sz w:val="20"/>
                <w:szCs w:val="16"/>
                <w:lang w:val="en-GB" w:eastAsia="fr-FR"/>
              </w:rPr>
              <w:t>Practicos</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01249B14" w14:textId="459DDDC9"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4</w:t>
            </w: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6D11E9DD" w14:textId="03214E88"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71E4FC98" w14:textId="77777777" w:rsidTr="009F40F2">
        <w:trPr>
          <w:trHeight w:val="170"/>
          <w:jc w:val="center"/>
        </w:trPr>
        <w:tc>
          <w:tcPr>
            <w:tcW w:w="1555" w:type="dxa"/>
            <w:tcBorders>
              <w:top w:val="single" w:sz="4" w:space="0" w:color="DAEEF3"/>
              <w:left w:val="single" w:sz="4" w:space="0" w:color="4BACC6"/>
              <w:bottom w:val="single" w:sz="4" w:space="0" w:color="92CDDC"/>
              <w:right w:val="single" w:sz="4" w:space="0" w:color="006699"/>
            </w:tcBorders>
            <w:shd w:val="clear" w:color="92CDDC" w:fill="92CDDC"/>
            <w:noWrap/>
            <w:vAlign w:val="center"/>
            <w:hideMark/>
          </w:tcPr>
          <w:p w14:paraId="05ABACB2"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CEFAS</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260CE61B" w14:textId="77777777" w:rsidR="0093697B" w:rsidRPr="008B6268" w:rsidRDefault="0093697B" w:rsidP="0093697B">
            <w:pPr>
              <w:spacing w:after="0" w:line="240" w:lineRule="auto"/>
              <w:rPr>
                <w:rFonts w:eastAsia="Times New Roman" w:cstheme="minorHAnsi"/>
                <w:sz w:val="20"/>
                <w:szCs w:val="16"/>
                <w:lang w:val="en-GB" w:eastAsia="fr-FR"/>
              </w:rPr>
            </w:pPr>
            <w:r w:rsidRPr="008B6268">
              <w:rPr>
                <w:rFonts w:eastAsia="Times New Roman" w:cstheme="minorHAnsi"/>
                <w:sz w:val="20"/>
                <w:szCs w:val="16"/>
                <w:lang w:val="en-GB" w:eastAsia="fr-FR"/>
              </w:rPr>
              <w:t>Belfast</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5239CCF1" w14:textId="76E8E798"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5</w:t>
            </w: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57E4718C" w14:textId="2FCE58FA"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44B6E611"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78BB5345"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4576683D" w14:textId="77777777" w:rsidR="0093697B" w:rsidRPr="008B6268" w:rsidRDefault="0093697B" w:rsidP="0093697B">
            <w:pPr>
              <w:spacing w:after="0" w:line="240" w:lineRule="auto"/>
              <w:rPr>
                <w:rFonts w:eastAsia="Times New Roman" w:cstheme="minorHAnsi"/>
                <w:sz w:val="20"/>
                <w:szCs w:val="16"/>
                <w:lang w:val="en-GB" w:eastAsia="fr-FR"/>
              </w:rPr>
            </w:pPr>
            <w:r w:rsidRPr="008B6268">
              <w:rPr>
                <w:rFonts w:eastAsia="Times New Roman" w:cstheme="minorHAnsi"/>
                <w:sz w:val="20"/>
                <w:szCs w:val="16"/>
                <w:lang w:val="en-GB" w:eastAsia="fr-FR"/>
              </w:rPr>
              <w:t>Fal</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30DA2600" w14:textId="1CF4776B"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6</w:t>
            </w: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6A89D4D5" w14:textId="1A3830B0"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3F68027B"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37A4E93A"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4C9421BF" w14:textId="77777777" w:rsidR="0093697B" w:rsidRPr="008B6268" w:rsidRDefault="0093697B" w:rsidP="0093697B">
            <w:pPr>
              <w:spacing w:after="0" w:line="240" w:lineRule="auto"/>
              <w:rPr>
                <w:rFonts w:eastAsia="Times New Roman" w:cstheme="minorHAnsi"/>
                <w:sz w:val="20"/>
                <w:szCs w:val="16"/>
                <w:lang w:val="en-GB" w:eastAsia="fr-FR"/>
              </w:rPr>
            </w:pPr>
            <w:r w:rsidRPr="008B6268">
              <w:rPr>
                <w:rFonts w:eastAsia="Times New Roman" w:cstheme="minorHAnsi"/>
                <w:sz w:val="20"/>
                <w:szCs w:val="16"/>
                <w:lang w:val="en-GB" w:eastAsia="fr-FR"/>
              </w:rPr>
              <w:t>Liverpool</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17AC1414" w14:textId="78B08D73"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69DF87C2" w14:textId="4D2B8631" w:rsidR="0093697B" w:rsidRPr="00D22E92" w:rsidRDefault="00B612E7"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X -T</w:t>
            </w:r>
            <w:r w:rsidR="0093697B" w:rsidRPr="00D22E92">
              <w:rPr>
                <w:rFonts w:ascii="Calibri" w:hAnsi="Calibri" w:cs="Calibri"/>
                <w:sz w:val="20"/>
              </w:rPr>
              <w:t>ec</w:t>
            </w:r>
            <w:r w:rsidRPr="00D22E92">
              <w:rPr>
                <w:rFonts w:ascii="Calibri" w:hAnsi="Calibri" w:cs="Calibri"/>
                <w:sz w:val="20"/>
              </w:rPr>
              <w:t>h</w:t>
            </w:r>
            <w:r w:rsidR="0093697B" w:rsidRPr="00D22E92">
              <w:rPr>
                <w:rFonts w:ascii="Calibri" w:hAnsi="Calibri" w:cs="Calibri"/>
                <w:sz w:val="20"/>
              </w:rPr>
              <w:t>n</w:t>
            </w:r>
            <w:r w:rsidRPr="00D22E92">
              <w:rPr>
                <w:rFonts w:ascii="Calibri" w:hAnsi="Calibri" w:cs="Calibri"/>
                <w:sz w:val="20"/>
              </w:rPr>
              <w:t>i</w:t>
            </w:r>
            <w:r w:rsidR="0093697B" w:rsidRPr="00D22E92">
              <w:rPr>
                <w:rFonts w:ascii="Calibri" w:hAnsi="Calibri" w:cs="Calibri"/>
                <w:sz w:val="20"/>
              </w:rPr>
              <w:t>cal problem</w:t>
            </w:r>
          </w:p>
        </w:tc>
      </w:tr>
      <w:tr w:rsidR="0093697B" w:rsidRPr="000618D4" w14:paraId="3EF428CF" w14:textId="77777777" w:rsidTr="009F40F2">
        <w:trPr>
          <w:trHeight w:val="170"/>
          <w:jc w:val="center"/>
        </w:trPr>
        <w:tc>
          <w:tcPr>
            <w:tcW w:w="1555" w:type="dxa"/>
            <w:tcBorders>
              <w:top w:val="single" w:sz="4" w:space="0" w:color="92CDDC"/>
              <w:left w:val="single" w:sz="4" w:space="0" w:color="4BACC6"/>
              <w:bottom w:val="single" w:sz="4" w:space="0" w:color="DAEEF3"/>
              <w:right w:val="single" w:sz="4" w:space="0" w:color="006699"/>
            </w:tcBorders>
            <w:shd w:val="clear" w:color="92CDDC" w:fill="92CDDC"/>
            <w:noWrap/>
            <w:vAlign w:val="center"/>
            <w:hideMark/>
          </w:tcPr>
          <w:p w14:paraId="1433FCD5" w14:textId="77777777" w:rsidR="0093697B" w:rsidRPr="008B6268"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29772A2F" w14:textId="77777777" w:rsidR="0093697B" w:rsidRPr="008B6268" w:rsidRDefault="0093697B" w:rsidP="0093697B">
            <w:pPr>
              <w:spacing w:after="0" w:line="240" w:lineRule="auto"/>
              <w:rPr>
                <w:rFonts w:eastAsia="Times New Roman" w:cstheme="minorHAnsi"/>
                <w:sz w:val="20"/>
                <w:szCs w:val="16"/>
                <w:lang w:val="en-GB" w:eastAsia="fr-FR"/>
              </w:rPr>
            </w:pPr>
            <w:r w:rsidRPr="008B6268">
              <w:rPr>
                <w:rFonts w:eastAsia="Times New Roman" w:cstheme="minorHAnsi"/>
                <w:sz w:val="20"/>
                <w:szCs w:val="16"/>
                <w:lang w:val="en-GB" w:eastAsia="fr-FR"/>
              </w:rPr>
              <w:t>X38a</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5111A9BB" w14:textId="61020CFB"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7</w:t>
            </w: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5B9A0665" w14:textId="282F79DA"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7F54663E" w14:textId="77777777" w:rsidTr="009F40F2">
        <w:trPr>
          <w:trHeight w:val="170"/>
          <w:jc w:val="center"/>
        </w:trPr>
        <w:tc>
          <w:tcPr>
            <w:tcW w:w="1555" w:type="dxa"/>
            <w:tcBorders>
              <w:top w:val="single" w:sz="4" w:space="0" w:color="DAEEF3"/>
              <w:left w:val="single" w:sz="4" w:space="0" w:color="4BACC6"/>
              <w:bottom w:val="single" w:sz="4" w:space="0" w:color="92CDDC"/>
              <w:right w:val="single" w:sz="4" w:space="0" w:color="006699"/>
            </w:tcBorders>
            <w:shd w:val="clear" w:color="92CDDC" w:fill="92CDDC"/>
            <w:noWrap/>
            <w:vAlign w:val="center"/>
            <w:hideMark/>
          </w:tcPr>
          <w:p w14:paraId="37CE580E"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DCU</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0214D62D" w14:textId="19F1F9BC"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ABW (Alexandra Basin West)</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50DFFBB0" w14:textId="1FF6ABA4"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8</w:t>
            </w: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74691B97" w14:textId="40626A73"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008286F4"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63E34924"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2179C438" w14:textId="488845EB"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Dublin Bay Buoy</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6E27D3A6" w14:textId="4CA41B03"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9</w:t>
            </w: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57695F86" w14:textId="1A9A97D8"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5B0956F6"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2A7FE801"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07F42C09" w14:textId="0049F40D" w:rsidR="0093697B" w:rsidRPr="008B0D5D" w:rsidRDefault="0093697B" w:rsidP="0093697B">
            <w:pPr>
              <w:spacing w:after="0" w:line="240" w:lineRule="auto"/>
              <w:rPr>
                <w:rFonts w:eastAsia="Times New Roman" w:cstheme="minorHAnsi"/>
                <w:sz w:val="20"/>
                <w:szCs w:val="16"/>
                <w:lang w:val="en-GB" w:eastAsia="fr-FR"/>
              </w:rPr>
            </w:pPr>
            <w:r w:rsidRPr="008B6268">
              <w:rPr>
                <w:rFonts w:cstheme="minorHAnsi"/>
                <w:sz w:val="20"/>
                <w:szCs w:val="20"/>
              </w:rPr>
              <w:t>Lough Mahon (</w:t>
            </w:r>
            <w:r w:rsidRPr="008B0D5D">
              <w:rPr>
                <w:rFonts w:eastAsia="Times New Roman" w:cstheme="minorHAnsi"/>
                <w:sz w:val="20"/>
                <w:szCs w:val="16"/>
                <w:lang w:val="en-GB" w:eastAsia="fr-FR"/>
              </w:rPr>
              <w:t>M69)</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66FDA5AE" w14:textId="63B33882"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10</w:t>
            </w: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3D4A00B1" w14:textId="37BFF9AF"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44D9617D" w14:textId="77777777" w:rsidTr="009F40F2">
        <w:trPr>
          <w:trHeight w:val="170"/>
          <w:jc w:val="center"/>
        </w:trPr>
        <w:tc>
          <w:tcPr>
            <w:tcW w:w="1555" w:type="dxa"/>
            <w:tcBorders>
              <w:top w:val="single" w:sz="4" w:space="0" w:color="92CDDC"/>
              <w:left w:val="single" w:sz="4" w:space="0" w:color="4BACC6"/>
              <w:bottom w:val="single" w:sz="4" w:space="0" w:color="DAEEF3"/>
              <w:right w:val="single" w:sz="4" w:space="0" w:color="006699"/>
            </w:tcBorders>
            <w:shd w:val="clear" w:color="92CDDC" w:fill="92CDDC"/>
            <w:noWrap/>
            <w:vAlign w:val="center"/>
            <w:hideMark/>
          </w:tcPr>
          <w:p w14:paraId="1059F6A2"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66576177" w14:textId="48546827" w:rsidR="0093697B" w:rsidRPr="008B0D5D" w:rsidRDefault="0093697B" w:rsidP="0093697B">
            <w:pPr>
              <w:spacing w:after="0" w:line="240" w:lineRule="auto"/>
              <w:rPr>
                <w:rFonts w:eastAsia="Times New Roman" w:cstheme="minorHAnsi"/>
                <w:sz w:val="20"/>
                <w:szCs w:val="16"/>
                <w:lang w:val="en-GB" w:eastAsia="fr-FR"/>
              </w:rPr>
            </w:pPr>
            <w:r w:rsidRPr="008B6268">
              <w:rPr>
                <w:rFonts w:cstheme="minorHAnsi"/>
                <w:sz w:val="20"/>
                <w:szCs w:val="20"/>
                <w:lang w:val="en-GB"/>
              </w:rPr>
              <w:t>North Channel Great Island (</w:t>
            </w:r>
            <w:r w:rsidRPr="008B0D5D">
              <w:rPr>
                <w:rFonts w:eastAsia="Times New Roman" w:cstheme="minorHAnsi"/>
                <w:sz w:val="20"/>
                <w:szCs w:val="16"/>
                <w:lang w:val="en-GB" w:eastAsia="fr-FR"/>
              </w:rPr>
              <w:t>M70)</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7D8BA588" w14:textId="2577D473"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11</w:t>
            </w: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41431069" w14:textId="5ADA7B99"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1DA67B4B" w14:textId="77777777" w:rsidTr="009F40F2">
        <w:trPr>
          <w:trHeight w:val="170"/>
          <w:jc w:val="center"/>
        </w:trPr>
        <w:tc>
          <w:tcPr>
            <w:tcW w:w="1555" w:type="dxa"/>
            <w:tcBorders>
              <w:top w:val="single" w:sz="4" w:space="0" w:color="DAEEF3"/>
              <w:left w:val="single" w:sz="4" w:space="0" w:color="4BACC6"/>
              <w:bottom w:val="single" w:sz="4" w:space="0" w:color="92CDDC"/>
              <w:right w:val="single" w:sz="4" w:space="0" w:color="006699"/>
            </w:tcBorders>
            <w:shd w:val="clear" w:color="92CDDC" w:fill="92CDDC"/>
            <w:noWrap/>
            <w:vAlign w:val="center"/>
            <w:hideMark/>
          </w:tcPr>
          <w:p w14:paraId="627DCDFA"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IFREMER</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0F53DA4C" w14:textId="77777777" w:rsidR="0093697B" w:rsidRPr="008B6268" w:rsidRDefault="0093697B" w:rsidP="0093697B">
            <w:pPr>
              <w:spacing w:after="0" w:line="240" w:lineRule="auto"/>
              <w:rPr>
                <w:rFonts w:eastAsia="Times New Roman" w:cstheme="minorHAnsi"/>
                <w:sz w:val="20"/>
                <w:szCs w:val="16"/>
                <w:lang w:val="en-GB" w:eastAsia="fr-FR"/>
              </w:rPr>
            </w:pPr>
            <w:r w:rsidRPr="008B6268">
              <w:rPr>
                <w:rFonts w:eastAsia="Times New Roman" w:cstheme="minorHAnsi"/>
                <w:sz w:val="20"/>
                <w:szCs w:val="16"/>
                <w:lang w:val="en-GB" w:eastAsia="fr-FR"/>
              </w:rPr>
              <w:t>Port-en-Bessin</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334503CB" w14:textId="36D0C1CE"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15</w:t>
            </w: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1EEA4D5C" w14:textId="0AC4924C"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6BA6AC09"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16D4C0EB"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7AF9B496"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Fontenelle</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568E4307" w14:textId="1FBA1424"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Theme="majorHAnsi" w:eastAsia="Times New Roman" w:hAnsiTheme="majorHAnsi" w:cstheme="majorHAnsi"/>
                <w:sz w:val="20"/>
                <w:szCs w:val="16"/>
                <w:lang w:val="en-GB" w:eastAsia="fr-FR"/>
              </w:rPr>
              <w:t>12</w:t>
            </w: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5891C7B1" w14:textId="62078DF4"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14DB4F3F"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7422D432"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773376F9"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Saint-Nazaire</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798CA93C" w14:textId="75396965"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13</w:t>
            </w: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0C68358E" w14:textId="0A692300"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0752263A"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3C7BE261"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77A86971"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Saumonard</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15B18037" w14:textId="6553CAA1"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14</w:t>
            </w: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12E21BD3" w14:textId="7E707723"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3511B69A"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759137DD"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5F190D59"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Terenez</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21D341E0" w14:textId="3B976623" w:rsidR="0093697B" w:rsidRPr="00D22E92" w:rsidRDefault="0093697B" w:rsidP="0093697B">
            <w:pPr>
              <w:spacing w:after="0" w:line="240" w:lineRule="auto"/>
              <w:jc w:val="center"/>
              <w:rPr>
                <w:rFonts w:asciiTheme="majorHAnsi" w:eastAsia="Times New Roman" w:hAnsiTheme="majorHAnsi" w:cstheme="majorHAnsi"/>
                <w:sz w:val="20"/>
                <w:szCs w:val="16"/>
                <w:lang w:val="en-GB" w:eastAsia="fr-FR"/>
              </w:rPr>
            </w:pP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16F6CEE4" w14:textId="67DE80E3" w:rsidR="0093697B" w:rsidRPr="00D22E92" w:rsidRDefault="00B612E7" w:rsidP="0093697B">
            <w:pPr>
              <w:spacing w:after="0" w:line="240" w:lineRule="auto"/>
              <w:jc w:val="center"/>
              <w:rPr>
                <w:rFonts w:ascii="Calibri" w:hAnsi="Calibri" w:cs="Calibri"/>
                <w:sz w:val="20"/>
              </w:rPr>
            </w:pPr>
            <w:r w:rsidRPr="00D22E92">
              <w:rPr>
                <w:rFonts w:ascii="Calibri" w:hAnsi="Calibri" w:cs="Calibri"/>
                <w:sz w:val="20"/>
              </w:rPr>
              <w:t>X - A</w:t>
            </w:r>
            <w:r w:rsidR="0093697B" w:rsidRPr="00D22E92">
              <w:rPr>
                <w:rFonts w:ascii="Calibri" w:hAnsi="Calibri" w:cs="Calibri"/>
                <w:sz w:val="20"/>
              </w:rPr>
              <w:t xml:space="preserve">dditionnal </w:t>
            </w:r>
            <w:r w:rsidR="000A1BA4" w:rsidRPr="00D22E92">
              <w:rPr>
                <w:rFonts w:ascii="Calibri" w:hAnsi="Calibri" w:cs="Calibri"/>
                <w:sz w:val="20"/>
              </w:rPr>
              <w:t>site</w:t>
            </w:r>
          </w:p>
          <w:p w14:paraId="5F21F71B" w14:textId="73067091" w:rsidR="0093697B" w:rsidRPr="00D22E92" w:rsidRDefault="0093697B" w:rsidP="0093697B">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1931BF57"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03970C17"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54B76F2C"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 xml:space="preserve">Antifer </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614AB332" w14:textId="3A362043" w:rsidR="0093697B" w:rsidRPr="00D22E92" w:rsidRDefault="0093697B" w:rsidP="0093697B">
            <w:pPr>
              <w:spacing w:after="0" w:line="240" w:lineRule="auto"/>
              <w:jc w:val="center"/>
              <w:rPr>
                <w:rFonts w:asciiTheme="majorHAnsi" w:eastAsia="Times New Roman" w:hAnsiTheme="majorHAnsi" w:cstheme="majorHAnsi"/>
                <w:sz w:val="20"/>
                <w:szCs w:val="16"/>
                <w:lang w:val="en-GB" w:eastAsia="fr-FR"/>
              </w:rPr>
            </w:pP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12D45840" w14:textId="4965E8C3" w:rsidR="00B612E7" w:rsidRPr="00D22E92" w:rsidRDefault="00B612E7" w:rsidP="00B612E7">
            <w:pPr>
              <w:spacing w:after="0" w:line="240" w:lineRule="auto"/>
              <w:jc w:val="center"/>
              <w:rPr>
                <w:rFonts w:ascii="Calibri" w:hAnsi="Calibri" w:cs="Calibri"/>
                <w:sz w:val="20"/>
              </w:rPr>
            </w:pPr>
            <w:r w:rsidRPr="00D22E92">
              <w:rPr>
                <w:rFonts w:ascii="Calibri" w:hAnsi="Calibri" w:cs="Calibri"/>
                <w:sz w:val="20"/>
              </w:rPr>
              <w:t xml:space="preserve">X - Additionnal </w:t>
            </w:r>
            <w:r w:rsidR="000A1BA4" w:rsidRPr="00D22E92">
              <w:rPr>
                <w:rFonts w:ascii="Calibri" w:hAnsi="Calibri" w:cs="Calibri"/>
                <w:sz w:val="20"/>
              </w:rPr>
              <w:t>site</w:t>
            </w:r>
          </w:p>
          <w:p w14:paraId="1C30DA41" w14:textId="5919719F" w:rsidR="0093697B" w:rsidRPr="00D22E92" w:rsidRDefault="0093697B" w:rsidP="00E16AFD">
            <w:pPr>
              <w:spacing w:after="0" w:line="240" w:lineRule="auto"/>
              <w:rPr>
                <w:rFonts w:asciiTheme="majorHAnsi" w:eastAsia="Times New Roman" w:hAnsiTheme="majorHAnsi" w:cstheme="majorHAnsi"/>
                <w:sz w:val="20"/>
                <w:szCs w:val="16"/>
                <w:lang w:val="en-GB" w:eastAsia="fr-FR"/>
              </w:rPr>
            </w:pPr>
          </w:p>
        </w:tc>
      </w:tr>
      <w:tr w:rsidR="0093697B" w:rsidRPr="000618D4" w14:paraId="03B5DF97"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24862A46"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4A1085B6"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 xml:space="preserve">Sillon des anglais </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124DA17D" w14:textId="4980721F" w:rsidR="0093697B" w:rsidRPr="00D22E92" w:rsidRDefault="0093697B" w:rsidP="0093697B">
            <w:pPr>
              <w:spacing w:after="0" w:line="240" w:lineRule="auto"/>
              <w:jc w:val="center"/>
              <w:rPr>
                <w:rFonts w:asciiTheme="majorHAnsi" w:eastAsia="Times New Roman" w:hAnsiTheme="majorHAnsi" w:cstheme="majorHAnsi"/>
                <w:sz w:val="20"/>
                <w:szCs w:val="16"/>
                <w:lang w:val="en-GB" w:eastAsia="fr-FR"/>
              </w:rPr>
            </w:pP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2F7EAF39" w14:textId="46B47B42" w:rsidR="00B612E7" w:rsidRPr="00D22E92" w:rsidRDefault="00B612E7" w:rsidP="00B612E7">
            <w:pPr>
              <w:spacing w:after="0" w:line="240" w:lineRule="auto"/>
              <w:jc w:val="center"/>
              <w:rPr>
                <w:rFonts w:ascii="Calibri" w:hAnsi="Calibri" w:cs="Calibri"/>
                <w:sz w:val="20"/>
              </w:rPr>
            </w:pPr>
            <w:r w:rsidRPr="00D22E92">
              <w:rPr>
                <w:rFonts w:ascii="Calibri" w:hAnsi="Calibri" w:cs="Calibri"/>
                <w:sz w:val="20"/>
              </w:rPr>
              <w:t xml:space="preserve">X - Additionnal </w:t>
            </w:r>
            <w:r w:rsidR="000A1BA4" w:rsidRPr="00D22E92">
              <w:rPr>
                <w:rFonts w:ascii="Calibri" w:hAnsi="Calibri" w:cs="Calibri"/>
                <w:sz w:val="20"/>
              </w:rPr>
              <w:t>site</w:t>
            </w:r>
          </w:p>
          <w:p w14:paraId="76E67F7D" w14:textId="4028BFD9" w:rsidR="0093697B" w:rsidRPr="00D22E92" w:rsidRDefault="0093697B" w:rsidP="0093697B">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04B0E76A"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734F5D06"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46B09FB9"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 xml:space="preserve">Le Croisic </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6ECF48D9" w14:textId="5FA6E98C" w:rsidR="0093697B" w:rsidRPr="00D22E92" w:rsidRDefault="0093697B" w:rsidP="0093697B">
            <w:pPr>
              <w:spacing w:after="0" w:line="240" w:lineRule="auto"/>
              <w:jc w:val="center"/>
              <w:rPr>
                <w:rFonts w:asciiTheme="majorHAnsi" w:eastAsia="Times New Roman" w:hAnsiTheme="majorHAnsi" w:cstheme="majorHAnsi"/>
                <w:sz w:val="20"/>
                <w:szCs w:val="16"/>
                <w:lang w:val="en-GB" w:eastAsia="fr-FR"/>
              </w:rPr>
            </w:pP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3D5627A0" w14:textId="4DF3F00A" w:rsidR="00B612E7" w:rsidRPr="00D22E92" w:rsidRDefault="00B612E7" w:rsidP="00B612E7">
            <w:pPr>
              <w:spacing w:after="0" w:line="240" w:lineRule="auto"/>
              <w:jc w:val="center"/>
              <w:rPr>
                <w:rFonts w:ascii="Calibri" w:hAnsi="Calibri" w:cs="Calibri"/>
                <w:sz w:val="20"/>
              </w:rPr>
            </w:pPr>
            <w:r w:rsidRPr="00D22E92">
              <w:rPr>
                <w:rFonts w:ascii="Calibri" w:hAnsi="Calibri" w:cs="Calibri"/>
                <w:sz w:val="20"/>
              </w:rPr>
              <w:t xml:space="preserve">X - Additionnal </w:t>
            </w:r>
            <w:r w:rsidR="000A1BA4" w:rsidRPr="00D22E92">
              <w:rPr>
                <w:rFonts w:ascii="Calibri" w:hAnsi="Calibri" w:cs="Calibri"/>
                <w:sz w:val="20"/>
              </w:rPr>
              <w:t>site</w:t>
            </w:r>
          </w:p>
          <w:p w14:paraId="00EC4F75" w14:textId="7654AE90" w:rsidR="0093697B" w:rsidRPr="00D22E92" w:rsidRDefault="0093697B" w:rsidP="0093697B">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04ADB3F6" w14:textId="77777777" w:rsidTr="009F40F2">
        <w:trPr>
          <w:trHeight w:val="170"/>
          <w:jc w:val="center"/>
        </w:trPr>
        <w:tc>
          <w:tcPr>
            <w:tcW w:w="1555" w:type="dxa"/>
            <w:tcBorders>
              <w:top w:val="single" w:sz="4" w:space="0" w:color="92CDDC"/>
              <w:left w:val="single" w:sz="4" w:space="0" w:color="4BACC6"/>
              <w:bottom w:val="single" w:sz="4" w:space="0" w:color="DAEEF3"/>
              <w:right w:val="single" w:sz="4" w:space="0" w:color="006699"/>
            </w:tcBorders>
            <w:shd w:val="clear" w:color="92CDDC" w:fill="92CDDC"/>
            <w:noWrap/>
            <w:vAlign w:val="center"/>
            <w:hideMark/>
          </w:tcPr>
          <w:p w14:paraId="11AA91EC"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57ACC37D"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 xml:space="preserve">Lazaret </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7BFDF24B" w14:textId="6D89B441" w:rsidR="0093697B" w:rsidRPr="00D22E92" w:rsidRDefault="0093697B" w:rsidP="0093697B">
            <w:pPr>
              <w:spacing w:after="0" w:line="240" w:lineRule="auto"/>
              <w:jc w:val="center"/>
              <w:rPr>
                <w:rFonts w:asciiTheme="majorHAnsi" w:eastAsia="Times New Roman" w:hAnsiTheme="majorHAnsi" w:cstheme="majorHAnsi"/>
                <w:sz w:val="20"/>
                <w:szCs w:val="16"/>
                <w:lang w:val="en-GB" w:eastAsia="fr-FR"/>
              </w:rPr>
            </w:pP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09987E6F" w14:textId="77777777" w:rsidR="000A1BA4" w:rsidRPr="00D22E92" w:rsidRDefault="000A1BA4" w:rsidP="000A1BA4">
            <w:pPr>
              <w:spacing w:after="0" w:line="240" w:lineRule="auto"/>
              <w:jc w:val="center"/>
              <w:rPr>
                <w:rFonts w:ascii="Calibri" w:hAnsi="Calibri" w:cs="Calibri"/>
                <w:sz w:val="20"/>
              </w:rPr>
            </w:pPr>
            <w:r w:rsidRPr="00D22E92">
              <w:rPr>
                <w:rFonts w:ascii="Calibri" w:hAnsi="Calibri" w:cs="Calibri"/>
                <w:sz w:val="20"/>
              </w:rPr>
              <w:t>X - Additionnal site</w:t>
            </w:r>
          </w:p>
          <w:p w14:paraId="19D46830" w14:textId="29B9B623" w:rsidR="0093697B" w:rsidRPr="00D22E92" w:rsidRDefault="0093697B" w:rsidP="00B612E7">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43FFB46C" w14:textId="77777777" w:rsidTr="009F40F2">
        <w:trPr>
          <w:trHeight w:val="170"/>
          <w:jc w:val="center"/>
        </w:trPr>
        <w:tc>
          <w:tcPr>
            <w:tcW w:w="1555" w:type="dxa"/>
            <w:tcBorders>
              <w:top w:val="single" w:sz="4" w:space="0" w:color="DAEEF3"/>
              <w:left w:val="single" w:sz="4" w:space="0" w:color="4BACC6"/>
              <w:bottom w:val="single" w:sz="4" w:space="0" w:color="92CDDC"/>
              <w:right w:val="single" w:sz="4" w:space="0" w:color="006699"/>
            </w:tcBorders>
            <w:shd w:val="clear" w:color="92CDDC" w:fill="92CDDC"/>
            <w:noWrap/>
            <w:vAlign w:val="center"/>
            <w:hideMark/>
          </w:tcPr>
          <w:p w14:paraId="16DD9287"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IPMA</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4D4AF452"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Aveiro</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6F85DE6B" w14:textId="2C063FA2"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4F8BDF3B" w14:textId="0B7DCFDE" w:rsidR="0093697B" w:rsidRPr="00D22E92" w:rsidRDefault="00B612E7"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X -Technical problem</w:t>
            </w:r>
          </w:p>
        </w:tc>
      </w:tr>
      <w:tr w:rsidR="0093697B" w:rsidRPr="000618D4" w14:paraId="4EA05495"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43B972D8"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3C77999E"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Porto</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464493A7" w14:textId="06C3FA54"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534D115F" w14:textId="295CB7B3" w:rsidR="0093697B" w:rsidRPr="00D22E92" w:rsidRDefault="00B612E7"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X -Technical problem</w:t>
            </w:r>
          </w:p>
        </w:tc>
      </w:tr>
      <w:tr w:rsidR="0093697B" w:rsidRPr="000618D4" w14:paraId="4908DFFD"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77D9C79E"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78CC0363"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Sesimbra</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115B8E13" w14:textId="27671F24"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45AAEB12" w14:textId="4FAA9C7A" w:rsidR="0093697B" w:rsidRPr="00D22E92" w:rsidRDefault="00B612E7"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X -Technical problem</w:t>
            </w:r>
          </w:p>
        </w:tc>
      </w:tr>
      <w:tr w:rsidR="0093697B" w:rsidRPr="000618D4" w14:paraId="1C737FAD" w14:textId="77777777" w:rsidTr="009F40F2">
        <w:trPr>
          <w:trHeight w:val="170"/>
          <w:jc w:val="center"/>
        </w:trPr>
        <w:tc>
          <w:tcPr>
            <w:tcW w:w="1555" w:type="dxa"/>
            <w:tcBorders>
              <w:top w:val="single" w:sz="4" w:space="0" w:color="92CDDC"/>
              <w:left w:val="single" w:sz="4" w:space="0" w:color="4BACC6"/>
              <w:bottom w:val="single" w:sz="4" w:space="0" w:color="DAEEF3"/>
              <w:right w:val="single" w:sz="4" w:space="0" w:color="006699"/>
            </w:tcBorders>
            <w:shd w:val="clear" w:color="92CDDC" w:fill="92CDDC"/>
            <w:noWrap/>
            <w:vAlign w:val="center"/>
            <w:hideMark/>
          </w:tcPr>
          <w:p w14:paraId="7485CD91"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4C2C19A7"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Tagus</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683F008C" w14:textId="3A226B84"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52E0FDC0" w14:textId="7DB3A85A" w:rsidR="0093697B" w:rsidRPr="00D22E92" w:rsidRDefault="00B612E7" w:rsidP="001B2E1C">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X -Technical problem</w:t>
            </w:r>
          </w:p>
        </w:tc>
      </w:tr>
      <w:tr w:rsidR="0093697B" w:rsidRPr="000618D4" w14:paraId="48377611" w14:textId="77777777" w:rsidTr="009F40F2">
        <w:trPr>
          <w:trHeight w:val="170"/>
          <w:jc w:val="center"/>
        </w:trPr>
        <w:tc>
          <w:tcPr>
            <w:tcW w:w="1555" w:type="dxa"/>
            <w:tcBorders>
              <w:top w:val="single" w:sz="4" w:space="0" w:color="DAEEF3"/>
              <w:left w:val="single" w:sz="4" w:space="0" w:color="4BACC6"/>
              <w:bottom w:val="single" w:sz="4" w:space="0" w:color="92CDDC"/>
              <w:right w:val="single" w:sz="4" w:space="0" w:color="006699"/>
            </w:tcBorders>
            <w:shd w:val="clear" w:color="92CDDC" w:fill="92CDDC"/>
            <w:noWrap/>
            <w:vAlign w:val="center"/>
            <w:hideMark/>
          </w:tcPr>
          <w:p w14:paraId="15F5C9EC"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ITC</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11500D72"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Gando</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5C268BA1" w14:textId="54ACB48F"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16</w:t>
            </w: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4720966C" w14:textId="55836CB6"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40434173"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12B932EF"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65E3BC9C"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Jinamar</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7CF2EA3B" w14:textId="5427E741"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17</w:t>
            </w: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6CC798F1" w14:textId="2DEE6014"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5B2FBB02"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6F32A1D4"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0477460B"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Luz</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358BAA35" w14:textId="3031C70B"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18</w:t>
            </w: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6EC6C991" w14:textId="2CE8B090"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24E56DD0" w14:textId="77777777" w:rsidTr="009F40F2">
        <w:trPr>
          <w:trHeight w:val="170"/>
          <w:jc w:val="center"/>
        </w:trPr>
        <w:tc>
          <w:tcPr>
            <w:tcW w:w="1555" w:type="dxa"/>
            <w:tcBorders>
              <w:top w:val="single" w:sz="4" w:space="0" w:color="92CDDC"/>
              <w:left w:val="single" w:sz="4" w:space="0" w:color="4BACC6"/>
              <w:bottom w:val="single" w:sz="4" w:space="0" w:color="DAEEF3"/>
              <w:right w:val="single" w:sz="4" w:space="0" w:color="006699"/>
            </w:tcBorders>
            <w:shd w:val="clear" w:color="92CDDC" w:fill="92CDDC"/>
            <w:noWrap/>
            <w:vAlign w:val="center"/>
            <w:hideMark/>
          </w:tcPr>
          <w:p w14:paraId="512614F7"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3CFF2E62"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Taliarte</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02E25ACD" w14:textId="242EDDBB"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19</w:t>
            </w: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24A33999" w14:textId="75CA6138"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6BBA49EA" w14:textId="77777777" w:rsidTr="009F40F2">
        <w:trPr>
          <w:trHeight w:val="170"/>
          <w:jc w:val="center"/>
        </w:trPr>
        <w:tc>
          <w:tcPr>
            <w:tcW w:w="1555" w:type="dxa"/>
            <w:tcBorders>
              <w:top w:val="single" w:sz="4" w:space="0" w:color="DAEEF3"/>
              <w:left w:val="single" w:sz="4" w:space="0" w:color="4BACC6"/>
              <w:bottom w:val="single" w:sz="4" w:space="0" w:color="92CDDC"/>
              <w:right w:val="single" w:sz="4" w:space="0" w:color="006699"/>
            </w:tcBorders>
            <w:shd w:val="clear" w:color="92CDDC" w:fill="92CDDC"/>
            <w:noWrap/>
            <w:vAlign w:val="center"/>
            <w:hideMark/>
          </w:tcPr>
          <w:p w14:paraId="10B28621"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MSS-SEPA</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2BD050FE"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Braehead</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747F085E" w14:textId="7000AA89"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71BFF22B" w14:textId="4D8DC37B" w:rsidR="0093697B" w:rsidRPr="00D22E92" w:rsidRDefault="00B612E7" w:rsidP="001B2E1C">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 xml:space="preserve">X - </w:t>
            </w:r>
            <w:r w:rsidR="0093697B" w:rsidRPr="00D22E92">
              <w:rPr>
                <w:rFonts w:ascii="Calibri" w:hAnsi="Calibri" w:cs="Calibri"/>
                <w:sz w:val="20"/>
              </w:rPr>
              <w:t>1 sampling period</w:t>
            </w:r>
          </w:p>
        </w:tc>
      </w:tr>
      <w:tr w:rsidR="0093697B" w:rsidRPr="000618D4" w14:paraId="786883A8"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64B27E3B"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2EA190C0"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Montrose</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30FA5E88" w14:textId="649B3A16"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073ADE22" w14:textId="788CD329" w:rsidR="0093697B" w:rsidRPr="00D22E92" w:rsidRDefault="00B612E7" w:rsidP="001B2E1C">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 xml:space="preserve">X - </w:t>
            </w:r>
            <w:r w:rsidR="0093697B" w:rsidRPr="00D22E92">
              <w:rPr>
                <w:rFonts w:ascii="Calibri" w:hAnsi="Calibri" w:cs="Calibri"/>
                <w:sz w:val="20"/>
              </w:rPr>
              <w:t>1 sampling period</w:t>
            </w:r>
          </w:p>
        </w:tc>
      </w:tr>
      <w:tr w:rsidR="0093697B" w:rsidRPr="000618D4" w14:paraId="216DC299" w14:textId="77777777" w:rsidTr="009F40F2">
        <w:trPr>
          <w:trHeight w:val="170"/>
          <w:jc w:val="center"/>
        </w:trPr>
        <w:tc>
          <w:tcPr>
            <w:tcW w:w="1555" w:type="dxa"/>
            <w:tcBorders>
              <w:top w:val="single" w:sz="4" w:space="0" w:color="92CDDC"/>
              <w:left w:val="single" w:sz="4" w:space="0" w:color="4BACC6"/>
              <w:bottom w:val="single" w:sz="4" w:space="0" w:color="DAEEF3"/>
              <w:right w:val="single" w:sz="4" w:space="0" w:color="006699"/>
            </w:tcBorders>
            <w:shd w:val="clear" w:color="92CDDC" w:fill="92CDDC"/>
            <w:noWrap/>
            <w:vAlign w:val="center"/>
            <w:hideMark/>
          </w:tcPr>
          <w:p w14:paraId="5C8FC4E8"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1281E24F"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Newhaven</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504C7D6F" w14:textId="3210429F"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1BD3A500" w14:textId="1F2AF500" w:rsidR="0093697B" w:rsidRPr="00D22E92" w:rsidRDefault="00B612E7" w:rsidP="001B2E1C">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 xml:space="preserve">X - </w:t>
            </w:r>
            <w:r w:rsidR="0093697B" w:rsidRPr="00D22E92">
              <w:rPr>
                <w:rFonts w:ascii="Calibri" w:hAnsi="Calibri" w:cs="Calibri"/>
                <w:sz w:val="20"/>
              </w:rPr>
              <w:t>1 sampling period</w:t>
            </w:r>
          </w:p>
        </w:tc>
      </w:tr>
      <w:tr w:rsidR="0093697B" w:rsidRPr="000618D4" w14:paraId="2CD6DEA3" w14:textId="77777777" w:rsidTr="009F40F2">
        <w:trPr>
          <w:trHeight w:val="170"/>
          <w:jc w:val="center"/>
        </w:trPr>
        <w:tc>
          <w:tcPr>
            <w:tcW w:w="1555" w:type="dxa"/>
            <w:tcBorders>
              <w:top w:val="single" w:sz="4" w:space="0" w:color="DAEEF3"/>
              <w:left w:val="single" w:sz="4" w:space="0" w:color="4BACC6"/>
              <w:bottom w:val="single" w:sz="4" w:space="0" w:color="92CDDC"/>
              <w:right w:val="single" w:sz="4" w:space="0" w:color="006699"/>
            </w:tcBorders>
            <w:shd w:val="clear" w:color="92CDDC" w:fill="92CDDC"/>
            <w:noWrap/>
            <w:vAlign w:val="center"/>
            <w:hideMark/>
          </w:tcPr>
          <w:p w14:paraId="0ACF3A02"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UNICA</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4AF10AB6"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Molo Dogana</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1B65FAFE" w14:textId="2BF2E930"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20</w:t>
            </w: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1C34B37F" w14:textId="34D8A56E"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2D110008"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4A27E257" w14:textId="77777777" w:rsidR="0093697B" w:rsidRPr="00B76D6C" w:rsidRDefault="0093697B" w:rsidP="0093697B">
            <w:pPr>
              <w:spacing w:after="0" w:line="240" w:lineRule="auto"/>
              <w:jc w:val="center"/>
              <w:rPr>
                <w:rFonts w:asciiTheme="majorHAnsi" w:eastAsia="Times New Roman" w:hAnsiTheme="majorHAnsi" w:cstheme="majorHAnsi"/>
                <w:sz w:val="20"/>
                <w:szCs w:val="16"/>
                <w:lang w:val="en-GB" w:eastAsia="fr-FR"/>
              </w:rPr>
            </w:pPr>
            <w:r w:rsidRPr="00B76D6C">
              <w:rPr>
                <w:rFonts w:asciiTheme="majorHAnsi" w:eastAsia="Times New Roman" w:hAnsiTheme="majorHAnsi" w:cstheme="majorHAnsi"/>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7722F640"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Molo Ichnusa</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5D00E0F1" w14:textId="154D18AE"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21</w:t>
            </w: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134DDC81" w14:textId="764F345D"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25DE16AD" w14:textId="77777777" w:rsidTr="009F40F2">
        <w:trPr>
          <w:trHeight w:val="170"/>
          <w:jc w:val="center"/>
        </w:trPr>
        <w:tc>
          <w:tcPr>
            <w:tcW w:w="1555" w:type="dxa"/>
            <w:tcBorders>
              <w:top w:val="single" w:sz="4" w:space="0" w:color="92CDDC"/>
              <w:left w:val="single" w:sz="4" w:space="0" w:color="4BACC6"/>
              <w:bottom w:val="single" w:sz="4" w:space="0" w:color="92CDDC"/>
              <w:right w:val="single" w:sz="4" w:space="0" w:color="006699"/>
            </w:tcBorders>
            <w:shd w:val="clear" w:color="92CDDC" w:fill="92CDDC"/>
            <w:noWrap/>
            <w:vAlign w:val="center"/>
            <w:hideMark/>
          </w:tcPr>
          <w:p w14:paraId="003AEB1B" w14:textId="77777777" w:rsidR="0093697B" w:rsidRPr="00160CA8" w:rsidRDefault="0093697B" w:rsidP="0093697B">
            <w:pPr>
              <w:spacing w:after="0" w:line="240" w:lineRule="auto"/>
              <w:jc w:val="center"/>
              <w:rPr>
                <w:rFonts w:asciiTheme="majorHAnsi" w:eastAsia="Times New Roman" w:hAnsiTheme="majorHAnsi" w:cstheme="majorHAnsi"/>
                <w:color w:val="FFFFFF" w:themeColor="background1"/>
                <w:sz w:val="20"/>
                <w:szCs w:val="16"/>
                <w:lang w:val="en-GB" w:eastAsia="fr-FR"/>
              </w:rPr>
            </w:pPr>
            <w:r w:rsidRPr="00160CA8">
              <w:rPr>
                <w:rFonts w:asciiTheme="majorHAnsi" w:eastAsia="Times New Roman" w:hAnsiTheme="majorHAnsi" w:cstheme="majorHAnsi"/>
                <w:color w:val="FFFFFF" w:themeColor="background1"/>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6F5A2720" w14:textId="77777777" w:rsidR="0093697B" w:rsidRPr="008B0D5D" w:rsidRDefault="0093697B" w:rsidP="0093697B">
            <w:pPr>
              <w:spacing w:after="0" w:line="240" w:lineRule="auto"/>
              <w:rPr>
                <w:rFonts w:eastAsia="Times New Roman" w:cstheme="minorHAnsi"/>
                <w:sz w:val="20"/>
                <w:szCs w:val="16"/>
                <w:lang w:val="en-GB" w:eastAsia="fr-FR"/>
              </w:rPr>
            </w:pPr>
            <w:r w:rsidRPr="008B0D5D">
              <w:rPr>
                <w:rFonts w:eastAsia="Times New Roman" w:cstheme="minorHAnsi"/>
                <w:sz w:val="20"/>
                <w:szCs w:val="16"/>
                <w:lang w:val="en-GB" w:eastAsia="fr-FR"/>
              </w:rPr>
              <w:t>Molo Rinascita</w:t>
            </w:r>
          </w:p>
        </w:tc>
        <w:tc>
          <w:tcPr>
            <w:tcW w:w="1985" w:type="dxa"/>
            <w:tcBorders>
              <w:top w:val="single" w:sz="4" w:space="0" w:color="006699"/>
              <w:left w:val="single" w:sz="4" w:space="0" w:color="006699"/>
              <w:bottom w:val="single" w:sz="4" w:space="0" w:color="006699"/>
              <w:right w:val="single" w:sz="4" w:space="0" w:color="006699"/>
            </w:tcBorders>
            <w:shd w:val="clear" w:color="DAEEF3" w:fill="DAEEF3"/>
            <w:vAlign w:val="center"/>
          </w:tcPr>
          <w:p w14:paraId="0B128F57" w14:textId="48E914B1"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22</w:t>
            </w:r>
          </w:p>
        </w:tc>
        <w:tc>
          <w:tcPr>
            <w:tcW w:w="2409" w:type="dxa"/>
            <w:tcBorders>
              <w:top w:val="single" w:sz="4" w:space="0" w:color="006699"/>
              <w:left w:val="single" w:sz="4" w:space="0" w:color="006699"/>
              <w:bottom w:val="single" w:sz="4" w:space="0" w:color="006699"/>
              <w:right w:val="single" w:sz="4" w:space="0" w:color="006699"/>
            </w:tcBorders>
            <w:shd w:val="clear" w:color="DAEEF3" w:fill="DAEEF3"/>
            <w:noWrap/>
            <w:vAlign w:val="center"/>
            <w:hideMark/>
          </w:tcPr>
          <w:p w14:paraId="709BD8EE" w14:textId="5798D7F5" w:rsidR="0093697B" w:rsidRPr="00D22E92" w:rsidRDefault="0093697B" w:rsidP="001B2E1C">
            <w:pPr>
              <w:spacing w:after="0" w:line="240" w:lineRule="auto"/>
              <w:jc w:val="center"/>
              <w:rPr>
                <w:rFonts w:asciiTheme="majorHAnsi" w:eastAsia="Times New Roman" w:hAnsiTheme="majorHAnsi" w:cstheme="majorHAnsi"/>
                <w:sz w:val="20"/>
                <w:szCs w:val="16"/>
                <w:lang w:val="en-GB" w:eastAsia="fr-FR"/>
              </w:rPr>
            </w:pPr>
          </w:p>
        </w:tc>
      </w:tr>
      <w:tr w:rsidR="0093697B" w:rsidRPr="000618D4" w14:paraId="63A6B6A6" w14:textId="77777777" w:rsidTr="009F40F2">
        <w:trPr>
          <w:trHeight w:val="170"/>
          <w:jc w:val="center"/>
        </w:trPr>
        <w:tc>
          <w:tcPr>
            <w:tcW w:w="1555" w:type="dxa"/>
            <w:tcBorders>
              <w:top w:val="single" w:sz="4" w:space="0" w:color="92CDDC"/>
              <w:left w:val="single" w:sz="4" w:space="0" w:color="4BACC6"/>
              <w:bottom w:val="single" w:sz="4" w:space="0" w:color="DAEEF3"/>
              <w:right w:val="single" w:sz="4" w:space="0" w:color="006699"/>
            </w:tcBorders>
            <w:shd w:val="clear" w:color="92CDDC" w:fill="92CDDC"/>
            <w:noWrap/>
            <w:vAlign w:val="center"/>
            <w:hideMark/>
          </w:tcPr>
          <w:p w14:paraId="5418BA32" w14:textId="77777777" w:rsidR="0093697B" w:rsidRPr="00160CA8" w:rsidRDefault="0093697B" w:rsidP="0093697B">
            <w:pPr>
              <w:spacing w:after="0" w:line="240" w:lineRule="auto"/>
              <w:jc w:val="center"/>
              <w:rPr>
                <w:rFonts w:asciiTheme="majorHAnsi" w:eastAsia="Times New Roman" w:hAnsiTheme="majorHAnsi" w:cstheme="majorHAnsi"/>
                <w:color w:val="FFFFFF" w:themeColor="background1"/>
                <w:sz w:val="20"/>
                <w:szCs w:val="16"/>
                <w:lang w:val="en-GB" w:eastAsia="fr-FR"/>
              </w:rPr>
            </w:pPr>
            <w:r w:rsidRPr="00160CA8">
              <w:rPr>
                <w:rFonts w:asciiTheme="majorHAnsi" w:eastAsia="Times New Roman" w:hAnsiTheme="majorHAnsi" w:cstheme="majorHAnsi"/>
                <w:color w:val="FFFFFF" w:themeColor="background1"/>
                <w:sz w:val="20"/>
                <w:szCs w:val="16"/>
                <w:lang w:val="en-GB" w:eastAsia="fr-FR"/>
              </w:rPr>
              <w:t> </w:t>
            </w:r>
          </w:p>
        </w:tc>
        <w:tc>
          <w:tcPr>
            <w:tcW w:w="3118"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53ABF7B7" w14:textId="77777777" w:rsidR="0093697B" w:rsidRPr="008B6268" w:rsidRDefault="0093697B" w:rsidP="0093697B">
            <w:pPr>
              <w:spacing w:after="0" w:line="240" w:lineRule="auto"/>
              <w:rPr>
                <w:rFonts w:eastAsia="Times New Roman" w:cstheme="minorHAnsi"/>
                <w:sz w:val="20"/>
                <w:szCs w:val="16"/>
                <w:lang w:val="en-GB" w:eastAsia="fr-FR"/>
              </w:rPr>
            </w:pPr>
            <w:r w:rsidRPr="008B6268">
              <w:rPr>
                <w:rFonts w:eastAsia="Times New Roman" w:cstheme="minorHAnsi"/>
                <w:sz w:val="20"/>
                <w:szCs w:val="16"/>
                <w:lang w:val="en-GB" w:eastAsia="fr-FR"/>
              </w:rPr>
              <w:t>Sant ‘Elmo</w:t>
            </w:r>
          </w:p>
        </w:tc>
        <w:tc>
          <w:tcPr>
            <w:tcW w:w="1985" w:type="dxa"/>
            <w:tcBorders>
              <w:top w:val="single" w:sz="4" w:space="0" w:color="006699"/>
              <w:left w:val="single" w:sz="4" w:space="0" w:color="006699"/>
              <w:bottom w:val="single" w:sz="4" w:space="0" w:color="006699"/>
              <w:right w:val="single" w:sz="4" w:space="0" w:color="006699"/>
            </w:tcBorders>
            <w:shd w:val="clear" w:color="auto" w:fill="auto"/>
            <w:vAlign w:val="center"/>
          </w:tcPr>
          <w:p w14:paraId="5D0FB69E" w14:textId="0F4DCBCA"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r w:rsidRPr="00D22E92">
              <w:rPr>
                <w:rFonts w:ascii="Calibri" w:hAnsi="Calibri" w:cs="Calibri"/>
                <w:sz w:val="20"/>
              </w:rPr>
              <w:t>23</w:t>
            </w:r>
          </w:p>
        </w:tc>
        <w:tc>
          <w:tcPr>
            <w:tcW w:w="2409" w:type="dxa"/>
            <w:tcBorders>
              <w:top w:val="single" w:sz="4" w:space="0" w:color="006699"/>
              <w:left w:val="single" w:sz="4" w:space="0" w:color="006699"/>
              <w:bottom w:val="single" w:sz="4" w:space="0" w:color="006699"/>
              <w:right w:val="single" w:sz="4" w:space="0" w:color="006699"/>
            </w:tcBorders>
            <w:shd w:val="clear" w:color="auto" w:fill="auto"/>
            <w:noWrap/>
            <w:vAlign w:val="center"/>
            <w:hideMark/>
          </w:tcPr>
          <w:p w14:paraId="074B025F" w14:textId="1DA1BBBB" w:rsidR="0093697B" w:rsidRPr="00D22E92" w:rsidRDefault="0093697B" w:rsidP="00E16AFD">
            <w:pPr>
              <w:spacing w:after="0" w:line="240" w:lineRule="auto"/>
              <w:jc w:val="center"/>
              <w:rPr>
                <w:rFonts w:asciiTheme="majorHAnsi" w:eastAsia="Times New Roman" w:hAnsiTheme="majorHAnsi" w:cstheme="majorHAnsi"/>
                <w:sz w:val="20"/>
                <w:szCs w:val="16"/>
                <w:lang w:val="en-GB" w:eastAsia="fr-FR"/>
              </w:rPr>
            </w:pPr>
          </w:p>
        </w:tc>
      </w:tr>
    </w:tbl>
    <w:p w14:paraId="4D6E85C9" w14:textId="169EB458" w:rsidR="00020E74" w:rsidRDefault="00020E74">
      <w:pPr>
        <w:rPr>
          <w:b/>
        </w:rPr>
      </w:pPr>
    </w:p>
    <w:p w14:paraId="3BAAB98C" w14:textId="77777777" w:rsidR="00AA6781" w:rsidRDefault="00AA6781">
      <w:pPr>
        <w:rPr>
          <w:b/>
        </w:rPr>
      </w:pPr>
      <w:r>
        <w:rPr>
          <w:b/>
        </w:rPr>
        <w:br w:type="page"/>
      </w:r>
    </w:p>
    <w:p w14:paraId="306EB50B" w14:textId="77777777" w:rsidR="00E323D2" w:rsidRPr="00160CA8" w:rsidRDefault="00E323D2" w:rsidP="00E323D2">
      <w:pPr>
        <w:rPr>
          <w:b/>
          <w:sz w:val="24"/>
          <w:lang w:val="en-GB"/>
        </w:rPr>
      </w:pPr>
      <w:bookmarkStart w:id="1" w:name="_Hlk52541676"/>
      <w:r w:rsidRPr="00FF12B5">
        <w:rPr>
          <w:b/>
          <w:sz w:val="24"/>
          <w:lang w:val="en-GB"/>
        </w:rPr>
        <w:lastRenderedPageBreak/>
        <w:t>Annex 2</w:t>
      </w:r>
      <w:r w:rsidRPr="00FF12B5">
        <w:rPr>
          <w:sz w:val="24"/>
          <w:lang w:val="en-GB"/>
        </w:rPr>
        <w:t xml:space="preserve"> </w:t>
      </w:r>
      <w:r w:rsidRPr="00160CA8">
        <w:rPr>
          <w:lang w:val="en-GB"/>
        </w:rPr>
        <w:t xml:space="preserve">- </w:t>
      </w:r>
      <w:r w:rsidRPr="00160CA8">
        <w:rPr>
          <w:b/>
          <w:sz w:val="24"/>
          <w:lang w:val="en-GB"/>
        </w:rPr>
        <w:t>Statistical process and results</w:t>
      </w:r>
    </w:p>
    <w:p w14:paraId="43CF6D34" w14:textId="24923238" w:rsidR="00650E4B" w:rsidRPr="00BC1C47" w:rsidRDefault="00650E4B" w:rsidP="00650E4B">
      <w:pPr>
        <w:spacing w:line="360" w:lineRule="auto"/>
        <w:jc w:val="both"/>
        <w:rPr>
          <w:lang w:val="en-GB"/>
        </w:rPr>
      </w:pPr>
      <w:r w:rsidRPr="00F675DB">
        <w:rPr>
          <w:lang w:val="en-GB"/>
        </w:rPr>
        <w:t xml:space="preserve">For each metal, </w:t>
      </w:r>
      <w:bookmarkEnd w:id="1"/>
      <w:r w:rsidRPr="00F675DB">
        <w:rPr>
          <w:lang w:val="en-GB"/>
        </w:rPr>
        <w:t xml:space="preserve">outliers </w:t>
      </w:r>
      <w:r w:rsidR="001F297D">
        <w:rPr>
          <w:lang w:val="en-GB"/>
        </w:rPr>
        <w:t xml:space="preserve">were identified </w:t>
      </w:r>
      <w:r w:rsidR="00FF12B5">
        <w:rPr>
          <w:lang w:val="en-GB"/>
        </w:rPr>
        <w:t xml:space="preserve">from the linear model, </w:t>
      </w:r>
      <w:r w:rsidR="001F297D">
        <w:rPr>
          <w:lang w:val="en-GB"/>
        </w:rPr>
        <w:t xml:space="preserve">as </w:t>
      </w:r>
      <w:r w:rsidRPr="00F675DB">
        <w:rPr>
          <w:lang w:val="en-GB"/>
        </w:rPr>
        <w:t xml:space="preserve">those samples </w:t>
      </w:r>
      <w:r>
        <w:rPr>
          <w:lang w:val="en-GB"/>
        </w:rPr>
        <w:t>presenting</w:t>
      </w:r>
      <w:r w:rsidRPr="00F675DB">
        <w:rPr>
          <w:lang w:val="en-GB"/>
        </w:rPr>
        <w:t xml:space="preserve"> standardized residuals</w:t>
      </w:r>
      <w:r>
        <w:rPr>
          <w:lang w:val="en-GB"/>
        </w:rPr>
        <w:t>,</w:t>
      </w:r>
      <w:r w:rsidRPr="00F675DB">
        <w:rPr>
          <w:lang w:val="en-GB"/>
        </w:rPr>
        <w:t xml:space="preserve"> greater than 3 (rejection of values above 99.73% of the total values assuming that their distribution follows a normal distribution). In this way, an iterative process </w:t>
      </w:r>
      <w:r>
        <w:rPr>
          <w:lang w:val="en-GB"/>
        </w:rPr>
        <w:t>was</w:t>
      </w:r>
      <w:r w:rsidRPr="00F675DB">
        <w:rPr>
          <w:lang w:val="en-GB"/>
        </w:rPr>
        <w:t xml:space="preserve"> carried out until no more outliers </w:t>
      </w:r>
      <w:r>
        <w:rPr>
          <w:lang w:val="en-GB"/>
        </w:rPr>
        <w:t>were</w:t>
      </w:r>
      <w:r w:rsidRPr="00F675DB">
        <w:rPr>
          <w:lang w:val="en-GB"/>
        </w:rPr>
        <w:t xml:space="preserve"> identified: the process</w:t>
      </w:r>
      <w:r w:rsidRPr="002856DB">
        <w:rPr>
          <w:lang w:val="en-GB"/>
        </w:rPr>
        <w:t xml:space="preserve"> start</w:t>
      </w:r>
      <w:r>
        <w:rPr>
          <w:lang w:val="en-GB"/>
        </w:rPr>
        <w:t>ed</w:t>
      </w:r>
      <w:r w:rsidRPr="002856DB">
        <w:rPr>
          <w:lang w:val="en-GB"/>
        </w:rPr>
        <w:t xml:space="preserve"> with the linear modelling of all the results, thus allowing the identificati</w:t>
      </w:r>
      <w:r w:rsidRPr="00875079">
        <w:rPr>
          <w:lang w:val="en-GB"/>
        </w:rPr>
        <w:t xml:space="preserve">on of possible outliers. A new linear model </w:t>
      </w:r>
      <w:r>
        <w:rPr>
          <w:lang w:val="en-GB"/>
        </w:rPr>
        <w:t>was</w:t>
      </w:r>
      <w:r w:rsidRPr="00875079">
        <w:rPr>
          <w:lang w:val="en-GB"/>
        </w:rPr>
        <w:t xml:space="preserve"> made by removing the previously identified outliers. The new outliers </w:t>
      </w:r>
      <w:r>
        <w:rPr>
          <w:lang w:val="en-GB"/>
        </w:rPr>
        <w:t>were</w:t>
      </w:r>
      <w:r w:rsidRPr="00875079">
        <w:rPr>
          <w:lang w:val="en-GB"/>
        </w:rPr>
        <w:t xml:space="preserve"> then removed, and the process </w:t>
      </w:r>
      <w:r>
        <w:rPr>
          <w:lang w:val="en-GB"/>
        </w:rPr>
        <w:t>was</w:t>
      </w:r>
      <w:r w:rsidRPr="00875079">
        <w:rPr>
          <w:lang w:val="en-GB"/>
        </w:rPr>
        <w:t xml:space="preserve"> repeated </w:t>
      </w:r>
      <w:r>
        <w:rPr>
          <w:lang w:val="en-GB"/>
        </w:rPr>
        <w:t>until</w:t>
      </w:r>
      <w:r w:rsidRPr="00875079">
        <w:rPr>
          <w:lang w:val="en-GB"/>
        </w:rPr>
        <w:t xml:space="preserve"> </w:t>
      </w:r>
      <w:r>
        <w:rPr>
          <w:lang w:val="en-GB"/>
        </w:rPr>
        <w:t xml:space="preserve">all the </w:t>
      </w:r>
      <w:r w:rsidRPr="00875079">
        <w:rPr>
          <w:lang w:val="en-GB"/>
        </w:rPr>
        <w:t xml:space="preserve">outliers </w:t>
      </w:r>
      <w:r>
        <w:rPr>
          <w:lang w:val="en-GB"/>
        </w:rPr>
        <w:t>were</w:t>
      </w:r>
      <w:r w:rsidRPr="00875079">
        <w:rPr>
          <w:lang w:val="en-GB"/>
        </w:rPr>
        <w:t xml:space="preserve"> identified. </w:t>
      </w:r>
    </w:p>
    <w:p w14:paraId="4C42DEF0" w14:textId="611181FA" w:rsidR="00225BD4" w:rsidRPr="008B0D5D" w:rsidRDefault="00650E4B" w:rsidP="00225BD4">
      <w:pPr>
        <w:spacing w:line="360" w:lineRule="auto"/>
        <w:jc w:val="both"/>
        <w:rPr>
          <w:lang w:val="en-GB"/>
        </w:rPr>
      </w:pPr>
      <w:r w:rsidRPr="006F71AF">
        <w:rPr>
          <w:lang w:val="en-GB"/>
        </w:rPr>
        <w:t xml:space="preserve">The diagnosis of the model </w:t>
      </w:r>
      <w:r>
        <w:rPr>
          <w:lang w:val="en-GB"/>
        </w:rPr>
        <w:t>was</w:t>
      </w:r>
      <w:r w:rsidRPr="006F71AF">
        <w:rPr>
          <w:lang w:val="en-GB"/>
        </w:rPr>
        <w:t xml:space="preserve"> based on a standard graphical panel with graphical and numerical outputs to judge the normality and homoscedasticity of the residuals</w:t>
      </w:r>
      <w:r w:rsidR="00601EBB">
        <w:rPr>
          <w:lang w:val="en-GB"/>
        </w:rPr>
        <w:t xml:space="preserve"> </w:t>
      </w:r>
      <w:r w:rsidR="00323162">
        <w:rPr>
          <w:lang w:val="en-GB"/>
        </w:rPr>
        <w:t>(</w:t>
      </w:r>
      <w:r w:rsidR="00323162" w:rsidRPr="00323162">
        <w:rPr>
          <w:lang w:val="en-GB"/>
        </w:rPr>
        <w:t>Breusch and Pagan, 1979</w:t>
      </w:r>
      <w:r w:rsidR="00323162">
        <w:rPr>
          <w:lang w:val="en-GB"/>
        </w:rPr>
        <w:t xml:space="preserve"> ;  </w:t>
      </w:r>
      <w:r w:rsidR="00323162" w:rsidRPr="00323162">
        <w:rPr>
          <w:lang w:val="en-GB"/>
        </w:rPr>
        <w:t>Goldfeld and Quandt , 1965)</w:t>
      </w:r>
      <w:r w:rsidR="00323162">
        <w:rPr>
          <w:lang w:val="en-GB"/>
        </w:rPr>
        <w:t xml:space="preserve"> </w:t>
      </w:r>
      <w:r w:rsidR="00601EBB">
        <w:rPr>
          <w:lang w:val="en-GB"/>
        </w:rPr>
        <w:t>(Annex 3)</w:t>
      </w:r>
      <w:r>
        <w:rPr>
          <w:lang w:val="en-GB"/>
        </w:rPr>
        <w:t xml:space="preserve">. </w:t>
      </w:r>
      <w:r w:rsidRPr="006F71AF">
        <w:rPr>
          <w:lang w:val="en-GB"/>
        </w:rPr>
        <w:t xml:space="preserve">Although there </w:t>
      </w:r>
      <w:r>
        <w:rPr>
          <w:lang w:val="en-GB"/>
        </w:rPr>
        <w:t>was</w:t>
      </w:r>
      <w:r w:rsidRPr="006F71AF">
        <w:rPr>
          <w:lang w:val="en-GB"/>
        </w:rPr>
        <w:t xml:space="preserve"> a consen</w:t>
      </w:r>
      <w:r w:rsidRPr="00D374C6">
        <w:rPr>
          <w:lang w:val="en-GB"/>
        </w:rPr>
        <w:t xml:space="preserve">sus on these parameters </w:t>
      </w:r>
      <w:r>
        <w:rPr>
          <w:lang w:val="en-GB"/>
        </w:rPr>
        <w:t>for the validation of</w:t>
      </w:r>
      <w:r w:rsidRPr="00D374C6">
        <w:rPr>
          <w:lang w:val="en-GB"/>
        </w:rPr>
        <w:t xml:space="preserve"> linear model</w:t>
      </w:r>
      <w:r>
        <w:rPr>
          <w:lang w:val="en-GB"/>
        </w:rPr>
        <w:t>s</w:t>
      </w:r>
      <w:r w:rsidRPr="00D374C6">
        <w:rPr>
          <w:lang w:val="en-GB"/>
        </w:rPr>
        <w:t xml:space="preserve">, the assumption of normality of the residuals </w:t>
      </w:r>
      <w:r>
        <w:rPr>
          <w:lang w:val="en-GB"/>
        </w:rPr>
        <w:t>was</w:t>
      </w:r>
      <w:r w:rsidRPr="00D374C6">
        <w:rPr>
          <w:lang w:val="en-GB"/>
        </w:rPr>
        <w:t xml:space="preserve"> considered secondary</w:t>
      </w:r>
      <w:r>
        <w:rPr>
          <w:lang w:val="en-GB"/>
        </w:rPr>
        <w:t xml:space="preserve">; </w:t>
      </w:r>
      <w:r w:rsidRPr="00F72176">
        <w:rPr>
          <w:lang w:val="en-GB"/>
        </w:rPr>
        <w:t xml:space="preserve">the linear model </w:t>
      </w:r>
      <w:r>
        <w:rPr>
          <w:lang w:val="en-GB"/>
        </w:rPr>
        <w:t>was</w:t>
      </w:r>
      <w:r w:rsidRPr="00F72176">
        <w:rPr>
          <w:lang w:val="en-GB"/>
        </w:rPr>
        <w:t xml:space="preserve"> then considered to be robust to the absence of normality of the </w:t>
      </w:r>
      <w:r w:rsidR="0037317A">
        <w:rPr>
          <w:lang w:val="en-GB"/>
        </w:rPr>
        <w:t xml:space="preserve">given </w:t>
      </w:r>
      <w:r w:rsidRPr="00F72176">
        <w:rPr>
          <w:lang w:val="en-GB"/>
        </w:rPr>
        <w:t>residuals</w:t>
      </w:r>
      <w:r w:rsidRPr="002856DB">
        <w:rPr>
          <w:lang w:val="en-GB"/>
        </w:rPr>
        <w:t>. Nevertheless, in addition to</w:t>
      </w:r>
      <w:r>
        <w:rPr>
          <w:lang w:val="en-GB"/>
        </w:rPr>
        <w:t xml:space="preserve"> </w:t>
      </w:r>
      <w:r w:rsidRPr="002856DB">
        <w:rPr>
          <w:lang w:val="en-GB"/>
        </w:rPr>
        <w:t>the QQ-plot (which allows a graphical analysis of the normality of t</w:t>
      </w:r>
      <w:r w:rsidRPr="00875079">
        <w:rPr>
          <w:lang w:val="en-GB"/>
        </w:rPr>
        <w:t>he residuals)</w:t>
      </w:r>
      <w:r w:rsidRPr="002856DB">
        <w:rPr>
          <w:lang w:val="en-GB"/>
        </w:rPr>
        <w:t xml:space="preserve"> </w:t>
      </w:r>
      <w:r w:rsidRPr="00875079">
        <w:rPr>
          <w:lang w:val="en-GB"/>
        </w:rPr>
        <w:t>the Shapiro-Wilk and Lilliefors (Kolmogorov-Smirnov) tests</w:t>
      </w:r>
      <w:r>
        <w:rPr>
          <w:lang w:val="en-GB"/>
        </w:rPr>
        <w:t xml:space="preserve"> were</w:t>
      </w:r>
      <w:r w:rsidRPr="00875079">
        <w:rPr>
          <w:lang w:val="en-GB"/>
        </w:rPr>
        <w:t xml:space="preserve"> performed to guide the validation of the model</w:t>
      </w:r>
      <w:r>
        <w:rPr>
          <w:lang w:val="en-GB"/>
        </w:rPr>
        <w:t xml:space="preserve"> </w:t>
      </w:r>
      <w:r w:rsidRPr="002856DB">
        <w:rPr>
          <w:lang w:val="en-GB"/>
        </w:rPr>
        <w:fldChar w:fldCharType="begin"/>
      </w:r>
      <w:r w:rsidR="000745BE">
        <w:rPr>
          <w:lang w:val="en-GB"/>
        </w:rPr>
        <w:instrText xml:space="preserve"> ADDIN ZOTERO_ITEM CSL_CITATION {"citationID":"8y5so62H","properties":{"formattedCitation":"(Knief and Forstmeier, 2020)","plainCitation":"(Knief and Forstmeier, 2020)","noteIndex":0},"citationItems":[{"id":159,"uris":["http://zotero.org/users/5869685/items/FJHGC64Z"],"itemData":{"id":159,"type":"article-journal","abstract":"&lt;h3&gt;Abstract&lt;/h3&gt; &lt;p&gt;When data are not normally distributed (e.g. skewed, zero-inflated, binomial, or count data) researchers are often uncertain whether it may be legitimate to use tests that assume Gaussian errors (e.g. regression, &lt;i&gt;t&lt;/i&gt;-test, ANOVA, Gaussian mixed models), or whether one has to either model a more specific error structure or use randomization techniques.&lt;/p&gt;&lt;p&gt;Here we use Monte Carlo simulations to explore the pros and cons of fitting Gaussian models to non-normal data in terms of risk of type I error, power and utility for parameter estimation.&lt;/p&gt;&lt;p&gt;We find that Gaussian models are remarkably robust to non-normality over a wide range of conditions, meaning that &lt;i&gt;P&lt;/i&gt;-values remain fairly reliable except for data with influential outliers judged at strict alpha levels. Gaussian models also perform well in terms of power and they can be useful for parameter estimation but usually not for extrapolation. Transformation of data before analysis is often advisable and visual inspection for outliers and heteroscedasticity is important for assessment. In strong contrast, some non-Gaussian models and randomization techniques bear a range of risks that are often insufficiently known. High rates of false-positive conclusions can arise for instance when overdispersion in count data is not controlled appropriately or when randomization procedures ignore existing non-independencies in the data.&lt;/p&gt;&lt;p&gt;Overall, we argue that violating the normality assumption bears risks that are limited and manageable, while several more sophisticated approaches are relatively error prone and difficult to check during peer review. Hence, as long as scientists and reviewers are not fully aware of the risks, science might benefit from preferentially trusting Gaussian mixed models in which random effects account for non-independencies in the data in a transparent way.&lt;/p&gt;&lt;h3&gt;Tweetable abstract&lt;/h3&gt; &lt;p&gt;Gaussian models are remarkably robust to even dramatic violations of the normality assumption.&lt;/p&gt;","container-title":"bioRxiv","DOI":"10.1101/498931","language":"en","license":"© 2020, Posted by Cold Spring Harbor Laboratory. This pre-print is available under a Creative Commons License (Attribution-NonCommercial-NoDerivs 4.0 International), CC BY-NC-ND 4.0, as described at http://creativecommons.org/licenses/by-nc-nd/4.0/","note":"publisher: Cold Spring Harbor Laboratory\nsection: New Results","page":"498931","source":"www.biorxiv.org","title":"Violating the normality assumption may be the lesser of two evils","URL":"https://www.biorxiv.org/content/10.1101/498931v2","author":[{"family":"Knief","given":"Ulrich"},{"family":"Forstmeier","given":"Wolfgang"}],"accessed":{"date-parts":[["2020",9,28]]},"issued":{"date-parts":[["2020",5,5]]}}}],"schema":"https://github.com/citation-style-language/schema/raw/master/csl-citation.json"} </w:instrText>
      </w:r>
      <w:r w:rsidRPr="002856DB">
        <w:rPr>
          <w:lang w:val="en-GB"/>
        </w:rPr>
        <w:fldChar w:fldCharType="separate"/>
      </w:r>
      <w:r w:rsidRPr="00802AD4">
        <w:rPr>
          <w:rFonts w:ascii="Calibri" w:hAnsi="Calibri" w:cs="Calibri"/>
          <w:lang w:val="en-US"/>
        </w:rPr>
        <w:t>(Knief and Forstmeier, 2020)</w:t>
      </w:r>
      <w:r w:rsidRPr="002856DB">
        <w:rPr>
          <w:lang w:val="en-GB"/>
        </w:rPr>
        <w:fldChar w:fldCharType="end"/>
      </w:r>
      <w:r>
        <w:rPr>
          <w:lang w:val="en-GB"/>
        </w:rPr>
        <w:t xml:space="preserve">. </w:t>
      </w:r>
      <w:r w:rsidRPr="00C37263">
        <w:rPr>
          <w:lang w:val="en-GB"/>
        </w:rPr>
        <w:t xml:space="preserve">The most important point </w:t>
      </w:r>
      <w:r>
        <w:rPr>
          <w:lang w:val="en-GB"/>
        </w:rPr>
        <w:t>was</w:t>
      </w:r>
      <w:r w:rsidRPr="00C37263">
        <w:rPr>
          <w:lang w:val="en-GB"/>
        </w:rPr>
        <w:t xml:space="preserve"> to have a QQ-plot curve that </w:t>
      </w:r>
      <w:r>
        <w:rPr>
          <w:lang w:val="en-GB"/>
        </w:rPr>
        <w:t>was</w:t>
      </w:r>
      <w:r w:rsidRPr="00C37263">
        <w:rPr>
          <w:lang w:val="en-GB"/>
        </w:rPr>
        <w:t xml:space="preserve"> as linear as possible with no real residuals th</w:t>
      </w:r>
      <w:r w:rsidRPr="00EA2ED5">
        <w:rPr>
          <w:lang w:val="en-GB"/>
        </w:rPr>
        <w:t xml:space="preserve">at stand out (no curved distributed residuals). In this case, even if the results of the normality tests mentioned above </w:t>
      </w:r>
      <w:r>
        <w:rPr>
          <w:lang w:val="en-GB"/>
        </w:rPr>
        <w:t>were</w:t>
      </w:r>
      <w:r w:rsidRPr="00EA2ED5">
        <w:rPr>
          <w:lang w:val="en-GB"/>
        </w:rPr>
        <w:t xml:space="preserve"> below the validity threshold (p-value &lt; 0.05), </w:t>
      </w:r>
      <w:bookmarkStart w:id="2" w:name="_Hlk121131799"/>
      <w:r w:rsidRPr="00EA2ED5">
        <w:rPr>
          <w:lang w:val="en-GB"/>
        </w:rPr>
        <w:t>the normality hypothesis</w:t>
      </w:r>
      <w:r>
        <w:rPr>
          <w:lang w:val="en-GB"/>
        </w:rPr>
        <w:t xml:space="preserve"> was </w:t>
      </w:r>
      <w:r w:rsidRPr="00EA2ED5">
        <w:rPr>
          <w:lang w:val="en-GB"/>
        </w:rPr>
        <w:t>accepted .</w:t>
      </w:r>
      <w:bookmarkEnd w:id="2"/>
      <w:r w:rsidR="00225BD4">
        <w:rPr>
          <w:lang w:val="en-GB"/>
        </w:rPr>
        <w:t xml:space="preserve"> </w:t>
      </w:r>
      <w:r w:rsidR="00225BD4" w:rsidRPr="008B0D5D">
        <w:rPr>
          <w:lang w:val="en-GB"/>
        </w:rPr>
        <w:t>The Shapiro-Wilk and Lilliefors (Kolmogorov-Smirnov) tests were selected considering that the power and robustness of the tests is subject to application conditions, namely the size of the sample population. During data processing, the first step aimed at identifying and excluding outliers (pairs of values), which resulted in fluctuating sizes of metal datasets for linear regressions. To take these varying sizes of datasets into account, it was deemed necessary to consider two normality tests, Shapiro-Wilk and Lilliefors (Kolmogorov-Smirnov), allowing a less critical diagnosis than a result based on the selection of a single test. The idea was to choose a parametric test (Shapiro-Wilk) and a non-parametric test (Lilliefors)</w:t>
      </w:r>
      <w:r w:rsidR="000C4EC6">
        <w:rPr>
          <w:lang w:val="en-GB"/>
        </w:rPr>
        <w:t xml:space="preserve"> </w:t>
      </w:r>
      <w:r w:rsidR="00B22EE5">
        <w:rPr>
          <w:lang w:val="en-GB"/>
        </w:rPr>
        <w:t>(Scherrer, 2007)</w:t>
      </w:r>
      <w:r w:rsidR="00225BD4" w:rsidRPr="008B0D5D">
        <w:rPr>
          <w:lang w:val="en-GB"/>
        </w:rPr>
        <w:t>, which have different conditions of application, particularly with regard to the size of the datasets. This approach has also been used to test the homoscedasticity of the model's residuals.</w:t>
      </w:r>
    </w:p>
    <w:p w14:paraId="380DCCD2" w14:textId="246F5569" w:rsidR="00650E4B" w:rsidRDefault="00650E4B" w:rsidP="00650E4B">
      <w:pPr>
        <w:spacing w:line="360" w:lineRule="auto"/>
        <w:jc w:val="both"/>
        <w:rPr>
          <w:lang w:val="en-GB"/>
        </w:rPr>
      </w:pPr>
      <w:r w:rsidRPr="00875079">
        <w:rPr>
          <w:lang w:val="en-GB"/>
        </w:rPr>
        <w:t xml:space="preserve">The homoscedasticity of the residuals </w:t>
      </w:r>
      <w:r w:rsidRPr="003516C7">
        <w:rPr>
          <w:lang w:val="en-GB"/>
        </w:rPr>
        <w:t>was also considered</w:t>
      </w:r>
      <w:r w:rsidR="001F297D">
        <w:rPr>
          <w:lang w:val="en-GB"/>
        </w:rPr>
        <w:t>,</w:t>
      </w:r>
      <w:r w:rsidRPr="00875079">
        <w:rPr>
          <w:lang w:val="en-GB"/>
        </w:rPr>
        <w:t xml:space="preserve"> thanks to the graphical output illustrating the square roots of the residuals (standardized residuals) as a function of the predicted theoretical values (fitted-val</w:t>
      </w:r>
      <w:r w:rsidRPr="00FB63A6">
        <w:rPr>
          <w:lang w:val="en-GB"/>
        </w:rPr>
        <w:t xml:space="preserve">ues) of Y and the Breush-Pagan and Golfeld-Quandt tests. Although Koenker's version </w:t>
      </w:r>
      <w:r>
        <w:rPr>
          <w:lang w:val="en-GB"/>
        </w:rPr>
        <w:t xml:space="preserve">was considered </w:t>
      </w:r>
      <w:r w:rsidRPr="00FB63A6">
        <w:rPr>
          <w:lang w:val="en-GB"/>
        </w:rPr>
        <w:t xml:space="preserve">(less sensitive to the lack of normality than </w:t>
      </w:r>
      <w:r w:rsidR="0037317A" w:rsidRPr="0037317A">
        <w:rPr>
          <w:lang w:val="en-GB"/>
        </w:rPr>
        <w:t>the</w:t>
      </w:r>
      <w:r w:rsidR="0037317A">
        <w:rPr>
          <w:lang w:val="en-GB"/>
        </w:rPr>
        <w:t xml:space="preserve"> </w:t>
      </w:r>
      <w:r w:rsidRPr="00FB63A6">
        <w:rPr>
          <w:lang w:val="en-GB"/>
        </w:rPr>
        <w:t>original version), the Breush-Pagan test stay</w:t>
      </w:r>
      <w:r>
        <w:rPr>
          <w:lang w:val="en-GB"/>
        </w:rPr>
        <w:t>ed</w:t>
      </w:r>
      <w:r w:rsidRPr="00FB63A6">
        <w:rPr>
          <w:lang w:val="en-GB"/>
        </w:rPr>
        <w:t xml:space="preserve"> sensitive to the lack of normality. The homoscedastici</w:t>
      </w:r>
      <w:r w:rsidRPr="006F71AF">
        <w:rPr>
          <w:lang w:val="en-GB"/>
        </w:rPr>
        <w:t xml:space="preserve">ty of the residuals </w:t>
      </w:r>
      <w:r>
        <w:rPr>
          <w:lang w:val="en-GB"/>
        </w:rPr>
        <w:t>was</w:t>
      </w:r>
      <w:r w:rsidRPr="006F71AF">
        <w:rPr>
          <w:lang w:val="en-GB"/>
        </w:rPr>
        <w:t xml:space="preserve"> also tested with the Golfeld-Quandt test. </w:t>
      </w:r>
    </w:p>
    <w:p w14:paraId="077FFD61" w14:textId="69F54DE9" w:rsidR="009B090D" w:rsidRPr="009B090D" w:rsidRDefault="009B090D" w:rsidP="009B090D">
      <w:pPr>
        <w:spacing w:line="360" w:lineRule="auto"/>
        <w:jc w:val="both"/>
        <w:rPr>
          <w:lang w:val="en-GB"/>
        </w:rPr>
      </w:pPr>
      <w:r w:rsidRPr="009B090D">
        <w:rPr>
          <w:lang w:val="en-GB"/>
        </w:rPr>
        <w:lastRenderedPageBreak/>
        <w:t>The validity of the final model for each metal was therefore considered valid when:</w:t>
      </w:r>
    </w:p>
    <w:p w14:paraId="19C8013E" w14:textId="77777777" w:rsidR="009B090D" w:rsidRPr="009B090D" w:rsidRDefault="009B090D" w:rsidP="009B090D">
      <w:pPr>
        <w:spacing w:line="360" w:lineRule="auto"/>
        <w:jc w:val="both"/>
        <w:rPr>
          <w:lang w:val="en-GB"/>
        </w:rPr>
      </w:pPr>
      <w:r w:rsidRPr="009B090D">
        <w:rPr>
          <w:lang w:val="en-GB"/>
        </w:rPr>
        <w:t>1- p-value &lt;</w:t>
      </w:r>
      <w:r w:rsidRPr="009B090D">
        <w:rPr>
          <w:rFonts w:ascii="Times New Roman" w:hAnsi="Times New Roman" w:cs="Times New Roman"/>
          <w:lang w:val="en-GB"/>
        </w:rPr>
        <w:t xml:space="preserve"> </w:t>
      </w:r>
      <w:r w:rsidRPr="009B090D">
        <w:rPr>
          <w:lang w:val="en-GB"/>
        </w:rPr>
        <w:t>0.05. A low p-Value (&lt;0.05) indicates that the null hypothesis (no effect) can be rejected. In other words, a predictor with a low p-value is likely to be a significant addition to the model, because changes in the value of the predictor will result in</w:t>
      </w:r>
      <w:r w:rsidRPr="00906F8E">
        <w:rPr>
          <w:lang w:val="en-GB"/>
        </w:rPr>
        <w:t xml:space="preserve"> </w:t>
      </w:r>
      <w:r w:rsidRPr="009B090D">
        <w:rPr>
          <w:lang w:val="en-GB"/>
        </w:rPr>
        <w:t>changes in the response variable;</w:t>
      </w:r>
    </w:p>
    <w:p w14:paraId="28E47274" w14:textId="77777777" w:rsidR="009B090D" w:rsidRPr="009B090D" w:rsidRDefault="009B090D" w:rsidP="009B090D">
      <w:pPr>
        <w:spacing w:line="360" w:lineRule="auto"/>
        <w:jc w:val="both"/>
        <w:rPr>
          <w:lang w:val="en-GB"/>
        </w:rPr>
      </w:pPr>
      <w:r w:rsidRPr="009B090D">
        <w:rPr>
          <w:lang w:val="en-GB"/>
        </w:rPr>
        <w:t>2- the residuals follow a normal or near-normal distribution. Although the normality of residuals was checked using the Shapiro-Wilk and Lilliefors tests, a subtle deviation from normality was accepted, following the paradigm of Wasserstein et al. (2019), when the QQ-plot was linear without standing curve-distributed residuals, as linear models are known to be very robust to violations of the normality assumption (Knief and Forstmeier, 2020).</w:t>
      </w:r>
    </w:p>
    <w:p w14:paraId="5F69B592" w14:textId="51A32905" w:rsidR="009B090D" w:rsidRPr="009B090D" w:rsidRDefault="009B090D" w:rsidP="009B090D">
      <w:pPr>
        <w:spacing w:line="360" w:lineRule="auto"/>
        <w:jc w:val="both"/>
        <w:rPr>
          <w:lang w:val="en-GB"/>
        </w:rPr>
      </w:pPr>
      <w:r w:rsidRPr="009B090D">
        <w:rPr>
          <w:lang w:val="en-GB"/>
        </w:rPr>
        <w:t xml:space="preserve">3- the </w:t>
      </w:r>
      <w:bookmarkStart w:id="3" w:name="_Hlk125556757"/>
      <w:r w:rsidRPr="009B090D">
        <w:rPr>
          <w:lang w:val="en-GB"/>
        </w:rPr>
        <w:t xml:space="preserve">homoscedasticity </w:t>
      </w:r>
      <w:bookmarkEnd w:id="3"/>
      <w:r w:rsidRPr="009B090D">
        <w:rPr>
          <w:lang w:val="en-GB"/>
        </w:rPr>
        <w:t>of the residuals is verified; i.e., there is no increase in the variance of the residuals when the value of X increases.</w:t>
      </w:r>
    </w:p>
    <w:p w14:paraId="04775CF9" w14:textId="0C222E67" w:rsidR="00650E4B" w:rsidRPr="003D7293" w:rsidRDefault="00650E4B" w:rsidP="00650E4B">
      <w:pPr>
        <w:spacing w:line="360" w:lineRule="auto"/>
        <w:jc w:val="both"/>
        <w:rPr>
          <w:lang w:val="en-GB"/>
        </w:rPr>
      </w:pPr>
      <w:r w:rsidRPr="006F71AF">
        <w:rPr>
          <w:lang w:val="en-GB"/>
        </w:rPr>
        <w:t>It should nevertheless be specified that the choice to consider two tests for each criterion offer</w:t>
      </w:r>
      <w:r>
        <w:rPr>
          <w:lang w:val="en-GB"/>
        </w:rPr>
        <w:t>ed</w:t>
      </w:r>
      <w:r w:rsidRPr="006F71AF">
        <w:rPr>
          <w:lang w:val="en-GB"/>
        </w:rPr>
        <w:t xml:space="preserve"> the possibility to be more objective on the decision (each test having its limits/gaps). Thus, the validation of a model </w:t>
      </w:r>
      <w:r>
        <w:rPr>
          <w:lang w:val="en-GB"/>
        </w:rPr>
        <w:t>was accepted</w:t>
      </w:r>
      <w:r w:rsidRPr="006F71AF">
        <w:rPr>
          <w:lang w:val="en-GB"/>
        </w:rPr>
        <w:t xml:space="preserve"> if one of the 2 tests for each crit</w:t>
      </w:r>
      <w:r w:rsidRPr="00E3004E">
        <w:rPr>
          <w:lang w:val="en-GB"/>
        </w:rPr>
        <w:t xml:space="preserve">erion </w:t>
      </w:r>
      <w:r>
        <w:rPr>
          <w:lang w:val="en-GB"/>
        </w:rPr>
        <w:t>was</w:t>
      </w:r>
      <w:r w:rsidRPr="00E3004E">
        <w:rPr>
          <w:lang w:val="en-GB"/>
        </w:rPr>
        <w:t xml:space="preserve"> valid. As mentioned above, normality </w:t>
      </w:r>
      <w:r>
        <w:rPr>
          <w:lang w:val="en-GB"/>
        </w:rPr>
        <w:t>could</w:t>
      </w:r>
      <w:r w:rsidRPr="00E3004E">
        <w:rPr>
          <w:lang w:val="en-GB"/>
        </w:rPr>
        <w:t xml:space="preserve"> be the subject of a less clear-cut decision</w:t>
      </w:r>
      <w:r w:rsidR="006221A5">
        <w:rPr>
          <w:lang w:val="en-GB"/>
        </w:rPr>
        <w:t xml:space="preserve"> (linear model is very robust to </w:t>
      </w:r>
      <w:r w:rsidR="006221A5" w:rsidRPr="005754A6">
        <w:rPr>
          <w:lang w:val="en-GB"/>
        </w:rPr>
        <w:t>violations of the normality assumption</w:t>
      </w:r>
      <w:r w:rsidR="006221A5">
        <w:rPr>
          <w:lang w:val="en-GB"/>
        </w:rPr>
        <w:t xml:space="preserve"> </w:t>
      </w:r>
      <w:r w:rsidR="006221A5" w:rsidRPr="002856DB">
        <w:rPr>
          <w:lang w:val="en-GB"/>
        </w:rPr>
        <w:fldChar w:fldCharType="begin"/>
      </w:r>
      <w:r w:rsidR="006221A5">
        <w:rPr>
          <w:lang w:val="en-GB"/>
        </w:rPr>
        <w:instrText xml:space="preserve"> ADDIN ZOTERO_ITEM CSL_CITATION {"citationID":"8y5so62H","properties":{"formattedCitation":"(Knief and Forstmeier, 2020)","plainCitation":"(Knief and Forstmeier, 2020)","noteIndex":0},"citationItems":[{"id":159,"uris":["http://zotero.org/users/5869685/items/FJHGC64Z"],"itemData":{"id":159,"type":"article-journal","abstract":"&lt;h3&gt;Abstract&lt;/h3&gt; &lt;p&gt;When data are not normally distributed (e.g. skewed, zero-inflated, binomial, or count data) researchers are often uncertain whether it may be legitimate to use tests that assume Gaussian errors (e.g. regression, &lt;i&gt;t&lt;/i&gt;-test, ANOVA, Gaussian mixed models), or whether one has to either model a more specific error structure or use randomization techniques.&lt;/p&gt;&lt;p&gt;Here we use Monte Carlo simulations to explore the pros and cons of fitting Gaussian models to non-normal data in terms of risk of type I error, power and utility for parameter estimation.&lt;/p&gt;&lt;p&gt;We find that Gaussian models are remarkably robust to non-normality over a wide range of conditions, meaning that &lt;i&gt;P&lt;/i&gt;-values remain fairly reliable except for data with influential outliers judged at strict alpha levels. Gaussian models also perform well in terms of power and they can be useful for parameter estimation but usually not for extrapolation. Transformation of data before analysis is often advisable and visual inspection for outliers and heteroscedasticity is important for assessment. In strong contrast, some non-Gaussian models and randomization techniques bear a range of risks that are often insufficiently known. High rates of false-positive conclusions can arise for instance when overdispersion in count data is not controlled appropriately or when randomization procedures ignore existing non-independencies in the data.&lt;/p&gt;&lt;p&gt;Overall, we argue that violating the normality assumption bears risks that are limited and manageable, while several more sophisticated approaches are relatively error prone and difficult to check during peer review. Hence, as long as scientists and reviewers are not fully aware of the risks, science might benefit from preferentially trusting Gaussian mixed models in which random effects account for non-independencies in the data in a transparent way.&lt;/p&gt;&lt;h3&gt;Tweetable abstract&lt;/h3&gt; &lt;p&gt;Gaussian models are remarkably robust to even dramatic violations of the normality assumption.&lt;/p&gt;","container-title":"bioRxiv","DOI":"10.1101/498931","language":"en","license":"© 2020, Posted by Cold Spring Harbor Laboratory. This pre-print is available under a Creative Commons License (Attribution-NonCommercial-NoDerivs 4.0 International), CC BY-NC-ND 4.0, as described at http://creativecommons.org/licenses/by-nc-nd/4.0/","note":"publisher: Cold Spring Harbor Laboratory\nsection: New Results","page":"498931","source":"www.biorxiv.org","title":"Violating the normality assumption may be the lesser of two evils","URL":"https://www.biorxiv.org/content/10.1101/498931v2","author":[{"family":"Knief","given":"Ulrich"},{"family":"Forstmeier","given":"Wolfgang"}],"accessed":{"date-parts":[["2020",9,28]]},"issued":{"date-parts":[["2020",5,5]]}}}],"schema":"https://github.com/citation-style-language/schema/raw/master/csl-citation.json"} </w:instrText>
      </w:r>
      <w:r w:rsidR="006221A5" w:rsidRPr="002856DB">
        <w:rPr>
          <w:lang w:val="en-GB"/>
        </w:rPr>
        <w:fldChar w:fldCharType="separate"/>
      </w:r>
      <w:r w:rsidR="006221A5" w:rsidRPr="00802AD4">
        <w:rPr>
          <w:rFonts w:ascii="Calibri" w:hAnsi="Calibri" w:cs="Calibri"/>
          <w:lang w:val="en-US"/>
        </w:rPr>
        <w:t>(Knief and Forstmeier, 2020)</w:t>
      </w:r>
      <w:r w:rsidR="006221A5" w:rsidRPr="002856DB">
        <w:rPr>
          <w:lang w:val="en-GB"/>
        </w:rPr>
        <w:fldChar w:fldCharType="end"/>
      </w:r>
      <w:r w:rsidRPr="00E3004E">
        <w:rPr>
          <w:lang w:val="en-GB"/>
        </w:rPr>
        <w:t xml:space="preserve">, also based on the graphical output (QQ-plot). In any case, it </w:t>
      </w:r>
      <w:r w:rsidR="004036B4">
        <w:rPr>
          <w:lang w:val="en-GB"/>
        </w:rPr>
        <w:t xml:space="preserve"> is</w:t>
      </w:r>
      <w:r w:rsidRPr="00E3004E">
        <w:rPr>
          <w:lang w:val="en-GB"/>
        </w:rPr>
        <w:t xml:space="preserve"> advisable to remain vigilant on this cut-off point of statistical thresholds (i.e. p</w:t>
      </w:r>
      <w:r>
        <w:rPr>
          <w:lang w:val="en-GB"/>
        </w:rPr>
        <w:t xml:space="preserve">-value </w:t>
      </w:r>
      <w:r w:rsidRPr="00E3004E">
        <w:rPr>
          <w:lang w:val="en-GB"/>
        </w:rPr>
        <w:t>&lt;</w:t>
      </w:r>
      <w:r>
        <w:rPr>
          <w:lang w:val="en-GB"/>
        </w:rPr>
        <w:t xml:space="preserve"> </w:t>
      </w:r>
      <w:r w:rsidRPr="00E3004E">
        <w:rPr>
          <w:lang w:val="en-GB"/>
        </w:rPr>
        <w:t xml:space="preserve">0.05), keeping in mind the number of values taken into account, their general appearance by a visual glance (graphical output) and by relativizing the concept of "significant" </w:t>
      </w:r>
      <w:r w:rsidRPr="002856DB">
        <w:rPr>
          <w:lang w:val="en-GB"/>
        </w:rPr>
        <w:fldChar w:fldCharType="begin"/>
      </w:r>
      <w:r>
        <w:rPr>
          <w:lang w:val="en-GB"/>
        </w:rPr>
        <w:instrText xml:space="preserve"> ADDIN ZOTERO_ITEM CSL_CITATION {"citationID":"S4mj9peP","properties":{"formattedCitation":"(Wasserstein et al., 2019)","plainCitation":"(Wasserstein et al., 2019)","noteIndex":0},"citationItems":[{"id":158,"uris":["http://zotero.org/users/5869685/items/YPNR3QII"],"itemData":{"id":158,"type":"article-journal","container-title":"The American Statistician","DOI":"10.1080/00031305.2019.1583913","ISSN":"0003-1305, 1537-2731","issue":"sup1","journalAbbreviation":"The American Statistician","language":"en","page":"1-19","source":"DOI.org (Crossref)","title":"Moving to a World Beyond “ &lt;i&gt;p&lt;/i&gt; &lt; 0.05”","URL":"https://www.tandfonline.com/doi/full/10.1080/00031305.2019.1583913","volume":"73","author":[{"family":"Wasserstein","given":"Ronald L."},{"family":"Schirm","given":"Allen L."},{"family":"Lazar","given":"Nicole A."}],"accessed":{"date-parts":[["2020",9,28]]},"issued":{"date-parts":[["2019",3,29]]}}}],"schema":"https://github.com/citation-style-language/schema/raw/master/csl-citation.json"} </w:instrText>
      </w:r>
      <w:r w:rsidRPr="002856DB">
        <w:rPr>
          <w:lang w:val="en-GB"/>
        </w:rPr>
        <w:fldChar w:fldCharType="separate"/>
      </w:r>
      <w:r w:rsidRPr="00802AD4">
        <w:rPr>
          <w:rFonts w:ascii="Calibri" w:hAnsi="Calibri" w:cs="Calibri"/>
          <w:lang w:val="en-US"/>
        </w:rPr>
        <w:t>(Wasserstein et al., 2019)</w:t>
      </w:r>
      <w:r w:rsidRPr="002856DB">
        <w:rPr>
          <w:lang w:val="en-GB"/>
        </w:rPr>
        <w:fldChar w:fldCharType="end"/>
      </w:r>
      <w:r w:rsidRPr="002856DB">
        <w:rPr>
          <w:lang w:val="en-GB"/>
        </w:rPr>
        <w:t>.</w:t>
      </w:r>
      <w:r w:rsidRPr="19E9F4C2">
        <w:rPr>
          <w:lang w:val="en-GB"/>
        </w:rPr>
        <w:t xml:space="preserve"> </w:t>
      </w:r>
    </w:p>
    <w:p w14:paraId="2AC02E88" w14:textId="77777777" w:rsidR="000745BE" w:rsidRDefault="000745BE" w:rsidP="000745BE">
      <w:pPr>
        <w:spacing w:line="360" w:lineRule="auto"/>
        <w:jc w:val="both"/>
        <w:rPr>
          <w:rFonts w:cstheme="minorHAnsi"/>
          <w:b/>
          <w:lang w:val="en-GB"/>
        </w:rPr>
      </w:pPr>
    </w:p>
    <w:p w14:paraId="18BF4A13" w14:textId="76C1D602" w:rsidR="000745BE" w:rsidRDefault="000745BE" w:rsidP="000745BE">
      <w:pPr>
        <w:spacing w:line="360" w:lineRule="auto"/>
        <w:jc w:val="both"/>
        <w:rPr>
          <w:rFonts w:cstheme="minorHAnsi"/>
          <w:b/>
          <w:lang w:val="en-GB"/>
        </w:rPr>
      </w:pPr>
      <w:r w:rsidRPr="000745BE">
        <w:rPr>
          <w:rFonts w:cstheme="minorHAnsi"/>
          <w:b/>
          <w:lang w:val="en-GB"/>
        </w:rPr>
        <w:t>REFERENCES</w:t>
      </w:r>
    </w:p>
    <w:p w14:paraId="053C1127" w14:textId="015E8DF5" w:rsidR="00323162" w:rsidRPr="00906F8E" w:rsidRDefault="00323162" w:rsidP="00906F8E">
      <w:pPr>
        <w:pStyle w:val="Bibliography"/>
        <w:rPr>
          <w:rFonts w:ascii="Calibri" w:hAnsi="Calibri" w:cs="Calibri"/>
          <w:lang w:val="en-GB"/>
        </w:rPr>
      </w:pPr>
      <w:r w:rsidRPr="00906F8E">
        <w:rPr>
          <w:rFonts w:ascii="Calibri" w:hAnsi="Calibri" w:cs="Calibri"/>
        </w:rPr>
        <w:t xml:space="preserve">Breusch, T.S., Pagan, A.R., 1979. </w:t>
      </w:r>
      <w:r w:rsidRPr="00906F8E">
        <w:rPr>
          <w:rFonts w:ascii="Calibri" w:hAnsi="Calibri" w:cs="Calibri"/>
          <w:lang w:val="en-GB"/>
        </w:rPr>
        <w:t>A simple test for heteroscedasticity and random coefficient variation. Econometrica: Journal of the Econometric Society 1287–1294.</w:t>
      </w:r>
    </w:p>
    <w:p w14:paraId="23789791" w14:textId="121F2BB0" w:rsidR="00323162" w:rsidRPr="00906F8E" w:rsidRDefault="00323162" w:rsidP="00906F8E">
      <w:pPr>
        <w:pStyle w:val="Bibliography"/>
        <w:rPr>
          <w:rFonts w:ascii="Calibri" w:hAnsi="Calibri" w:cs="Calibri"/>
          <w:lang w:val="en-GB"/>
        </w:rPr>
      </w:pPr>
      <w:r w:rsidRPr="00906F8E">
        <w:rPr>
          <w:rFonts w:ascii="Calibri" w:hAnsi="Calibri" w:cs="Calibri"/>
          <w:lang w:val="en-GB"/>
        </w:rPr>
        <w:t>Goldfeld, S.M., Quandt, R.E., 1965. Some tests for homoscedasticity. Journal of the American statistical Association 60, 539–547.</w:t>
      </w:r>
    </w:p>
    <w:p w14:paraId="098B937F" w14:textId="57DEF699" w:rsidR="000745BE" w:rsidRPr="009213E6" w:rsidRDefault="000745BE">
      <w:pPr>
        <w:pStyle w:val="Bibliography"/>
        <w:rPr>
          <w:rFonts w:ascii="Calibri" w:hAnsi="Calibri" w:cs="Calibri"/>
          <w:lang w:val="en-GB"/>
        </w:rPr>
      </w:pPr>
      <w:r>
        <w:fldChar w:fldCharType="begin"/>
      </w:r>
      <w:r w:rsidRPr="009213E6">
        <w:rPr>
          <w:lang w:val="en-GB"/>
        </w:rPr>
        <w:instrText xml:space="preserve"> ADDIN ZOTERO_BIBL {"uncited":[],"omitted":[],"custom":[]} CSL_BIBLIOGRAPHY </w:instrText>
      </w:r>
      <w:r>
        <w:fldChar w:fldCharType="separate"/>
      </w:r>
      <w:r w:rsidRPr="009213E6">
        <w:rPr>
          <w:rFonts w:ascii="Calibri" w:hAnsi="Calibri" w:cs="Calibri"/>
          <w:lang w:val="en-GB"/>
        </w:rPr>
        <w:t>Knief, U., Forstmeier, W., 2020. Violating the normality assumption may be the lesser of two evils. bioRxiv 498931. https://doi.org/10.1101/498931</w:t>
      </w:r>
    </w:p>
    <w:p w14:paraId="17F96B9F" w14:textId="165AE329" w:rsidR="00323162" w:rsidRDefault="00B22EE5" w:rsidP="00906F8E">
      <w:pPr>
        <w:spacing w:line="240" w:lineRule="auto"/>
        <w:rPr>
          <w:lang w:val="en-GB"/>
        </w:rPr>
      </w:pPr>
      <w:bookmarkStart w:id="4" w:name="_Hlk130913558"/>
      <w:r>
        <w:t xml:space="preserve">Scherrer, B., 2007. Biostatistique, vol. 1, Gaëtan Morin éditeur (816 pp.). </w:t>
      </w:r>
      <w:r w:rsidRPr="00906F8E">
        <w:rPr>
          <w:lang w:val="en-GB"/>
        </w:rPr>
        <w:t>ed.</w:t>
      </w:r>
    </w:p>
    <w:bookmarkEnd w:id="4"/>
    <w:p w14:paraId="4AA62C34" w14:textId="405A097A" w:rsidR="000745BE" w:rsidRPr="009213E6" w:rsidRDefault="000745BE">
      <w:pPr>
        <w:pStyle w:val="Bibliography"/>
        <w:rPr>
          <w:rFonts w:ascii="Calibri" w:hAnsi="Calibri" w:cs="Calibri"/>
          <w:lang w:val="en-GB"/>
        </w:rPr>
      </w:pPr>
      <w:r w:rsidRPr="009213E6">
        <w:rPr>
          <w:rFonts w:ascii="Calibri" w:hAnsi="Calibri" w:cs="Calibri"/>
          <w:lang w:val="en-GB"/>
        </w:rPr>
        <w:t>Wasserstein, R.L., Schirm, A.L., Lazar, N.A., 2019. Moving to a World Beyond “</w:t>
      </w:r>
      <w:r w:rsidRPr="009213E6">
        <w:rPr>
          <w:rFonts w:ascii="Calibri" w:hAnsi="Calibri" w:cs="Calibri"/>
          <w:i/>
          <w:iCs/>
          <w:lang w:val="en-GB"/>
        </w:rPr>
        <w:t>p</w:t>
      </w:r>
      <w:r w:rsidRPr="009213E6">
        <w:rPr>
          <w:rFonts w:ascii="Calibri" w:hAnsi="Calibri" w:cs="Calibri"/>
          <w:lang w:val="en-GB"/>
        </w:rPr>
        <w:t xml:space="preserve"> &lt; 0.05.” The American Statistician 73, 1–19. https://doi.org/10.1080/00031305.2019.1583913</w:t>
      </w:r>
    </w:p>
    <w:p w14:paraId="65D831EA" w14:textId="77777777" w:rsidR="001B2E1C" w:rsidRPr="009213E6" w:rsidRDefault="001B2E1C" w:rsidP="001B2E1C">
      <w:pPr>
        <w:rPr>
          <w:lang w:val="en-GB"/>
        </w:rPr>
      </w:pPr>
    </w:p>
    <w:p w14:paraId="187B6BD0" w14:textId="3569AAA3" w:rsidR="00650E4B" w:rsidRPr="009213E6" w:rsidRDefault="000745BE" w:rsidP="00C03F08">
      <w:pPr>
        <w:rPr>
          <w:lang w:val="en-GB"/>
        </w:rPr>
      </w:pPr>
      <w:r>
        <w:fldChar w:fldCharType="end"/>
      </w:r>
    </w:p>
    <w:p w14:paraId="6B9CB9BF" w14:textId="3404E19F" w:rsidR="003134BF" w:rsidRPr="009213E6" w:rsidRDefault="003134BF" w:rsidP="00C03F08">
      <w:pPr>
        <w:rPr>
          <w:lang w:val="en-GB"/>
        </w:rPr>
        <w:sectPr w:rsidR="003134BF" w:rsidRPr="009213E6" w:rsidSect="009C0E4E">
          <w:type w:val="continuous"/>
          <w:pgSz w:w="11906" w:h="16838" w:code="9"/>
          <w:pgMar w:top="1418" w:right="1418" w:bottom="1418" w:left="1418" w:header="709" w:footer="709" w:gutter="0"/>
          <w:cols w:space="708"/>
          <w:docGrid w:linePitch="360"/>
        </w:sectPr>
      </w:pPr>
    </w:p>
    <w:p w14:paraId="4EB818EF" w14:textId="37C96925" w:rsidR="000745BE" w:rsidRDefault="000745BE" w:rsidP="000745BE">
      <w:pPr>
        <w:jc w:val="center"/>
        <w:rPr>
          <w:noProof/>
        </w:rPr>
      </w:pPr>
      <w:r w:rsidRPr="00FF12B5">
        <w:rPr>
          <w:b/>
          <w:sz w:val="24"/>
          <w:szCs w:val="24"/>
          <w:lang w:val="en-GB"/>
        </w:rPr>
        <w:lastRenderedPageBreak/>
        <w:t xml:space="preserve"> Annex 3</w:t>
      </w:r>
      <w:r w:rsidRPr="00FF12B5">
        <w:rPr>
          <w:sz w:val="24"/>
          <w:szCs w:val="24"/>
          <w:lang w:val="en-GB"/>
        </w:rPr>
        <w:t xml:space="preserve"> - </w:t>
      </w:r>
      <w:r w:rsidRPr="00FF12B5">
        <w:rPr>
          <w:b/>
          <w:sz w:val="24"/>
          <w:szCs w:val="24"/>
          <w:lang w:val="en-GB"/>
        </w:rPr>
        <w:t>Statistical process results</w:t>
      </w:r>
      <w:r w:rsidR="00FB11B4">
        <w:rPr>
          <w:noProof/>
          <w:lang w:val="en-US"/>
        </w:rPr>
        <w:drawing>
          <wp:inline distT="0" distB="0" distL="0" distR="0" wp14:anchorId="7D626B3A" wp14:editId="0D2FF8C2">
            <wp:extent cx="7328847" cy="4885898"/>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68868" cy="4912578"/>
                    </a:xfrm>
                    <a:prstGeom prst="rect">
                      <a:avLst/>
                    </a:prstGeom>
                    <a:noFill/>
                    <a:ln>
                      <a:noFill/>
                    </a:ln>
                  </pic:spPr>
                </pic:pic>
              </a:graphicData>
            </a:graphic>
          </wp:inline>
        </w:drawing>
      </w:r>
    </w:p>
    <w:p w14:paraId="511FDB2F" w14:textId="64800035" w:rsidR="008D7E36" w:rsidRPr="00906F8E" w:rsidRDefault="00385BF5" w:rsidP="00906F8E">
      <w:pPr>
        <w:jc w:val="both"/>
        <w:rPr>
          <w:lang w:val="en-GB"/>
        </w:rPr>
      </w:pPr>
      <w:r w:rsidRPr="009213E6">
        <w:rPr>
          <w:lang w:val="en-GB"/>
        </w:rPr>
        <w:t xml:space="preserve">Figure </w:t>
      </w:r>
      <w:r w:rsidR="001C2CB4">
        <w:rPr>
          <w:lang w:val="en-GB"/>
        </w:rPr>
        <w:t>S</w:t>
      </w:r>
      <w:r w:rsidRPr="009213E6">
        <w:rPr>
          <w:lang w:val="en-GB"/>
        </w:rPr>
        <w:t xml:space="preserve">1: </w:t>
      </w:r>
      <w:r w:rsidR="00E323D2" w:rsidRPr="00160CA8">
        <w:rPr>
          <w:lang w:val="en-GB"/>
        </w:rPr>
        <w:t>Cadmium: Relationship between dissolved concentration and DGT labile concentration. The dark green line represents the linear model and the corresponding confidence interval (CI 95; orange dashed lines) and prediction interval (PI 95 ; green dashed lines) are also</w:t>
      </w:r>
      <w:r w:rsidR="00E323D2">
        <w:rPr>
          <w:lang w:val="en-GB"/>
        </w:rPr>
        <w:t xml:space="preserve"> depicted</w:t>
      </w:r>
      <w:r w:rsidR="00E323D2" w:rsidRPr="00160CA8">
        <w:rPr>
          <w:lang w:val="en-GB"/>
        </w:rPr>
        <w:t>. WS: wet season; DS: dry season</w:t>
      </w:r>
      <w:r w:rsidR="00E323D2" w:rsidRPr="00B512D5">
        <w:rPr>
          <w:lang w:val="en-GB"/>
        </w:rPr>
        <w:t>.</w:t>
      </w:r>
      <w:r w:rsidR="008D7E36" w:rsidRPr="00B512D5">
        <w:rPr>
          <w:lang w:val="en-GB"/>
        </w:rPr>
        <w:t xml:space="preserve"> </w:t>
      </w:r>
      <w:r w:rsidR="00B512D5" w:rsidRPr="00906F8E">
        <w:rPr>
          <w:lang w:val="en-GB"/>
        </w:rPr>
        <w:t>The table represents, for each site/season, the coupled DGT and dissolved concentrations (ICPMS) results. The rows with a grey background cannot be used because a result is missing in one or the other method. The rows with red background correspond to the results identified as outliers by the iterative process and the iteration number (nb. Iter.) is specified. The rows with a white background are those that have been used to build the model</w:t>
      </w:r>
    </w:p>
    <w:p w14:paraId="5F7BC23D" w14:textId="7487F05A" w:rsidR="00650E4B" w:rsidRPr="00E323D2" w:rsidRDefault="00650E4B" w:rsidP="00B14F1B">
      <w:pPr>
        <w:jc w:val="both"/>
        <w:rPr>
          <w:lang w:val="en-GB"/>
        </w:rPr>
      </w:pPr>
    </w:p>
    <w:p w14:paraId="29D79838" w14:textId="6275EEB1" w:rsidR="00C03F08" w:rsidRDefault="00FB11B4" w:rsidP="00B14F1B">
      <w:pPr>
        <w:jc w:val="center"/>
      </w:pPr>
      <w:r>
        <w:rPr>
          <w:noProof/>
          <w:lang w:val="en-US"/>
        </w:rPr>
        <w:drawing>
          <wp:inline distT="0" distB="0" distL="0" distR="0" wp14:anchorId="39D033E6" wp14:editId="52B70D27">
            <wp:extent cx="7175311" cy="4783541"/>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4616" cy="4803078"/>
                    </a:xfrm>
                    <a:prstGeom prst="rect">
                      <a:avLst/>
                    </a:prstGeom>
                    <a:noFill/>
                    <a:ln>
                      <a:noFill/>
                    </a:ln>
                  </pic:spPr>
                </pic:pic>
              </a:graphicData>
            </a:graphic>
          </wp:inline>
        </w:drawing>
      </w:r>
    </w:p>
    <w:p w14:paraId="47760795" w14:textId="0FE1CCF1" w:rsidR="00E323D2" w:rsidRPr="00160CA8" w:rsidRDefault="00385BF5" w:rsidP="00906F8E">
      <w:pPr>
        <w:jc w:val="both"/>
        <w:rPr>
          <w:lang w:val="en-GB"/>
        </w:rPr>
      </w:pPr>
      <w:r w:rsidRPr="009213E6">
        <w:rPr>
          <w:lang w:val="en-GB"/>
        </w:rPr>
        <w:t xml:space="preserve">Figure </w:t>
      </w:r>
      <w:r w:rsidR="001C2CB4">
        <w:rPr>
          <w:lang w:val="en-GB"/>
        </w:rPr>
        <w:t>S</w:t>
      </w:r>
      <w:r w:rsidRPr="009213E6">
        <w:rPr>
          <w:lang w:val="en-GB"/>
        </w:rPr>
        <w:t xml:space="preserve">2: </w:t>
      </w:r>
      <w:r w:rsidR="00E323D2" w:rsidRPr="0049370A">
        <w:rPr>
          <w:lang w:val="en-GB"/>
        </w:rPr>
        <w:t xml:space="preserve">Nickel: </w:t>
      </w:r>
      <w:r w:rsidR="00E323D2" w:rsidRPr="00160CA8">
        <w:rPr>
          <w:lang w:val="en-GB"/>
        </w:rPr>
        <w:t xml:space="preserve">Relationship between dissolved concentration and DGT labile concentration. The dark green line represents the linear model </w:t>
      </w:r>
      <w:r w:rsidR="00E323D2" w:rsidRPr="007B63BA">
        <w:rPr>
          <w:lang w:val="en-GB"/>
        </w:rPr>
        <w:t xml:space="preserve">and the corresponding </w:t>
      </w:r>
      <w:r w:rsidR="00E323D2" w:rsidRPr="00160CA8">
        <w:rPr>
          <w:lang w:val="en-GB"/>
        </w:rPr>
        <w:t>confidence interval (CI 95; orange dashed lines) and prediction interval (PI 95 ; green dashed lines) are also depicted. WS: wet season; DS: dry season.</w:t>
      </w:r>
      <w:r w:rsidR="00CF4348">
        <w:rPr>
          <w:lang w:val="en-GB"/>
        </w:rPr>
        <w:t xml:space="preserve"> </w:t>
      </w:r>
      <w:r w:rsidR="00B512D5" w:rsidRPr="00B512D5">
        <w:rPr>
          <w:lang w:val="en-GB"/>
        </w:rPr>
        <w:t xml:space="preserve">. </w:t>
      </w:r>
      <w:r w:rsidR="00B512D5" w:rsidRPr="00064A97">
        <w:rPr>
          <w:lang w:val="en-GB"/>
        </w:rPr>
        <w:t>The table represents, for each site/season, the coupled DGT and dissolved concentrations (ICPMS) results. The rows with a grey background cannot be used because a result is missing in one or the other method. The rows with red background correspond to the results identified as outliers by the iterative process and the iteration number (nb. Iter.) is specified. The rows with a white background are those that have been used to build the model</w:t>
      </w:r>
    </w:p>
    <w:p w14:paraId="4EF77210" w14:textId="66FB0830" w:rsidR="00385BF5" w:rsidRPr="00906F8E" w:rsidRDefault="00385BF5" w:rsidP="00385BF5">
      <w:pPr>
        <w:rPr>
          <w:lang w:val="en-GB"/>
        </w:rPr>
      </w:pPr>
    </w:p>
    <w:p w14:paraId="05DFA1DD" w14:textId="0E6D6C0C" w:rsidR="00C03F08" w:rsidRDefault="00FB11B4" w:rsidP="00B14F1B">
      <w:pPr>
        <w:jc w:val="center"/>
      </w:pPr>
      <w:r>
        <w:rPr>
          <w:noProof/>
          <w:lang w:val="en-US"/>
        </w:rPr>
        <w:drawing>
          <wp:inline distT="0" distB="0" distL="0" distR="0" wp14:anchorId="7C9A4664" wp14:editId="61791204">
            <wp:extent cx="7165076" cy="4776717"/>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7704" cy="4798469"/>
                    </a:xfrm>
                    <a:prstGeom prst="rect">
                      <a:avLst/>
                    </a:prstGeom>
                    <a:noFill/>
                    <a:ln>
                      <a:noFill/>
                    </a:ln>
                  </pic:spPr>
                </pic:pic>
              </a:graphicData>
            </a:graphic>
          </wp:inline>
        </w:drawing>
      </w:r>
    </w:p>
    <w:p w14:paraId="540E3512" w14:textId="40C62463" w:rsidR="006857DA" w:rsidRPr="009213E6" w:rsidRDefault="00C03F08" w:rsidP="00906F8E">
      <w:pPr>
        <w:jc w:val="both"/>
        <w:rPr>
          <w:b/>
          <w:lang w:val="en-GB"/>
        </w:rPr>
        <w:sectPr w:rsidR="006857DA" w:rsidRPr="009213E6" w:rsidSect="009C0E4E">
          <w:headerReference w:type="default" r:id="rId11"/>
          <w:type w:val="continuous"/>
          <w:pgSz w:w="16838" w:h="11906" w:orient="landscape"/>
          <w:pgMar w:top="867" w:right="1418" w:bottom="1418" w:left="1418" w:header="283" w:footer="283" w:gutter="0"/>
          <w:cols w:space="708"/>
          <w:docGrid w:linePitch="360"/>
        </w:sectPr>
      </w:pPr>
      <w:r w:rsidRPr="009213E6">
        <w:rPr>
          <w:lang w:val="en-GB"/>
        </w:rPr>
        <w:t>Figure</w:t>
      </w:r>
      <w:r w:rsidR="00385BF5" w:rsidRPr="009213E6">
        <w:rPr>
          <w:lang w:val="en-GB"/>
        </w:rPr>
        <w:t xml:space="preserve"> </w:t>
      </w:r>
      <w:r w:rsidR="001C2CB4">
        <w:rPr>
          <w:lang w:val="en-GB"/>
        </w:rPr>
        <w:t>S</w:t>
      </w:r>
      <w:r w:rsidR="00385BF5" w:rsidRPr="009213E6">
        <w:rPr>
          <w:lang w:val="en-GB"/>
        </w:rPr>
        <w:t>3</w:t>
      </w:r>
      <w:r w:rsidRPr="009213E6">
        <w:rPr>
          <w:lang w:val="en-GB"/>
        </w:rPr>
        <w:t xml:space="preserve">: </w:t>
      </w:r>
      <w:bookmarkStart w:id="5" w:name="_Hlk114834915"/>
      <w:r w:rsidR="00E323D2" w:rsidRPr="009213E6">
        <w:rPr>
          <w:lang w:val="en-GB"/>
        </w:rPr>
        <w:t xml:space="preserve">Lead: Relationship between dissolved concentration and DGT labile concentration. The dark green line represents the linear model and the corresponding confidence interval (CI 95 ; orange dashed lines) and prediction interval (PI 95 ; green dashed lines) are also depicted. WS: wet season; DS: dry </w:t>
      </w:r>
      <w:bookmarkEnd w:id="5"/>
      <w:r w:rsidR="009E3D40" w:rsidRPr="009213E6">
        <w:rPr>
          <w:lang w:val="en-GB"/>
        </w:rPr>
        <w:t>season.</w:t>
      </w:r>
      <w:r w:rsidR="00CF4348">
        <w:rPr>
          <w:lang w:val="en-GB"/>
        </w:rPr>
        <w:t xml:space="preserve"> </w:t>
      </w:r>
      <w:r w:rsidR="00B512D5" w:rsidRPr="00064A97">
        <w:rPr>
          <w:lang w:val="en-GB"/>
        </w:rPr>
        <w:t>The table represents, for each site/season, the coupled DGT and dissolved concentrations (ICPMS) results. The rows with a grey background cannot be used because a result is missing in one or the other method. The rows with red background correspond to the results identified as outliers by the iterative process and the iteration number (nb. Iter.) is specified. The rows with a white background are those that have been used to build the model</w:t>
      </w:r>
    </w:p>
    <w:p w14:paraId="105CE743" w14:textId="03FC4BDB" w:rsidR="00BC3EA9" w:rsidRPr="00FF12B5" w:rsidRDefault="00BC3EA9" w:rsidP="00BC3EA9">
      <w:pPr>
        <w:rPr>
          <w:b/>
          <w:sz w:val="24"/>
          <w:szCs w:val="24"/>
          <w:lang w:val="en-GB"/>
        </w:rPr>
      </w:pPr>
      <w:r w:rsidRPr="00FF12B5">
        <w:rPr>
          <w:b/>
          <w:sz w:val="24"/>
          <w:szCs w:val="24"/>
          <w:lang w:val="en-GB"/>
        </w:rPr>
        <w:lastRenderedPageBreak/>
        <w:t xml:space="preserve">Annex </w:t>
      </w:r>
      <w:r w:rsidR="005944B7" w:rsidRPr="00FF12B5">
        <w:rPr>
          <w:b/>
          <w:sz w:val="24"/>
          <w:szCs w:val="24"/>
          <w:lang w:val="en-GB"/>
        </w:rPr>
        <w:t>4</w:t>
      </w:r>
      <w:r w:rsidRPr="00FF12B5">
        <w:rPr>
          <w:sz w:val="24"/>
          <w:szCs w:val="24"/>
          <w:lang w:val="en-GB"/>
        </w:rPr>
        <w:t xml:space="preserve"> </w:t>
      </w:r>
      <w:r w:rsidR="00052B31" w:rsidRPr="00FF12B5">
        <w:rPr>
          <w:sz w:val="24"/>
          <w:szCs w:val="24"/>
          <w:lang w:val="en-GB"/>
        </w:rPr>
        <w:t>–</w:t>
      </w:r>
      <w:r w:rsidR="00990F49" w:rsidRPr="00FF12B5">
        <w:rPr>
          <w:sz w:val="24"/>
          <w:szCs w:val="24"/>
          <w:lang w:val="en-GB"/>
        </w:rPr>
        <w:t xml:space="preserve"> </w:t>
      </w:r>
      <w:r w:rsidR="00990F49" w:rsidRPr="00FF12B5">
        <w:rPr>
          <w:b/>
          <w:sz w:val="24"/>
          <w:szCs w:val="24"/>
          <w:lang w:val="en-GB"/>
        </w:rPr>
        <w:t>Results</w:t>
      </w:r>
      <w:r w:rsidR="00052B31" w:rsidRPr="00FF12B5">
        <w:rPr>
          <w:b/>
          <w:sz w:val="24"/>
          <w:szCs w:val="24"/>
          <w:lang w:val="en-GB"/>
        </w:rPr>
        <w:t xml:space="preserve"> of the three statistical method</w:t>
      </w:r>
      <w:r w:rsidR="00990F49" w:rsidRPr="00FF12B5">
        <w:rPr>
          <w:b/>
          <w:sz w:val="24"/>
          <w:szCs w:val="24"/>
          <w:lang w:val="en-GB"/>
        </w:rPr>
        <w:t>s</w:t>
      </w:r>
      <w:r w:rsidR="00052B31" w:rsidRPr="00FF12B5">
        <w:rPr>
          <w:b/>
          <w:sz w:val="24"/>
          <w:szCs w:val="24"/>
          <w:lang w:val="en-GB"/>
        </w:rPr>
        <w:t xml:space="preserve"> used </w:t>
      </w:r>
      <w:r w:rsidR="00990F49" w:rsidRPr="00FF12B5">
        <w:rPr>
          <w:b/>
          <w:sz w:val="24"/>
          <w:szCs w:val="24"/>
          <w:lang w:val="en-GB"/>
        </w:rPr>
        <w:t>as a first approach in the data process</w:t>
      </w:r>
      <w:r w:rsidR="00580233">
        <w:rPr>
          <w:b/>
          <w:sz w:val="24"/>
          <w:szCs w:val="24"/>
          <w:lang w:val="en-GB"/>
        </w:rPr>
        <w:t>ing</w:t>
      </w:r>
      <w:r w:rsidR="00990F49" w:rsidRPr="00FF12B5">
        <w:rPr>
          <w:b/>
          <w:sz w:val="24"/>
          <w:szCs w:val="24"/>
          <w:lang w:val="en-GB"/>
        </w:rPr>
        <w:t xml:space="preserve"> </w:t>
      </w:r>
      <w:r w:rsidR="00052B31" w:rsidRPr="00FF12B5">
        <w:rPr>
          <w:b/>
          <w:sz w:val="24"/>
          <w:szCs w:val="24"/>
          <w:lang w:val="en-GB"/>
        </w:rPr>
        <w:t>to determine</w:t>
      </w:r>
      <w:r w:rsidR="00990F49" w:rsidRPr="00FF12B5">
        <w:rPr>
          <w:b/>
          <w:sz w:val="24"/>
          <w:szCs w:val="24"/>
          <w:lang w:val="en-GB"/>
        </w:rPr>
        <w:t xml:space="preserve"> the </w:t>
      </w:r>
      <w:r w:rsidR="00F15C63" w:rsidRPr="00FF12B5">
        <w:rPr>
          <w:b/>
          <w:sz w:val="24"/>
          <w:szCs w:val="24"/>
          <w:lang w:val="en-GB"/>
        </w:rPr>
        <w:t>(A)</w:t>
      </w:r>
      <w:r w:rsidR="002F16FB" w:rsidRPr="00FF12B5">
        <w:rPr>
          <w:b/>
          <w:sz w:val="24"/>
          <w:szCs w:val="24"/>
          <w:lang w:val="en-GB"/>
        </w:rPr>
        <w:t>-</w:t>
      </w:r>
      <w:r w:rsidR="00052B31" w:rsidRPr="00FF12B5">
        <w:rPr>
          <w:b/>
          <w:sz w:val="24"/>
          <w:szCs w:val="24"/>
          <w:lang w:val="en-GB"/>
        </w:rPr>
        <w:t xml:space="preserve">EQS </w:t>
      </w:r>
      <w:r w:rsidR="00052B31" w:rsidRPr="00FF12B5">
        <w:rPr>
          <w:b/>
          <w:sz w:val="24"/>
          <w:szCs w:val="24"/>
          <w:vertAlign w:val="subscript"/>
          <w:lang w:val="en-GB"/>
        </w:rPr>
        <w:t>DGT</w:t>
      </w:r>
    </w:p>
    <w:p w14:paraId="43EEB90C" w14:textId="6406DB54" w:rsidR="00052B31" w:rsidRDefault="00052B31" w:rsidP="00C03F08">
      <w:pPr>
        <w:rPr>
          <w:lang w:val="en-US"/>
        </w:rPr>
      </w:pPr>
    </w:p>
    <w:p w14:paraId="7619190D" w14:textId="24715050" w:rsidR="00736C35" w:rsidRDefault="00736C35" w:rsidP="007D35AF">
      <w:pPr>
        <w:jc w:val="both"/>
        <w:rPr>
          <w:lang w:val="en-US"/>
        </w:rPr>
      </w:pPr>
      <w:bookmarkStart w:id="6" w:name="_Hlk107494285"/>
      <w:r>
        <w:rPr>
          <w:lang w:val="en-US"/>
        </w:rPr>
        <w:t xml:space="preserve">Preliminary data processing was carried out to explore the dataset and define the most appropriate method and selection of data to be used. </w:t>
      </w:r>
      <w:bookmarkEnd w:id="6"/>
    </w:p>
    <w:p w14:paraId="3F03B4AD" w14:textId="583C8324" w:rsidR="00854A5F" w:rsidRPr="00C06EE7" w:rsidRDefault="00854A5F" w:rsidP="001A2D2E">
      <w:pPr>
        <w:jc w:val="both"/>
        <w:rPr>
          <w:lang w:val="en-GB"/>
        </w:rPr>
      </w:pPr>
      <w:r w:rsidRPr="00C06EE7">
        <w:rPr>
          <w:lang w:val="en-GB"/>
        </w:rPr>
        <w:t>The quantile regression was initially used to visualise the effect of the distribution of the results on the linear regression</w:t>
      </w:r>
      <w:r w:rsidR="00FF12B5">
        <w:rPr>
          <w:lang w:val="en-GB"/>
        </w:rPr>
        <w:t>,</w:t>
      </w:r>
      <w:r w:rsidRPr="00C06EE7">
        <w:rPr>
          <w:lang w:val="en-GB"/>
        </w:rPr>
        <w:t xml:space="preserve"> by illustrating the outputs by different quantiles of the Xs. It demonstrated the positive effect of removing statistical outliers</w:t>
      </w:r>
      <w:r w:rsidR="00630660">
        <w:rPr>
          <w:lang w:val="en-GB"/>
        </w:rPr>
        <w:t>;</w:t>
      </w:r>
      <w:r w:rsidRPr="00C06EE7">
        <w:rPr>
          <w:lang w:val="en-GB"/>
        </w:rPr>
        <w:t xml:space="preserve"> better distribution of the lines of the different quantiles (less intersecting or more parallel lines)</w:t>
      </w:r>
      <w:r w:rsidR="00630660">
        <w:rPr>
          <w:lang w:val="en-GB"/>
        </w:rPr>
        <w:t>,</w:t>
      </w:r>
      <w:r w:rsidRPr="00C06EE7">
        <w:rPr>
          <w:lang w:val="en-GB"/>
        </w:rPr>
        <w:t xml:space="preserve"> and especially the slopes and intercepts were very close between the regression line and the median of the quantile regression. </w:t>
      </w:r>
    </w:p>
    <w:p w14:paraId="30AA455A" w14:textId="356E8EA8" w:rsidR="00736C35" w:rsidRPr="00C06EE7" w:rsidRDefault="00FF12B5" w:rsidP="001A2D2E">
      <w:pPr>
        <w:jc w:val="both"/>
        <w:rPr>
          <w:lang w:val="en-GB"/>
        </w:rPr>
      </w:pPr>
      <w:r>
        <w:rPr>
          <w:lang w:val="en-GB"/>
        </w:rPr>
        <w:t xml:space="preserve">For </w:t>
      </w:r>
      <w:r w:rsidR="008A0DAF">
        <w:rPr>
          <w:lang w:val="en-GB"/>
        </w:rPr>
        <w:t xml:space="preserve">exploration purpose, </w:t>
      </w:r>
      <w:r w:rsidR="00736C35">
        <w:rPr>
          <w:lang w:val="en-GB"/>
        </w:rPr>
        <w:t>compar</w:t>
      </w:r>
      <w:r w:rsidR="008A0DAF">
        <w:rPr>
          <w:lang w:val="en-GB"/>
        </w:rPr>
        <w:t>ison of</w:t>
      </w:r>
      <w:r w:rsidR="007444D9">
        <w:rPr>
          <w:lang w:val="en-GB"/>
        </w:rPr>
        <w:t xml:space="preserve"> </w:t>
      </w:r>
      <w:r w:rsidR="00DD216F">
        <w:rPr>
          <w:lang w:val="en-GB"/>
        </w:rPr>
        <w:t>the</w:t>
      </w:r>
      <w:r w:rsidR="007444D9">
        <w:rPr>
          <w:lang w:val="en-GB"/>
        </w:rPr>
        <w:t xml:space="preserve"> </w:t>
      </w:r>
      <w:r w:rsidR="001A2D2E">
        <w:rPr>
          <w:lang w:val="en-GB"/>
        </w:rPr>
        <w:t>(A)-</w:t>
      </w:r>
      <w:r w:rsidR="00DD216F">
        <w:rPr>
          <w:lang w:val="en-GB"/>
        </w:rPr>
        <w:t>-</w:t>
      </w:r>
      <w:r w:rsidR="00736C35">
        <w:rPr>
          <w:lang w:val="en-GB"/>
        </w:rPr>
        <w:t xml:space="preserve">EQS </w:t>
      </w:r>
      <w:r w:rsidR="00736C35">
        <w:rPr>
          <w:vertAlign w:val="subscript"/>
          <w:lang w:val="en-GB"/>
        </w:rPr>
        <w:t xml:space="preserve">DGT </w:t>
      </w:r>
      <w:r w:rsidR="001A2D2E" w:rsidRPr="007D35AF">
        <w:rPr>
          <w:lang w:val="en-GB"/>
        </w:rPr>
        <w:t>values</w:t>
      </w:r>
      <w:r w:rsidR="00DD216F">
        <w:rPr>
          <w:lang w:val="en-GB"/>
        </w:rPr>
        <w:t xml:space="preserve"> determined</w:t>
      </w:r>
      <w:r w:rsidR="007444D9" w:rsidRPr="00630660">
        <w:rPr>
          <w:lang w:val="en-GB"/>
        </w:rPr>
        <w:t xml:space="preserve"> </w:t>
      </w:r>
      <w:r w:rsidR="00736C35">
        <w:rPr>
          <w:lang w:val="en-GB"/>
        </w:rPr>
        <w:t xml:space="preserve">using </w:t>
      </w:r>
      <w:r w:rsidR="00DD216F">
        <w:rPr>
          <w:lang w:val="en-GB"/>
        </w:rPr>
        <w:t>t</w:t>
      </w:r>
      <w:r w:rsidR="00736C35">
        <w:rPr>
          <w:lang w:val="en-US"/>
        </w:rPr>
        <w:t>h</w:t>
      </w:r>
      <w:r w:rsidR="00DD216F">
        <w:rPr>
          <w:lang w:val="en-US"/>
        </w:rPr>
        <w:t>ree different</w:t>
      </w:r>
      <w:r w:rsidR="007444D9">
        <w:rPr>
          <w:lang w:val="en-US"/>
        </w:rPr>
        <w:t xml:space="preserve"> </w:t>
      </w:r>
      <w:r w:rsidR="00736C35">
        <w:rPr>
          <w:lang w:val="en-US"/>
        </w:rPr>
        <w:t xml:space="preserve">statistical </w:t>
      </w:r>
      <w:r w:rsidR="00DD216F">
        <w:rPr>
          <w:lang w:val="en-US"/>
        </w:rPr>
        <w:t xml:space="preserve">approaches </w:t>
      </w:r>
      <w:r w:rsidR="00A170C3">
        <w:rPr>
          <w:lang w:val="en-US"/>
        </w:rPr>
        <w:t>was done</w:t>
      </w:r>
      <w:r w:rsidR="00736C35">
        <w:rPr>
          <w:lang w:val="en-US"/>
        </w:rPr>
        <w:t xml:space="preserve">: i) by multiplying the EQS </w:t>
      </w:r>
      <w:r w:rsidR="00736C35">
        <w:rPr>
          <w:vertAlign w:val="subscript"/>
          <w:lang w:val="en-US"/>
        </w:rPr>
        <w:t>marine water</w:t>
      </w:r>
      <w:r w:rsidR="00736C35">
        <w:rPr>
          <w:lang w:val="en-US"/>
        </w:rPr>
        <w:t xml:space="preserve"> by the CF</w:t>
      </w:r>
      <w:r w:rsidR="00736C35">
        <w:rPr>
          <w:vertAlign w:val="subscript"/>
          <w:lang w:val="en-US"/>
        </w:rPr>
        <w:t>DGT</w:t>
      </w:r>
      <w:r w:rsidR="00736C35">
        <w:rPr>
          <w:lang w:val="en-US"/>
        </w:rPr>
        <w:t xml:space="preserve"> (geometric mean of the ratio ([M]</w:t>
      </w:r>
      <w:r w:rsidR="00736C35">
        <w:rPr>
          <w:vertAlign w:val="subscript"/>
          <w:lang w:val="en-US"/>
        </w:rPr>
        <w:t>DGT</w:t>
      </w:r>
      <w:r w:rsidR="00736C35">
        <w:rPr>
          <w:lang w:val="en-US"/>
        </w:rPr>
        <w:t>/([M]</w:t>
      </w:r>
      <w:r w:rsidR="00736C35">
        <w:rPr>
          <w:vertAlign w:val="subscript"/>
          <w:lang w:val="en-US"/>
        </w:rPr>
        <w:t>Dissolved concentration</w:t>
      </w:r>
      <w:r w:rsidR="00736C35">
        <w:rPr>
          <w:lang w:val="en-US"/>
        </w:rPr>
        <w:t xml:space="preserve">) ii) by quantile regression, and iii) by linear regression. </w:t>
      </w:r>
      <w:r w:rsidR="00DD216F">
        <w:rPr>
          <w:lang w:val="en-US"/>
        </w:rPr>
        <w:t>The r</w:t>
      </w:r>
      <w:r w:rsidR="00736C35">
        <w:rPr>
          <w:lang w:val="en-US"/>
        </w:rPr>
        <w:t xml:space="preserve">esults of these three methods are provided in </w:t>
      </w:r>
      <w:r w:rsidR="00DD216F">
        <w:rPr>
          <w:lang w:val="en-US"/>
        </w:rPr>
        <w:t>T</w:t>
      </w:r>
      <w:r w:rsidR="00736C35">
        <w:rPr>
          <w:lang w:val="en-US"/>
        </w:rPr>
        <w:t xml:space="preserve">able 1. </w:t>
      </w:r>
    </w:p>
    <w:p w14:paraId="4870F776" w14:textId="22214A5D" w:rsidR="00CC35F9" w:rsidRPr="00906F8E" w:rsidRDefault="00854A5F" w:rsidP="00990F49">
      <w:pPr>
        <w:jc w:val="both"/>
        <w:rPr>
          <w:rFonts w:eastAsia="Times New Roman" w:cstheme="minorHAnsi"/>
          <w:lang w:val="en-GB" w:eastAsia="fr-FR"/>
        </w:rPr>
      </w:pPr>
      <w:r w:rsidRPr="00C06EE7">
        <w:rPr>
          <w:lang w:val="en-GB"/>
        </w:rPr>
        <w:t xml:space="preserve">The quantile regression is not a </w:t>
      </w:r>
      <w:r w:rsidRPr="00CC35F9">
        <w:rPr>
          <w:lang w:val="en-GB"/>
        </w:rPr>
        <w:t>metho</w:t>
      </w:r>
      <w:r w:rsidR="002B1299" w:rsidRPr="00CC35F9">
        <w:rPr>
          <w:lang w:val="en-GB"/>
        </w:rPr>
        <w:t>d</w:t>
      </w:r>
      <w:r w:rsidRPr="00CC35F9">
        <w:rPr>
          <w:lang w:val="en-GB"/>
        </w:rPr>
        <w:t xml:space="preserve"> intended to make predictions</w:t>
      </w:r>
      <w:r w:rsidR="002B1299" w:rsidRPr="00CC35F9">
        <w:rPr>
          <w:lang w:val="en-GB"/>
        </w:rPr>
        <w:t xml:space="preserve"> </w:t>
      </w:r>
      <w:r w:rsidR="00FF12B5" w:rsidRPr="00CC35F9">
        <w:rPr>
          <w:lang w:val="en-GB"/>
        </w:rPr>
        <w:t>contrarily</w:t>
      </w:r>
      <w:r w:rsidR="002B1299" w:rsidRPr="00CC35F9">
        <w:rPr>
          <w:lang w:val="en-GB"/>
        </w:rPr>
        <w:t xml:space="preserve"> to linear regression, and using a linear regression is prefe</w:t>
      </w:r>
      <w:r w:rsidR="009F43DF">
        <w:rPr>
          <w:lang w:val="en-GB"/>
        </w:rPr>
        <w:t>r</w:t>
      </w:r>
      <w:r w:rsidR="002B1299" w:rsidRPr="00CC35F9">
        <w:rPr>
          <w:lang w:val="en-GB"/>
        </w:rPr>
        <w:t xml:space="preserve">red than using only the CF </w:t>
      </w:r>
      <w:r w:rsidR="001A2D2E" w:rsidRPr="00CC35F9">
        <w:rPr>
          <w:vertAlign w:val="subscript"/>
          <w:lang w:val="en-GB"/>
        </w:rPr>
        <w:t>DG</w:t>
      </w:r>
      <w:r w:rsidR="002B1299" w:rsidRPr="00CC35F9">
        <w:rPr>
          <w:vertAlign w:val="subscript"/>
          <w:lang w:val="en-GB"/>
        </w:rPr>
        <w:t>T</w:t>
      </w:r>
      <w:r w:rsidR="002B1299" w:rsidRPr="00CC35F9">
        <w:rPr>
          <w:lang w:val="en-GB"/>
        </w:rPr>
        <w:t xml:space="preserve">. </w:t>
      </w:r>
      <w:r w:rsidRPr="00CC35F9">
        <w:rPr>
          <w:lang w:val="en-GB"/>
        </w:rPr>
        <w:t xml:space="preserve"> </w:t>
      </w:r>
      <w:r w:rsidR="00630660" w:rsidRPr="00CC35F9">
        <w:rPr>
          <w:lang w:val="en-GB"/>
        </w:rPr>
        <w:t xml:space="preserve"> </w:t>
      </w:r>
      <w:r w:rsidR="00DD216F" w:rsidRPr="00CC35F9">
        <w:rPr>
          <w:lang w:val="en-GB"/>
        </w:rPr>
        <w:t>Thus, t</w:t>
      </w:r>
      <w:r w:rsidR="00736C35" w:rsidRPr="00CC35F9">
        <w:rPr>
          <w:lang w:val="en-GB"/>
        </w:rPr>
        <w:t xml:space="preserve">he linear regression model was </w:t>
      </w:r>
      <w:r w:rsidR="007237D1" w:rsidRPr="00CC35F9">
        <w:rPr>
          <w:lang w:val="en-GB"/>
        </w:rPr>
        <w:t xml:space="preserve">selected </w:t>
      </w:r>
      <w:r w:rsidR="00CC35F9" w:rsidRPr="00CC35F9">
        <w:rPr>
          <w:lang w:val="en-GB"/>
        </w:rPr>
        <w:t xml:space="preserve">as </w:t>
      </w:r>
      <w:r w:rsidR="001A2D2E" w:rsidRPr="00CC35F9">
        <w:rPr>
          <w:lang w:val="en-GB"/>
        </w:rPr>
        <w:t>the most</w:t>
      </w:r>
      <w:r w:rsidR="00736C35" w:rsidRPr="00CC35F9">
        <w:rPr>
          <w:lang w:val="en-GB"/>
        </w:rPr>
        <w:t xml:space="preserve"> appropriate</w:t>
      </w:r>
      <w:r w:rsidR="007D35AF" w:rsidRPr="00CC35F9">
        <w:rPr>
          <w:lang w:val="en-GB"/>
        </w:rPr>
        <w:t xml:space="preserve"> method</w:t>
      </w:r>
      <w:r w:rsidR="00736C35" w:rsidRPr="00CC35F9">
        <w:rPr>
          <w:lang w:val="en-GB"/>
        </w:rPr>
        <w:t>.</w:t>
      </w:r>
      <w:r w:rsidR="00736C35" w:rsidRPr="00CC35F9">
        <w:rPr>
          <w:rFonts w:cstheme="minorHAnsi"/>
          <w:lang w:val="en-GB"/>
        </w:rPr>
        <w:t xml:space="preserve"> </w:t>
      </w:r>
      <w:bookmarkStart w:id="7" w:name="_Hlk127528777"/>
      <w:r w:rsidR="00CC35F9" w:rsidRPr="00906F8E">
        <w:rPr>
          <w:rFonts w:eastAsia="Times New Roman" w:cstheme="minorHAnsi"/>
          <w:lang w:val="en-GB" w:eastAsia="fr-FR"/>
        </w:rPr>
        <w:t xml:space="preserve">(A)- EQS </w:t>
      </w:r>
      <w:r w:rsidR="00CC35F9" w:rsidRPr="00906F8E">
        <w:rPr>
          <w:rFonts w:eastAsia="Times New Roman" w:cstheme="minorHAnsi"/>
          <w:vertAlign w:val="subscript"/>
          <w:lang w:val="en-GB" w:eastAsia="fr-FR"/>
        </w:rPr>
        <w:t xml:space="preserve">DGT </w:t>
      </w:r>
      <w:r w:rsidR="00CC35F9" w:rsidRPr="00906F8E">
        <w:rPr>
          <w:rFonts w:eastAsia="Times New Roman" w:cstheme="minorHAnsi"/>
          <w:lang w:val="en-GB" w:eastAsia="fr-FR"/>
        </w:rPr>
        <w:t>values were closed for Cd using the three different methods, and the linear model provided the lowest (A)-EQS </w:t>
      </w:r>
      <w:r w:rsidR="00CC35F9" w:rsidRPr="00906F8E">
        <w:rPr>
          <w:rFonts w:eastAsia="Times New Roman" w:cstheme="minorHAnsi"/>
          <w:vertAlign w:val="subscript"/>
          <w:lang w:val="en-GB" w:eastAsia="fr-FR"/>
        </w:rPr>
        <w:t>DGT</w:t>
      </w:r>
      <w:r w:rsidR="00CC35F9" w:rsidRPr="00906F8E">
        <w:rPr>
          <w:rFonts w:eastAsia="Times New Roman" w:cstheme="minorHAnsi"/>
          <w:lang w:val="en-GB" w:eastAsia="fr-FR"/>
        </w:rPr>
        <w:t xml:space="preserve"> for Ni and Pb, ensuring a more stringent classification and a higher level of protection.</w:t>
      </w:r>
      <w:bookmarkEnd w:id="7"/>
    </w:p>
    <w:p w14:paraId="493FE43C" w14:textId="0C6EC0A9" w:rsidR="00BB4836" w:rsidRPr="00CC35F9" w:rsidRDefault="007B14F3" w:rsidP="00990F49">
      <w:pPr>
        <w:jc w:val="both"/>
        <w:rPr>
          <w:rFonts w:cstheme="minorHAnsi"/>
          <w:lang w:val="en-GB"/>
        </w:rPr>
      </w:pPr>
      <w:r w:rsidRPr="00CC35F9">
        <w:rPr>
          <w:rFonts w:cstheme="minorHAnsi"/>
          <w:lang w:val="en-GB"/>
        </w:rPr>
        <w:t xml:space="preserve">Table </w:t>
      </w:r>
      <w:r w:rsidR="001C2CB4">
        <w:rPr>
          <w:rFonts w:cstheme="minorHAnsi"/>
          <w:lang w:val="en-GB"/>
        </w:rPr>
        <w:t>S</w:t>
      </w:r>
      <w:r w:rsidRPr="00CC35F9">
        <w:rPr>
          <w:rFonts w:cstheme="minorHAnsi"/>
          <w:lang w:val="en-GB"/>
        </w:rPr>
        <w:t>1</w:t>
      </w:r>
      <w:r w:rsidR="00630660" w:rsidRPr="00CC35F9">
        <w:rPr>
          <w:rFonts w:cstheme="minorHAnsi"/>
          <w:lang w:val="en-GB"/>
        </w:rPr>
        <w:t xml:space="preserve">: </w:t>
      </w:r>
      <w:r w:rsidR="00BB4836" w:rsidRPr="00CC35F9">
        <w:rPr>
          <w:rFonts w:cstheme="minorHAnsi"/>
          <w:lang w:val="en-GB"/>
        </w:rPr>
        <w:t xml:space="preserve">Results of the three statistical </w:t>
      </w:r>
      <w:r w:rsidR="00990F49" w:rsidRPr="00CC35F9">
        <w:rPr>
          <w:rFonts w:cstheme="minorHAnsi"/>
          <w:lang w:val="en-GB"/>
        </w:rPr>
        <w:t xml:space="preserve">methods used as a first approach in the data process to determine the </w:t>
      </w:r>
      <w:r w:rsidR="003D09FB" w:rsidRPr="00CC35F9">
        <w:rPr>
          <w:rFonts w:cstheme="minorHAnsi"/>
          <w:lang w:val="en-GB"/>
        </w:rPr>
        <w:t>(A)</w:t>
      </w:r>
      <w:r w:rsidR="002F16FB" w:rsidRPr="00CC35F9">
        <w:rPr>
          <w:rFonts w:cstheme="minorHAnsi"/>
          <w:lang w:val="en-GB"/>
        </w:rPr>
        <w:t>-</w:t>
      </w:r>
      <w:r w:rsidR="00BB4836" w:rsidRPr="00CC35F9">
        <w:rPr>
          <w:rFonts w:cstheme="minorHAnsi"/>
          <w:lang w:val="en-GB"/>
        </w:rPr>
        <w:t xml:space="preserve">EQS </w:t>
      </w:r>
      <w:r w:rsidR="00BB4836" w:rsidRPr="00CC35F9">
        <w:rPr>
          <w:rFonts w:cstheme="minorHAnsi"/>
          <w:vertAlign w:val="subscript"/>
          <w:lang w:val="en-GB"/>
        </w:rPr>
        <w:t>DGT</w:t>
      </w:r>
      <w:r w:rsidRPr="00CC35F9">
        <w:rPr>
          <w:rFonts w:cstheme="minorHAnsi"/>
          <w:lang w:val="en-GB"/>
        </w:rPr>
        <w:t>.</w:t>
      </w:r>
    </w:p>
    <w:tbl>
      <w:tblPr>
        <w:tblStyle w:val="TableGrid"/>
        <w:tblW w:w="0" w:type="auto"/>
        <w:jc w:val="center"/>
        <w:tblLook w:val="04A0" w:firstRow="1" w:lastRow="0" w:firstColumn="1" w:lastColumn="0" w:noHBand="0" w:noVBand="1"/>
      </w:tblPr>
      <w:tblGrid>
        <w:gridCol w:w="562"/>
        <w:gridCol w:w="1560"/>
        <w:gridCol w:w="1842"/>
        <w:gridCol w:w="2912"/>
        <w:gridCol w:w="2186"/>
      </w:tblGrid>
      <w:tr w:rsidR="009E4CBA" w:rsidRPr="00112B57" w14:paraId="00AA0FC6" w14:textId="77777777" w:rsidTr="006942D4">
        <w:trPr>
          <w:trHeight w:val="300"/>
          <w:jc w:val="center"/>
        </w:trPr>
        <w:tc>
          <w:tcPr>
            <w:tcW w:w="562" w:type="dxa"/>
            <w:noWrap/>
            <w:vAlign w:val="center"/>
          </w:tcPr>
          <w:p w14:paraId="3323A0B3" w14:textId="77777777" w:rsidR="009E4CBA" w:rsidRPr="003C2A4B" w:rsidRDefault="009E4CBA" w:rsidP="00990F49">
            <w:pPr>
              <w:jc w:val="both"/>
              <w:rPr>
                <w:noProof/>
                <w:lang w:val="en-GB"/>
              </w:rPr>
            </w:pPr>
          </w:p>
        </w:tc>
        <w:tc>
          <w:tcPr>
            <w:tcW w:w="3402" w:type="dxa"/>
            <w:gridSpan w:val="2"/>
            <w:shd w:val="clear" w:color="auto" w:fill="DBDBDB" w:themeFill="accent3" w:themeFillTint="66"/>
            <w:noWrap/>
            <w:vAlign w:val="center"/>
          </w:tcPr>
          <w:p w14:paraId="78D8B0C4" w14:textId="77777777" w:rsidR="009E4CBA" w:rsidRPr="00112B57" w:rsidRDefault="009E4CBA" w:rsidP="003D09FB">
            <w:pPr>
              <w:jc w:val="center"/>
              <w:rPr>
                <w:noProof/>
              </w:rPr>
            </w:pPr>
            <w:r>
              <w:rPr>
                <w:noProof/>
              </w:rPr>
              <w:t>Concentration Factor method</w:t>
            </w:r>
          </w:p>
        </w:tc>
        <w:tc>
          <w:tcPr>
            <w:tcW w:w="2912" w:type="dxa"/>
            <w:shd w:val="clear" w:color="auto" w:fill="2E74B5" w:themeFill="accent5" w:themeFillShade="BF"/>
            <w:noWrap/>
            <w:vAlign w:val="center"/>
          </w:tcPr>
          <w:p w14:paraId="2C0242D2" w14:textId="77777777" w:rsidR="009E4CBA" w:rsidRPr="00112B57" w:rsidRDefault="009E4CBA" w:rsidP="003D09FB">
            <w:pPr>
              <w:jc w:val="center"/>
              <w:rPr>
                <w:noProof/>
              </w:rPr>
            </w:pPr>
            <w:r>
              <w:rPr>
                <w:noProof/>
                <w:color w:val="FFFFFF" w:themeColor="background1"/>
              </w:rPr>
              <w:t>L</w:t>
            </w:r>
            <w:r w:rsidRPr="00225DAD">
              <w:rPr>
                <w:noProof/>
                <w:color w:val="FFFFFF" w:themeColor="background1"/>
              </w:rPr>
              <w:t>inear regression</w:t>
            </w:r>
            <w:r>
              <w:rPr>
                <w:noProof/>
                <w:color w:val="FFFFFF" w:themeColor="background1"/>
              </w:rPr>
              <w:t xml:space="preserve"> model</w:t>
            </w:r>
            <w:r w:rsidRPr="00225DAD">
              <w:rPr>
                <w:noProof/>
                <w:color w:val="FFFFFF" w:themeColor="background1"/>
              </w:rPr>
              <w:t xml:space="preserve"> method</w:t>
            </w:r>
          </w:p>
        </w:tc>
        <w:tc>
          <w:tcPr>
            <w:tcW w:w="3119" w:type="dxa"/>
            <w:shd w:val="clear" w:color="auto" w:fill="2E74B5" w:themeFill="accent5" w:themeFillShade="BF"/>
            <w:vAlign w:val="center"/>
          </w:tcPr>
          <w:p w14:paraId="6DCA3041" w14:textId="77777777" w:rsidR="009E4CBA" w:rsidRDefault="009E4CBA" w:rsidP="003D09FB">
            <w:pPr>
              <w:jc w:val="center"/>
              <w:rPr>
                <w:noProof/>
                <w:color w:val="FFFFFF" w:themeColor="background1"/>
              </w:rPr>
            </w:pPr>
            <w:r>
              <w:rPr>
                <w:noProof/>
                <w:color w:val="FFFFFF" w:themeColor="background1"/>
              </w:rPr>
              <w:t>Quantile</w:t>
            </w:r>
            <w:r w:rsidRPr="00225DAD">
              <w:rPr>
                <w:noProof/>
                <w:color w:val="FFFFFF" w:themeColor="background1"/>
              </w:rPr>
              <w:t xml:space="preserve"> regression</w:t>
            </w:r>
            <w:r>
              <w:rPr>
                <w:noProof/>
                <w:color w:val="FFFFFF" w:themeColor="background1"/>
              </w:rPr>
              <w:t xml:space="preserve"> model</w:t>
            </w:r>
            <w:r w:rsidRPr="00225DAD">
              <w:rPr>
                <w:noProof/>
                <w:color w:val="FFFFFF" w:themeColor="background1"/>
              </w:rPr>
              <w:t xml:space="preserve"> method</w:t>
            </w:r>
          </w:p>
        </w:tc>
      </w:tr>
      <w:tr w:rsidR="009E4CBA" w:rsidRPr="00605F50" w14:paraId="0250DFDC" w14:textId="77777777" w:rsidTr="002F16FB">
        <w:trPr>
          <w:trHeight w:val="300"/>
          <w:jc w:val="center"/>
        </w:trPr>
        <w:tc>
          <w:tcPr>
            <w:tcW w:w="562" w:type="dxa"/>
            <w:noWrap/>
            <w:vAlign w:val="center"/>
            <w:hideMark/>
          </w:tcPr>
          <w:p w14:paraId="172BD09C" w14:textId="77777777" w:rsidR="009E4CBA" w:rsidRPr="00225DAD" w:rsidRDefault="009E4CBA" w:rsidP="00990F49">
            <w:pPr>
              <w:jc w:val="both"/>
              <w:rPr>
                <w:noProof/>
                <w:sz w:val="20"/>
              </w:rPr>
            </w:pPr>
          </w:p>
        </w:tc>
        <w:tc>
          <w:tcPr>
            <w:tcW w:w="1560" w:type="dxa"/>
            <w:noWrap/>
            <w:vAlign w:val="center"/>
            <w:hideMark/>
          </w:tcPr>
          <w:p w14:paraId="06EEB490" w14:textId="77777777" w:rsidR="009E4CBA" w:rsidRDefault="009E4CBA" w:rsidP="002F16FB">
            <w:pPr>
              <w:jc w:val="center"/>
              <w:rPr>
                <w:noProof/>
                <w:sz w:val="20"/>
              </w:rPr>
            </w:pPr>
            <w:r w:rsidRPr="00225DAD">
              <w:rPr>
                <w:noProof/>
                <w:sz w:val="20"/>
              </w:rPr>
              <w:t xml:space="preserve">CF </w:t>
            </w:r>
            <w:r w:rsidRPr="009E4CBA">
              <w:rPr>
                <w:noProof/>
                <w:sz w:val="20"/>
                <w:vertAlign w:val="subscript"/>
              </w:rPr>
              <w:t>DGT</w:t>
            </w:r>
          </w:p>
          <w:p w14:paraId="0E91A6A9" w14:textId="77777777" w:rsidR="009E4CBA" w:rsidRPr="00225DAD" w:rsidRDefault="009E4CBA" w:rsidP="002F16FB">
            <w:pPr>
              <w:jc w:val="center"/>
              <w:rPr>
                <w:noProof/>
                <w:sz w:val="20"/>
              </w:rPr>
            </w:pPr>
            <w:r w:rsidRPr="003C2A4B">
              <w:rPr>
                <w:noProof/>
                <w:sz w:val="16"/>
              </w:rPr>
              <w:t>(geometric mean)</w:t>
            </w:r>
          </w:p>
        </w:tc>
        <w:tc>
          <w:tcPr>
            <w:tcW w:w="1842" w:type="dxa"/>
            <w:noWrap/>
            <w:vAlign w:val="center"/>
            <w:hideMark/>
          </w:tcPr>
          <w:p w14:paraId="04B34EEB" w14:textId="6A322DCB" w:rsidR="009E4CBA" w:rsidRPr="003C2A4B" w:rsidRDefault="003D09FB" w:rsidP="002F16FB">
            <w:pPr>
              <w:jc w:val="center"/>
              <w:rPr>
                <w:noProof/>
                <w:sz w:val="20"/>
                <w:lang w:val="en-GB"/>
              </w:rPr>
            </w:pPr>
            <w:r>
              <w:rPr>
                <w:noProof/>
                <w:sz w:val="20"/>
                <w:lang w:val="en-GB"/>
              </w:rPr>
              <w:t>(A)</w:t>
            </w:r>
            <w:r w:rsidR="002F16FB">
              <w:rPr>
                <w:noProof/>
                <w:sz w:val="20"/>
                <w:lang w:val="en-GB"/>
              </w:rPr>
              <w:t>-</w:t>
            </w:r>
            <w:r w:rsidR="009E4CBA" w:rsidRPr="003C2A4B">
              <w:rPr>
                <w:noProof/>
                <w:sz w:val="20"/>
                <w:lang w:val="en-GB"/>
              </w:rPr>
              <w:t xml:space="preserve">EQS </w:t>
            </w:r>
            <w:r w:rsidR="009E4CBA" w:rsidRPr="003C2A4B">
              <w:rPr>
                <w:noProof/>
                <w:sz w:val="20"/>
                <w:vertAlign w:val="subscript"/>
                <w:lang w:val="en-GB"/>
              </w:rPr>
              <w:t>DGT</w:t>
            </w:r>
            <w:r w:rsidR="009E4CBA" w:rsidRPr="003C2A4B">
              <w:rPr>
                <w:noProof/>
                <w:sz w:val="20"/>
                <w:lang w:val="en-GB"/>
              </w:rPr>
              <w:t xml:space="preserve"> </w:t>
            </w:r>
            <w:r w:rsidR="009E4CBA">
              <w:rPr>
                <w:noProof/>
                <w:sz w:val="20"/>
                <w:lang w:val="en-GB"/>
              </w:rPr>
              <w:t>(µg.L</w:t>
            </w:r>
            <w:r w:rsidR="009E4CBA" w:rsidRPr="00FC479B">
              <w:rPr>
                <w:noProof/>
                <w:sz w:val="20"/>
                <w:vertAlign w:val="superscript"/>
                <w:lang w:val="en-GB"/>
              </w:rPr>
              <w:t>-1</w:t>
            </w:r>
            <w:r w:rsidR="009E4CBA">
              <w:rPr>
                <w:noProof/>
                <w:sz w:val="20"/>
                <w:lang w:val="en-GB"/>
              </w:rPr>
              <w:t>)</w:t>
            </w:r>
          </w:p>
        </w:tc>
        <w:tc>
          <w:tcPr>
            <w:tcW w:w="2912" w:type="dxa"/>
            <w:noWrap/>
            <w:vAlign w:val="center"/>
            <w:hideMark/>
          </w:tcPr>
          <w:p w14:paraId="5ACDF0A8" w14:textId="69B9E3FE" w:rsidR="009E4CBA" w:rsidRPr="003C2A4B" w:rsidRDefault="002F16FB" w:rsidP="002F16FB">
            <w:pPr>
              <w:pStyle w:val="ListParagraph"/>
              <w:ind w:left="0"/>
              <w:jc w:val="center"/>
              <w:rPr>
                <w:noProof/>
                <w:lang w:val="en-GB"/>
              </w:rPr>
            </w:pPr>
            <w:r>
              <w:rPr>
                <w:noProof/>
                <w:sz w:val="20"/>
                <w:lang w:val="en-GB"/>
              </w:rPr>
              <w:t>(A)-</w:t>
            </w:r>
            <w:r w:rsidRPr="003C2A4B">
              <w:rPr>
                <w:noProof/>
                <w:sz w:val="20"/>
                <w:lang w:val="en-GB"/>
              </w:rPr>
              <w:t xml:space="preserve">EQS </w:t>
            </w:r>
            <w:r w:rsidRPr="00C94FAE">
              <w:rPr>
                <w:noProof/>
                <w:sz w:val="20"/>
                <w:vertAlign w:val="subscript"/>
                <w:lang w:val="en-GB"/>
              </w:rPr>
              <w:t>DGT</w:t>
            </w:r>
            <w:r w:rsidRPr="002F16FB">
              <w:rPr>
                <w:noProof/>
                <w:sz w:val="20"/>
                <w:lang w:val="en-GB"/>
              </w:rPr>
              <w:t xml:space="preserve"> </w:t>
            </w:r>
            <w:r w:rsidR="009E4CBA" w:rsidRPr="003D09FB">
              <w:rPr>
                <w:noProof/>
                <w:sz w:val="20"/>
                <w:lang w:val="en-GB"/>
              </w:rPr>
              <w:t>(µg.L</w:t>
            </w:r>
            <w:r w:rsidR="009E4CBA" w:rsidRPr="002F16FB">
              <w:rPr>
                <w:noProof/>
                <w:sz w:val="20"/>
                <w:lang w:val="en-GB"/>
              </w:rPr>
              <w:t>-1</w:t>
            </w:r>
            <w:r w:rsidR="009E4CBA" w:rsidRPr="003D09FB">
              <w:rPr>
                <w:noProof/>
                <w:sz w:val="20"/>
                <w:lang w:val="en-GB"/>
              </w:rPr>
              <w:t>)</w:t>
            </w:r>
          </w:p>
        </w:tc>
        <w:tc>
          <w:tcPr>
            <w:tcW w:w="3119" w:type="dxa"/>
            <w:vAlign w:val="center"/>
          </w:tcPr>
          <w:p w14:paraId="299633E0" w14:textId="67F388A6" w:rsidR="009E4CBA" w:rsidRPr="003C2A4B" w:rsidRDefault="003D09FB" w:rsidP="002F16FB">
            <w:pPr>
              <w:jc w:val="center"/>
              <w:rPr>
                <w:noProof/>
                <w:sz w:val="20"/>
                <w:lang w:val="en-GB"/>
              </w:rPr>
            </w:pPr>
            <w:r>
              <w:rPr>
                <w:noProof/>
                <w:sz w:val="20"/>
                <w:lang w:val="en-GB"/>
              </w:rPr>
              <w:t>(A</w:t>
            </w:r>
            <w:r w:rsidR="002F16FB">
              <w:rPr>
                <w:noProof/>
                <w:sz w:val="20"/>
                <w:lang w:val="en-GB"/>
              </w:rPr>
              <w:t>)-</w:t>
            </w:r>
            <w:r w:rsidR="009E4CBA" w:rsidRPr="003C2A4B">
              <w:rPr>
                <w:noProof/>
                <w:sz w:val="20"/>
                <w:lang w:val="en-GB"/>
              </w:rPr>
              <w:t xml:space="preserve">EQS </w:t>
            </w:r>
            <w:r w:rsidR="009E4CBA" w:rsidRPr="003C2A4B">
              <w:rPr>
                <w:noProof/>
                <w:sz w:val="20"/>
                <w:vertAlign w:val="subscript"/>
                <w:lang w:val="en-GB"/>
              </w:rPr>
              <w:t xml:space="preserve">DGT </w:t>
            </w:r>
            <w:r w:rsidR="009E4CBA">
              <w:rPr>
                <w:noProof/>
                <w:sz w:val="20"/>
                <w:lang w:val="en-GB"/>
              </w:rPr>
              <w:t>(µg.L</w:t>
            </w:r>
            <w:r w:rsidR="009E4CBA" w:rsidRPr="00FC479B">
              <w:rPr>
                <w:noProof/>
                <w:sz w:val="20"/>
                <w:vertAlign w:val="superscript"/>
                <w:lang w:val="en-GB"/>
              </w:rPr>
              <w:t>-1</w:t>
            </w:r>
            <w:r w:rsidR="009E4CBA">
              <w:rPr>
                <w:noProof/>
                <w:sz w:val="20"/>
                <w:lang w:val="en-GB"/>
              </w:rPr>
              <w:t>)</w:t>
            </w:r>
          </w:p>
        </w:tc>
      </w:tr>
      <w:tr w:rsidR="009E4CBA" w:rsidRPr="00112B57" w14:paraId="1355A469" w14:textId="77777777" w:rsidTr="006942D4">
        <w:trPr>
          <w:trHeight w:val="300"/>
          <w:jc w:val="center"/>
        </w:trPr>
        <w:tc>
          <w:tcPr>
            <w:tcW w:w="562" w:type="dxa"/>
            <w:noWrap/>
            <w:vAlign w:val="center"/>
            <w:hideMark/>
          </w:tcPr>
          <w:p w14:paraId="73A8B956" w14:textId="77777777" w:rsidR="009E4CBA" w:rsidRPr="00225DAD" w:rsidRDefault="009E4CBA" w:rsidP="00990F49">
            <w:pPr>
              <w:jc w:val="both"/>
              <w:rPr>
                <w:noProof/>
                <w:sz w:val="20"/>
              </w:rPr>
            </w:pPr>
            <w:r w:rsidRPr="00225DAD">
              <w:rPr>
                <w:noProof/>
                <w:sz w:val="20"/>
              </w:rPr>
              <w:t>Cd</w:t>
            </w:r>
          </w:p>
        </w:tc>
        <w:tc>
          <w:tcPr>
            <w:tcW w:w="1560" w:type="dxa"/>
            <w:noWrap/>
            <w:vAlign w:val="center"/>
            <w:hideMark/>
          </w:tcPr>
          <w:p w14:paraId="2ADAFDD9" w14:textId="77777777" w:rsidR="009E4CBA" w:rsidRPr="00225DAD" w:rsidRDefault="009E4CBA" w:rsidP="002F16FB">
            <w:pPr>
              <w:jc w:val="center"/>
              <w:rPr>
                <w:noProof/>
                <w:sz w:val="20"/>
              </w:rPr>
            </w:pPr>
            <w:r w:rsidRPr="00225DAD">
              <w:rPr>
                <w:noProof/>
                <w:sz w:val="20"/>
              </w:rPr>
              <w:t>0.9</w:t>
            </w:r>
            <w:r>
              <w:rPr>
                <w:noProof/>
                <w:sz w:val="20"/>
              </w:rPr>
              <w:t>1</w:t>
            </w:r>
          </w:p>
        </w:tc>
        <w:tc>
          <w:tcPr>
            <w:tcW w:w="1842" w:type="dxa"/>
            <w:noWrap/>
            <w:vAlign w:val="center"/>
            <w:hideMark/>
          </w:tcPr>
          <w:p w14:paraId="2E494413" w14:textId="77777777" w:rsidR="009E4CBA" w:rsidRPr="00225DAD" w:rsidRDefault="009E4CBA" w:rsidP="00F25269">
            <w:pPr>
              <w:jc w:val="center"/>
              <w:rPr>
                <w:noProof/>
                <w:sz w:val="20"/>
              </w:rPr>
            </w:pPr>
            <w:r>
              <w:rPr>
                <w:noProof/>
                <w:sz w:val="20"/>
              </w:rPr>
              <w:t>0.</w:t>
            </w:r>
            <w:r w:rsidRPr="00225DAD">
              <w:rPr>
                <w:noProof/>
                <w:sz w:val="20"/>
              </w:rPr>
              <w:t>18</w:t>
            </w:r>
          </w:p>
        </w:tc>
        <w:tc>
          <w:tcPr>
            <w:tcW w:w="2912" w:type="dxa"/>
            <w:shd w:val="clear" w:color="auto" w:fill="FFFFFF" w:themeFill="background1"/>
            <w:noWrap/>
            <w:vAlign w:val="center"/>
            <w:hideMark/>
          </w:tcPr>
          <w:p w14:paraId="4BC5695D" w14:textId="77777777" w:rsidR="009E4CBA" w:rsidRPr="00BA0C59" w:rsidRDefault="009E4CBA" w:rsidP="00F25269">
            <w:pPr>
              <w:jc w:val="center"/>
              <w:rPr>
                <w:noProof/>
                <w:sz w:val="20"/>
              </w:rPr>
            </w:pPr>
            <w:r w:rsidRPr="00BA0C59">
              <w:rPr>
                <w:noProof/>
                <w:sz w:val="20"/>
              </w:rPr>
              <w:t>0.20</w:t>
            </w:r>
          </w:p>
        </w:tc>
        <w:tc>
          <w:tcPr>
            <w:tcW w:w="3119" w:type="dxa"/>
            <w:shd w:val="clear" w:color="auto" w:fill="FFF2CC" w:themeFill="accent4" w:themeFillTint="33"/>
          </w:tcPr>
          <w:p w14:paraId="6F67F42B" w14:textId="77777777" w:rsidR="009E4CBA" w:rsidRDefault="009E4CBA" w:rsidP="00F25269">
            <w:pPr>
              <w:jc w:val="center"/>
              <w:rPr>
                <w:noProof/>
                <w:sz w:val="20"/>
              </w:rPr>
            </w:pPr>
            <w:r>
              <w:rPr>
                <w:noProof/>
                <w:sz w:val="20"/>
              </w:rPr>
              <w:t>0.21*</w:t>
            </w:r>
          </w:p>
          <w:p w14:paraId="020EF83B" w14:textId="77777777" w:rsidR="009E4CBA" w:rsidRPr="00225DAD" w:rsidRDefault="009E4CBA">
            <w:pPr>
              <w:jc w:val="center"/>
              <w:rPr>
                <w:noProof/>
                <w:color w:val="FFFFFF" w:themeColor="background1"/>
                <w:sz w:val="20"/>
              </w:rPr>
            </w:pPr>
            <w:r>
              <w:rPr>
                <w:rFonts w:cstheme="minorHAnsi"/>
                <w:noProof/>
                <w:sz w:val="20"/>
              </w:rPr>
              <w:t>→</w:t>
            </w:r>
            <w:r>
              <w:rPr>
                <w:noProof/>
                <w:sz w:val="20"/>
              </w:rPr>
              <w:t xml:space="preserve"> 0.20</w:t>
            </w:r>
          </w:p>
        </w:tc>
      </w:tr>
      <w:tr w:rsidR="009E4CBA" w:rsidRPr="00112B57" w14:paraId="55E48076" w14:textId="77777777" w:rsidTr="006942D4">
        <w:trPr>
          <w:trHeight w:val="300"/>
          <w:jc w:val="center"/>
        </w:trPr>
        <w:tc>
          <w:tcPr>
            <w:tcW w:w="562" w:type="dxa"/>
            <w:noWrap/>
            <w:vAlign w:val="center"/>
            <w:hideMark/>
          </w:tcPr>
          <w:p w14:paraId="579113BB" w14:textId="77777777" w:rsidR="009E4CBA" w:rsidRPr="00225DAD" w:rsidRDefault="009E4CBA" w:rsidP="00990F49">
            <w:pPr>
              <w:jc w:val="both"/>
              <w:rPr>
                <w:noProof/>
                <w:sz w:val="20"/>
              </w:rPr>
            </w:pPr>
            <w:r w:rsidRPr="00225DAD">
              <w:rPr>
                <w:noProof/>
                <w:sz w:val="20"/>
              </w:rPr>
              <w:t>Ni</w:t>
            </w:r>
          </w:p>
        </w:tc>
        <w:tc>
          <w:tcPr>
            <w:tcW w:w="1560" w:type="dxa"/>
            <w:noWrap/>
            <w:vAlign w:val="center"/>
            <w:hideMark/>
          </w:tcPr>
          <w:p w14:paraId="73AED7A1" w14:textId="77777777" w:rsidR="009E4CBA" w:rsidRPr="00225DAD" w:rsidRDefault="009E4CBA" w:rsidP="002F16FB">
            <w:pPr>
              <w:jc w:val="center"/>
              <w:rPr>
                <w:noProof/>
                <w:sz w:val="20"/>
              </w:rPr>
            </w:pPr>
            <w:r w:rsidRPr="00225DAD">
              <w:rPr>
                <w:noProof/>
                <w:sz w:val="20"/>
              </w:rPr>
              <w:t>1.2</w:t>
            </w:r>
            <w:r>
              <w:rPr>
                <w:noProof/>
                <w:sz w:val="20"/>
              </w:rPr>
              <w:t>7</w:t>
            </w:r>
          </w:p>
        </w:tc>
        <w:tc>
          <w:tcPr>
            <w:tcW w:w="1842" w:type="dxa"/>
            <w:shd w:val="clear" w:color="auto" w:fill="FFF2CC" w:themeFill="accent4" w:themeFillTint="33"/>
            <w:noWrap/>
            <w:vAlign w:val="center"/>
            <w:hideMark/>
          </w:tcPr>
          <w:p w14:paraId="15932E82" w14:textId="77777777" w:rsidR="009E4CBA" w:rsidRDefault="009E4CBA" w:rsidP="00F25269">
            <w:pPr>
              <w:jc w:val="center"/>
              <w:rPr>
                <w:noProof/>
                <w:sz w:val="20"/>
              </w:rPr>
            </w:pPr>
            <w:r w:rsidRPr="00225DAD">
              <w:rPr>
                <w:noProof/>
                <w:sz w:val="20"/>
              </w:rPr>
              <w:t>10</w:t>
            </w:r>
            <w:r>
              <w:rPr>
                <w:noProof/>
                <w:sz w:val="20"/>
              </w:rPr>
              <w:t>.</w:t>
            </w:r>
            <w:r w:rsidRPr="00225DAD">
              <w:rPr>
                <w:noProof/>
                <w:sz w:val="20"/>
              </w:rPr>
              <w:t>9</w:t>
            </w:r>
            <w:r>
              <w:rPr>
                <w:noProof/>
                <w:sz w:val="20"/>
              </w:rPr>
              <w:t>2*</w:t>
            </w:r>
          </w:p>
          <w:p w14:paraId="4A6BDDCF" w14:textId="77777777" w:rsidR="009E4CBA" w:rsidRPr="00225DAD" w:rsidRDefault="009E4CBA" w:rsidP="00F25269">
            <w:pPr>
              <w:jc w:val="center"/>
              <w:rPr>
                <w:noProof/>
                <w:sz w:val="20"/>
              </w:rPr>
            </w:pPr>
            <w:r>
              <w:rPr>
                <w:rFonts w:cstheme="minorHAnsi"/>
                <w:noProof/>
                <w:sz w:val="20"/>
              </w:rPr>
              <w:t>→</w:t>
            </w:r>
            <w:r>
              <w:rPr>
                <w:noProof/>
                <w:sz w:val="20"/>
              </w:rPr>
              <w:t xml:space="preserve"> 8.6</w:t>
            </w:r>
          </w:p>
        </w:tc>
        <w:tc>
          <w:tcPr>
            <w:tcW w:w="2912" w:type="dxa"/>
            <w:shd w:val="clear" w:color="auto" w:fill="FFFFFF" w:themeFill="background1"/>
            <w:noWrap/>
            <w:vAlign w:val="center"/>
            <w:hideMark/>
          </w:tcPr>
          <w:p w14:paraId="27292AF6" w14:textId="127C1C4D" w:rsidR="009E4CBA" w:rsidRPr="00BA0C59" w:rsidRDefault="009E4CBA" w:rsidP="00F25269">
            <w:pPr>
              <w:jc w:val="center"/>
              <w:rPr>
                <w:noProof/>
                <w:sz w:val="20"/>
              </w:rPr>
            </w:pPr>
            <w:r w:rsidRPr="00BA0C59">
              <w:rPr>
                <w:noProof/>
                <w:sz w:val="20"/>
              </w:rPr>
              <w:t>4.6</w:t>
            </w:r>
            <w:r w:rsidR="00E323D2">
              <w:rPr>
                <w:noProof/>
                <w:sz w:val="20"/>
              </w:rPr>
              <w:t>0</w:t>
            </w:r>
          </w:p>
        </w:tc>
        <w:tc>
          <w:tcPr>
            <w:tcW w:w="3119" w:type="dxa"/>
            <w:shd w:val="clear" w:color="auto" w:fill="auto"/>
            <w:vAlign w:val="center"/>
          </w:tcPr>
          <w:p w14:paraId="7161F442" w14:textId="77777777" w:rsidR="009E4CBA" w:rsidRPr="00A0563E" w:rsidRDefault="009E4CBA">
            <w:pPr>
              <w:jc w:val="center"/>
              <w:rPr>
                <w:noProof/>
                <w:sz w:val="20"/>
              </w:rPr>
            </w:pPr>
            <w:r w:rsidRPr="00A0563E">
              <w:rPr>
                <w:noProof/>
                <w:sz w:val="20"/>
              </w:rPr>
              <w:t>4.</w:t>
            </w:r>
            <w:r>
              <w:rPr>
                <w:noProof/>
                <w:sz w:val="20"/>
              </w:rPr>
              <w:t>89</w:t>
            </w:r>
          </w:p>
        </w:tc>
      </w:tr>
      <w:tr w:rsidR="009E4CBA" w:rsidRPr="00112B57" w14:paraId="205664E8" w14:textId="77777777" w:rsidTr="006942D4">
        <w:trPr>
          <w:trHeight w:val="300"/>
          <w:jc w:val="center"/>
        </w:trPr>
        <w:tc>
          <w:tcPr>
            <w:tcW w:w="562" w:type="dxa"/>
            <w:noWrap/>
            <w:vAlign w:val="center"/>
            <w:hideMark/>
          </w:tcPr>
          <w:p w14:paraId="3A210BB4" w14:textId="77777777" w:rsidR="009E4CBA" w:rsidRPr="00225DAD" w:rsidRDefault="009E4CBA" w:rsidP="00990F49">
            <w:pPr>
              <w:jc w:val="both"/>
              <w:rPr>
                <w:noProof/>
                <w:sz w:val="20"/>
              </w:rPr>
            </w:pPr>
            <w:r w:rsidRPr="00225DAD">
              <w:rPr>
                <w:noProof/>
                <w:sz w:val="20"/>
              </w:rPr>
              <w:t>Pb</w:t>
            </w:r>
          </w:p>
        </w:tc>
        <w:tc>
          <w:tcPr>
            <w:tcW w:w="1560" w:type="dxa"/>
            <w:noWrap/>
            <w:vAlign w:val="center"/>
            <w:hideMark/>
          </w:tcPr>
          <w:p w14:paraId="20CAD441" w14:textId="77777777" w:rsidR="009E4CBA" w:rsidRPr="00225DAD" w:rsidRDefault="009E4CBA" w:rsidP="002F16FB">
            <w:pPr>
              <w:jc w:val="center"/>
              <w:rPr>
                <w:noProof/>
                <w:sz w:val="20"/>
              </w:rPr>
            </w:pPr>
            <w:r w:rsidRPr="00225DAD">
              <w:rPr>
                <w:noProof/>
                <w:sz w:val="20"/>
              </w:rPr>
              <w:t>0.7</w:t>
            </w:r>
            <w:r>
              <w:rPr>
                <w:noProof/>
                <w:sz w:val="20"/>
              </w:rPr>
              <w:t>9</w:t>
            </w:r>
          </w:p>
        </w:tc>
        <w:tc>
          <w:tcPr>
            <w:tcW w:w="1842" w:type="dxa"/>
            <w:noWrap/>
            <w:vAlign w:val="center"/>
            <w:hideMark/>
          </w:tcPr>
          <w:p w14:paraId="203D8F9E" w14:textId="77777777" w:rsidR="009E4CBA" w:rsidRPr="00225DAD" w:rsidRDefault="009E4CBA" w:rsidP="00F25269">
            <w:pPr>
              <w:jc w:val="center"/>
              <w:rPr>
                <w:noProof/>
                <w:sz w:val="20"/>
              </w:rPr>
            </w:pPr>
            <w:r w:rsidRPr="00225DAD">
              <w:rPr>
                <w:noProof/>
                <w:sz w:val="20"/>
              </w:rPr>
              <w:t>1</w:t>
            </w:r>
            <w:r>
              <w:rPr>
                <w:noProof/>
                <w:sz w:val="20"/>
              </w:rPr>
              <w:t>.</w:t>
            </w:r>
            <w:r w:rsidRPr="00225DAD">
              <w:rPr>
                <w:noProof/>
                <w:sz w:val="20"/>
              </w:rPr>
              <w:t>02</w:t>
            </w:r>
          </w:p>
        </w:tc>
        <w:tc>
          <w:tcPr>
            <w:tcW w:w="2912" w:type="dxa"/>
            <w:shd w:val="clear" w:color="auto" w:fill="FFFFFF" w:themeFill="background1"/>
            <w:noWrap/>
            <w:vAlign w:val="center"/>
            <w:hideMark/>
          </w:tcPr>
          <w:p w14:paraId="74BB573E" w14:textId="77777777" w:rsidR="009E4CBA" w:rsidRPr="00BA0C59" w:rsidRDefault="009E4CBA" w:rsidP="00F25269">
            <w:pPr>
              <w:jc w:val="center"/>
              <w:rPr>
                <w:noProof/>
                <w:sz w:val="20"/>
              </w:rPr>
            </w:pPr>
            <w:r w:rsidRPr="00BA0C59">
              <w:rPr>
                <w:noProof/>
                <w:sz w:val="20"/>
              </w:rPr>
              <w:t>0.23</w:t>
            </w:r>
          </w:p>
        </w:tc>
        <w:tc>
          <w:tcPr>
            <w:tcW w:w="3119" w:type="dxa"/>
            <w:shd w:val="clear" w:color="auto" w:fill="auto"/>
            <w:vAlign w:val="center"/>
          </w:tcPr>
          <w:p w14:paraId="520EE43A" w14:textId="77777777" w:rsidR="009E4CBA" w:rsidRPr="00A0563E" w:rsidRDefault="009E4CBA" w:rsidP="00F25269">
            <w:pPr>
              <w:jc w:val="center"/>
              <w:rPr>
                <w:noProof/>
                <w:sz w:val="20"/>
              </w:rPr>
            </w:pPr>
            <w:r>
              <w:rPr>
                <w:noProof/>
                <w:sz w:val="20"/>
              </w:rPr>
              <w:t>0.26</w:t>
            </w:r>
          </w:p>
        </w:tc>
      </w:tr>
    </w:tbl>
    <w:p w14:paraId="2D69D7F9" w14:textId="77777777" w:rsidR="00642A9E" w:rsidRDefault="00642A9E" w:rsidP="00990F49">
      <w:pPr>
        <w:jc w:val="both"/>
      </w:pPr>
    </w:p>
    <w:p w14:paraId="1353E464" w14:textId="401D3E37" w:rsidR="005459BD" w:rsidRDefault="002E58B9" w:rsidP="005459BD">
      <w:pPr>
        <w:jc w:val="both"/>
        <w:rPr>
          <w:noProof/>
          <w:lang w:val="en-GB"/>
        </w:rPr>
      </w:pPr>
      <w:r w:rsidRPr="003C2A4B">
        <w:rPr>
          <w:noProof/>
          <w:lang w:val="en-GB"/>
        </w:rPr>
        <w:t>*</w:t>
      </w:r>
      <w:r w:rsidR="00E323D2" w:rsidRPr="00E323D2">
        <w:rPr>
          <w:noProof/>
          <w:lang w:val="en-GB"/>
        </w:rPr>
        <w:t xml:space="preserve"> </w:t>
      </w:r>
      <w:r w:rsidR="005459BD" w:rsidRPr="00F25269">
        <w:rPr>
          <w:noProof/>
          <w:lang w:val="en-GB"/>
        </w:rPr>
        <w:t>Labile metal concentrations represent free ions and metals dissociating sufficiently fast from inorganic and organic complexes, while not accounting for metals present in strong complexes that, depending metal-specific characteristics and the environment, can represent a high percentage of the metal present. Therefore,</w:t>
      </w:r>
      <w:r w:rsidR="0042725B">
        <w:rPr>
          <w:noProof/>
          <w:lang w:val="en-GB"/>
        </w:rPr>
        <w:t xml:space="preserve"> as a precaution,</w:t>
      </w:r>
      <w:r w:rsidR="005459BD" w:rsidRPr="00F25269">
        <w:rPr>
          <w:noProof/>
          <w:lang w:val="en-GB"/>
        </w:rPr>
        <w:t xml:space="preserve"> when calculated </w:t>
      </w:r>
      <w:r w:rsidR="005459BD">
        <w:rPr>
          <w:noProof/>
          <w:lang w:val="en-GB"/>
        </w:rPr>
        <w:t>(A)-</w:t>
      </w:r>
      <w:r w:rsidR="005459BD" w:rsidRPr="00F25269">
        <w:rPr>
          <w:noProof/>
          <w:lang w:val="en-GB"/>
        </w:rPr>
        <w:t xml:space="preserve">EQS </w:t>
      </w:r>
      <w:r w:rsidR="005459BD" w:rsidRPr="00C94FAE">
        <w:rPr>
          <w:noProof/>
          <w:vertAlign w:val="subscript"/>
          <w:lang w:val="en-GB"/>
        </w:rPr>
        <w:t xml:space="preserve">DGT </w:t>
      </w:r>
      <w:r w:rsidR="005459BD" w:rsidRPr="00F25269">
        <w:rPr>
          <w:noProof/>
          <w:lang w:val="en-GB"/>
        </w:rPr>
        <w:t>(10.92 µg.L</w:t>
      </w:r>
      <w:r w:rsidR="005459BD" w:rsidRPr="0090590F">
        <w:rPr>
          <w:noProof/>
          <w:vertAlign w:val="superscript"/>
          <w:lang w:val="en-GB"/>
        </w:rPr>
        <w:t>-1</w:t>
      </w:r>
      <w:r w:rsidR="005459BD" w:rsidRPr="00F25269">
        <w:rPr>
          <w:noProof/>
          <w:lang w:val="en-GB"/>
        </w:rPr>
        <w:t xml:space="preserve"> and 0.21 µg.L</w:t>
      </w:r>
      <w:r w:rsidR="005459BD" w:rsidRPr="00C94FAE">
        <w:rPr>
          <w:noProof/>
          <w:vertAlign w:val="superscript"/>
          <w:lang w:val="en-GB"/>
        </w:rPr>
        <w:t>-1</w:t>
      </w:r>
      <w:r w:rsidR="005459BD" w:rsidRPr="00F25269">
        <w:rPr>
          <w:noProof/>
          <w:lang w:val="en-GB"/>
        </w:rPr>
        <w:t xml:space="preserve"> for Ni and Cd, respectively) were higher than the existing EQS </w:t>
      </w:r>
      <w:r w:rsidR="005459BD" w:rsidRPr="00C94FAE">
        <w:rPr>
          <w:noProof/>
          <w:vertAlign w:val="subscript"/>
          <w:lang w:val="en-GB"/>
        </w:rPr>
        <w:t>marine water</w:t>
      </w:r>
      <w:r w:rsidR="005459BD" w:rsidRPr="00F25269">
        <w:rPr>
          <w:noProof/>
          <w:lang w:val="en-GB"/>
        </w:rPr>
        <w:t>,</w:t>
      </w:r>
      <w:r w:rsidR="005459BD">
        <w:rPr>
          <w:noProof/>
          <w:lang w:val="en-GB"/>
        </w:rPr>
        <w:t xml:space="preserve"> these </w:t>
      </w:r>
      <w:r w:rsidR="005459BD" w:rsidRPr="00F25269">
        <w:rPr>
          <w:noProof/>
          <w:lang w:val="en-GB"/>
        </w:rPr>
        <w:t>last ones were considered for the (A)</w:t>
      </w:r>
      <w:r w:rsidR="005459BD">
        <w:rPr>
          <w:noProof/>
          <w:lang w:val="en-GB"/>
        </w:rPr>
        <w:t>-</w:t>
      </w:r>
      <w:r w:rsidR="005459BD" w:rsidRPr="00F25269">
        <w:rPr>
          <w:noProof/>
          <w:lang w:val="en-GB"/>
        </w:rPr>
        <w:t xml:space="preserve">EQS </w:t>
      </w:r>
      <w:r w:rsidR="005459BD" w:rsidRPr="007237D1">
        <w:rPr>
          <w:noProof/>
          <w:vertAlign w:val="subscript"/>
          <w:lang w:val="en-GB"/>
        </w:rPr>
        <w:t>DGT</w:t>
      </w:r>
      <w:r w:rsidR="005459BD" w:rsidRPr="00F25269">
        <w:rPr>
          <w:noProof/>
          <w:lang w:val="en-GB"/>
        </w:rPr>
        <w:t xml:space="preserve"> (8.6 µg.L</w:t>
      </w:r>
      <w:r w:rsidR="005459BD" w:rsidRPr="00C94FAE">
        <w:rPr>
          <w:noProof/>
          <w:vertAlign w:val="superscript"/>
          <w:lang w:val="en-GB"/>
        </w:rPr>
        <w:t>-1</w:t>
      </w:r>
      <w:r w:rsidR="005459BD" w:rsidRPr="00F25269">
        <w:rPr>
          <w:noProof/>
          <w:lang w:val="en-GB"/>
        </w:rPr>
        <w:t xml:space="preserve"> and 0.20 µg.L</w:t>
      </w:r>
      <w:r w:rsidR="005459BD" w:rsidRPr="00C94FAE">
        <w:rPr>
          <w:noProof/>
          <w:vertAlign w:val="superscript"/>
          <w:lang w:val="en-GB"/>
        </w:rPr>
        <w:t>-1</w:t>
      </w:r>
      <w:r w:rsidR="005459BD" w:rsidRPr="00F25269">
        <w:rPr>
          <w:noProof/>
          <w:lang w:val="en-GB"/>
        </w:rPr>
        <w:t xml:space="preserve"> for Ni and Cd, respectively)</w:t>
      </w:r>
      <w:r w:rsidR="0042725B">
        <w:rPr>
          <w:noProof/>
          <w:lang w:val="en-GB"/>
        </w:rPr>
        <w:t>.</w:t>
      </w:r>
    </w:p>
    <w:p w14:paraId="4761311C" w14:textId="6612D99D" w:rsidR="002E58B9" w:rsidRDefault="005459BD" w:rsidP="00990F49">
      <w:pPr>
        <w:jc w:val="both"/>
        <w:rPr>
          <w:noProof/>
          <w:lang w:val="en-GB"/>
        </w:rPr>
      </w:pPr>
      <w:r>
        <w:rPr>
          <w:noProof/>
          <w:lang w:val="en-GB"/>
        </w:rPr>
        <w:t xml:space="preserve"> </w:t>
      </w:r>
    </w:p>
    <w:p w14:paraId="0F02ABDB" w14:textId="77777777" w:rsidR="000745BE" w:rsidRDefault="000745BE" w:rsidP="00990F49">
      <w:pPr>
        <w:jc w:val="both"/>
        <w:rPr>
          <w:noProof/>
          <w:lang w:val="en-GB"/>
        </w:rPr>
      </w:pPr>
    </w:p>
    <w:sectPr w:rsidR="000745BE" w:rsidSect="009C0E4E">
      <w:type w:val="continuous"/>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94F2C" w16cex:dateUtc="2023-02-16T23:56:00Z"/>
  <w16cex:commentExtensible w16cex:durableId="27994F5C" w16cex:dateUtc="2023-02-16T23:57:00Z"/>
  <w16cex:commentExtensible w16cex:durableId="27994FE1" w16cex:dateUtc="2023-02-16T23:59: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D97B17" w14:textId="77777777" w:rsidR="00ED073A" w:rsidRDefault="00ED073A" w:rsidP="004B5D94">
      <w:pPr>
        <w:spacing w:after="0" w:line="240" w:lineRule="auto"/>
      </w:pPr>
      <w:r>
        <w:separator/>
      </w:r>
    </w:p>
  </w:endnote>
  <w:endnote w:type="continuationSeparator" w:id="0">
    <w:p w14:paraId="42FB7FD0" w14:textId="77777777" w:rsidR="00ED073A" w:rsidRDefault="00ED073A" w:rsidP="004B5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1AF09" w14:textId="77777777" w:rsidR="00ED073A" w:rsidRDefault="00ED073A" w:rsidP="004B5D94">
      <w:pPr>
        <w:spacing w:after="0" w:line="240" w:lineRule="auto"/>
      </w:pPr>
      <w:r>
        <w:separator/>
      </w:r>
    </w:p>
  </w:footnote>
  <w:footnote w:type="continuationSeparator" w:id="0">
    <w:p w14:paraId="47A209CF" w14:textId="77777777" w:rsidR="00ED073A" w:rsidRDefault="00ED073A" w:rsidP="004B5D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4916B" w14:textId="77777777" w:rsidR="000745BE" w:rsidRPr="000745BE" w:rsidRDefault="000745BE" w:rsidP="000745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CF57E3"/>
    <w:multiLevelType w:val="hybridMultilevel"/>
    <w:tmpl w:val="B8A08B1C"/>
    <w:lvl w:ilvl="0" w:tplc="CF18739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F08"/>
    <w:rsid w:val="00020E74"/>
    <w:rsid w:val="00052B31"/>
    <w:rsid w:val="00061B45"/>
    <w:rsid w:val="000745BE"/>
    <w:rsid w:val="000A1BA4"/>
    <w:rsid w:val="000C4EC6"/>
    <w:rsid w:val="000F52B3"/>
    <w:rsid w:val="001126B6"/>
    <w:rsid w:val="00133A6F"/>
    <w:rsid w:val="00157689"/>
    <w:rsid w:val="001A2D2E"/>
    <w:rsid w:val="001A47FA"/>
    <w:rsid w:val="001B2E1C"/>
    <w:rsid w:val="001C2CB4"/>
    <w:rsid w:val="001C39DB"/>
    <w:rsid w:val="001E4BA4"/>
    <w:rsid w:val="001F297D"/>
    <w:rsid w:val="00215F8C"/>
    <w:rsid w:val="00225BD4"/>
    <w:rsid w:val="002318BD"/>
    <w:rsid w:val="0024135F"/>
    <w:rsid w:val="002421B4"/>
    <w:rsid w:val="0024420E"/>
    <w:rsid w:val="0027680D"/>
    <w:rsid w:val="002B1299"/>
    <w:rsid w:val="002B71D2"/>
    <w:rsid w:val="002B786C"/>
    <w:rsid w:val="002C45E1"/>
    <w:rsid w:val="002D6F63"/>
    <w:rsid w:val="002E2FB0"/>
    <w:rsid w:val="002E58B9"/>
    <w:rsid w:val="002F16FB"/>
    <w:rsid w:val="002F248F"/>
    <w:rsid w:val="0030162E"/>
    <w:rsid w:val="003134BF"/>
    <w:rsid w:val="00323162"/>
    <w:rsid w:val="003423B7"/>
    <w:rsid w:val="0037317A"/>
    <w:rsid w:val="003812DD"/>
    <w:rsid w:val="00385BF5"/>
    <w:rsid w:val="00387016"/>
    <w:rsid w:val="003A63F8"/>
    <w:rsid w:val="003C0F53"/>
    <w:rsid w:val="003C1365"/>
    <w:rsid w:val="003D07C1"/>
    <w:rsid w:val="003D09FB"/>
    <w:rsid w:val="003F56B1"/>
    <w:rsid w:val="004036B4"/>
    <w:rsid w:val="00421656"/>
    <w:rsid w:val="0042725B"/>
    <w:rsid w:val="00431BD6"/>
    <w:rsid w:val="0044389C"/>
    <w:rsid w:val="00445EF9"/>
    <w:rsid w:val="00474A68"/>
    <w:rsid w:val="004B2F0C"/>
    <w:rsid w:val="004B5D94"/>
    <w:rsid w:val="004C3669"/>
    <w:rsid w:val="004D6932"/>
    <w:rsid w:val="005446A3"/>
    <w:rsid w:val="005459BD"/>
    <w:rsid w:val="00562F67"/>
    <w:rsid w:val="00580233"/>
    <w:rsid w:val="005944B7"/>
    <w:rsid w:val="005F722A"/>
    <w:rsid w:val="00601EBB"/>
    <w:rsid w:val="006221A5"/>
    <w:rsid w:val="00624D30"/>
    <w:rsid w:val="00630660"/>
    <w:rsid w:val="00642A9E"/>
    <w:rsid w:val="00647D90"/>
    <w:rsid w:val="0065019E"/>
    <w:rsid w:val="00650E4B"/>
    <w:rsid w:val="00656627"/>
    <w:rsid w:val="00663579"/>
    <w:rsid w:val="006750CD"/>
    <w:rsid w:val="006857DA"/>
    <w:rsid w:val="006870B7"/>
    <w:rsid w:val="006942D4"/>
    <w:rsid w:val="006C544E"/>
    <w:rsid w:val="006E30D8"/>
    <w:rsid w:val="006F5EBD"/>
    <w:rsid w:val="00712CA0"/>
    <w:rsid w:val="007237D1"/>
    <w:rsid w:val="00724281"/>
    <w:rsid w:val="00736C35"/>
    <w:rsid w:val="007444D9"/>
    <w:rsid w:val="007521A5"/>
    <w:rsid w:val="007563AD"/>
    <w:rsid w:val="00763561"/>
    <w:rsid w:val="00776C63"/>
    <w:rsid w:val="00787427"/>
    <w:rsid w:val="007A23B0"/>
    <w:rsid w:val="007B0078"/>
    <w:rsid w:val="007B1431"/>
    <w:rsid w:val="007B14F3"/>
    <w:rsid w:val="007C3586"/>
    <w:rsid w:val="007D35AF"/>
    <w:rsid w:val="007F2B98"/>
    <w:rsid w:val="00844F39"/>
    <w:rsid w:val="00854A5F"/>
    <w:rsid w:val="0087436F"/>
    <w:rsid w:val="008805F2"/>
    <w:rsid w:val="00894189"/>
    <w:rsid w:val="008A0DAF"/>
    <w:rsid w:val="008B0D5D"/>
    <w:rsid w:val="008B4E12"/>
    <w:rsid w:val="008B6268"/>
    <w:rsid w:val="008D7E36"/>
    <w:rsid w:val="008E6653"/>
    <w:rsid w:val="008F0958"/>
    <w:rsid w:val="0090590F"/>
    <w:rsid w:val="00906F8E"/>
    <w:rsid w:val="00920DB3"/>
    <w:rsid w:val="009213E6"/>
    <w:rsid w:val="0093697B"/>
    <w:rsid w:val="00942BDC"/>
    <w:rsid w:val="00980EF7"/>
    <w:rsid w:val="00990F49"/>
    <w:rsid w:val="009B090D"/>
    <w:rsid w:val="009C0E4E"/>
    <w:rsid w:val="009C74BB"/>
    <w:rsid w:val="009E3D40"/>
    <w:rsid w:val="009E4CBA"/>
    <w:rsid w:val="009F40F2"/>
    <w:rsid w:val="009F43DF"/>
    <w:rsid w:val="00A0563E"/>
    <w:rsid w:val="00A170C3"/>
    <w:rsid w:val="00A26968"/>
    <w:rsid w:val="00A32DB3"/>
    <w:rsid w:val="00A641D1"/>
    <w:rsid w:val="00A801E2"/>
    <w:rsid w:val="00AA6781"/>
    <w:rsid w:val="00B03CAA"/>
    <w:rsid w:val="00B03FEE"/>
    <w:rsid w:val="00B14F1B"/>
    <w:rsid w:val="00B22EE5"/>
    <w:rsid w:val="00B512D5"/>
    <w:rsid w:val="00B612E7"/>
    <w:rsid w:val="00B757BD"/>
    <w:rsid w:val="00B76D6C"/>
    <w:rsid w:val="00B81196"/>
    <w:rsid w:val="00B9599F"/>
    <w:rsid w:val="00BA0C59"/>
    <w:rsid w:val="00BB4836"/>
    <w:rsid w:val="00BB5E64"/>
    <w:rsid w:val="00BC3EA9"/>
    <w:rsid w:val="00C0393C"/>
    <w:rsid w:val="00C03F08"/>
    <w:rsid w:val="00C06EE7"/>
    <w:rsid w:val="00C57A47"/>
    <w:rsid w:val="00C94FAE"/>
    <w:rsid w:val="00CA4211"/>
    <w:rsid w:val="00CC35F9"/>
    <w:rsid w:val="00CF4348"/>
    <w:rsid w:val="00D065C4"/>
    <w:rsid w:val="00D22E92"/>
    <w:rsid w:val="00D23BB0"/>
    <w:rsid w:val="00D727E9"/>
    <w:rsid w:val="00D94B2C"/>
    <w:rsid w:val="00DD0475"/>
    <w:rsid w:val="00DD216F"/>
    <w:rsid w:val="00E065AB"/>
    <w:rsid w:val="00E16AFD"/>
    <w:rsid w:val="00E323D2"/>
    <w:rsid w:val="00E42402"/>
    <w:rsid w:val="00E50FDA"/>
    <w:rsid w:val="00E56954"/>
    <w:rsid w:val="00ED073A"/>
    <w:rsid w:val="00EE397A"/>
    <w:rsid w:val="00F01152"/>
    <w:rsid w:val="00F15C63"/>
    <w:rsid w:val="00F25269"/>
    <w:rsid w:val="00F536AF"/>
    <w:rsid w:val="00F54CB7"/>
    <w:rsid w:val="00F676CB"/>
    <w:rsid w:val="00F73E8B"/>
    <w:rsid w:val="00F7544A"/>
    <w:rsid w:val="00FB11B4"/>
    <w:rsid w:val="00FB5A8D"/>
    <w:rsid w:val="00FB6FCF"/>
    <w:rsid w:val="00FC2290"/>
    <w:rsid w:val="00FC479B"/>
    <w:rsid w:val="00FF12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ADA9D"/>
  <w15:chartTrackingRefBased/>
  <w15:docId w15:val="{7EE59A76-DBC3-4E74-9DF2-801A6017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3F08"/>
    <w:rPr>
      <w:color w:val="0563C1" w:themeColor="hyperlink"/>
      <w:u w:val="single"/>
    </w:rPr>
  </w:style>
  <w:style w:type="character" w:customStyle="1" w:styleId="UnresolvedMention">
    <w:name w:val="Unresolved Mention"/>
    <w:basedOn w:val="DefaultParagraphFont"/>
    <w:uiPriority w:val="99"/>
    <w:semiHidden/>
    <w:unhideWhenUsed/>
    <w:rsid w:val="00C03F08"/>
    <w:rPr>
      <w:color w:val="605E5C"/>
      <w:shd w:val="clear" w:color="auto" w:fill="E1DFDD"/>
    </w:rPr>
  </w:style>
  <w:style w:type="table" w:styleId="TableGrid">
    <w:name w:val="Table Grid"/>
    <w:basedOn w:val="TableNormal"/>
    <w:uiPriority w:val="39"/>
    <w:rsid w:val="00650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39"/>
    <w:rsid w:val="00642A9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48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836"/>
    <w:rPr>
      <w:rFonts w:ascii="Segoe UI" w:hAnsi="Segoe UI" w:cs="Segoe UI"/>
      <w:sz w:val="18"/>
      <w:szCs w:val="18"/>
    </w:rPr>
  </w:style>
  <w:style w:type="character" w:styleId="CommentReference">
    <w:name w:val="annotation reference"/>
    <w:basedOn w:val="DefaultParagraphFont"/>
    <w:uiPriority w:val="99"/>
    <w:semiHidden/>
    <w:unhideWhenUsed/>
    <w:rsid w:val="00776C63"/>
    <w:rPr>
      <w:sz w:val="16"/>
      <w:szCs w:val="16"/>
    </w:rPr>
  </w:style>
  <w:style w:type="paragraph" w:styleId="CommentText">
    <w:name w:val="annotation text"/>
    <w:basedOn w:val="Normal"/>
    <w:link w:val="CommentTextChar"/>
    <w:uiPriority w:val="99"/>
    <w:unhideWhenUsed/>
    <w:rsid w:val="00776C63"/>
    <w:pPr>
      <w:spacing w:line="240" w:lineRule="auto"/>
    </w:pPr>
    <w:rPr>
      <w:sz w:val="20"/>
      <w:szCs w:val="20"/>
    </w:rPr>
  </w:style>
  <w:style w:type="character" w:customStyle="1" w:styleId="CommentTextChar">
    <w:name w:val="Comment Text Char"/>
    <w:basedOn w:val="DefaultParagraphFont"/>
    <w:link w:val="CommentText"/>
    <w:uiPriority w:val="99"/>
    <w:rsid w:val="00776C63"/>
    <w:rPr>
      <w:sz w:val="20"/>
      <w:szCs w:val="20"/>
    </w:rPr>
  </w:style>
  <w:style w:type="paragraph" w:styleId="CommentSubject">
    <w:name w:val="annotation subject"/>
    <w:basedOn w:val="CommentText"/>
    <w:next w:val="CommentText"/>
    <w:link w:val="CommentSubjectChar"/>
    <w:uiPriority w:val="99"/>
    <w:semiHidden/>
    <w:unhideWhenUsed/>
    <w:rsid w:val="00776C63"/>
    <w:rPr>
      <w:b/>
      <w:bCs/>
    </w:rPr>
  </w:style>
  <w:style w:type="character" w:customStyle="1" w:styleId="CommentSubjectChar">
    <w:name w:val="Comment Subject Char"/>
    <w:basedOn w:val="CommentTextChar"/>
    <w:link w:val="CommentSubject"/>
    <w:uiPriority w:val="99"/>
    <w:semiHidden/>
    <w:rsid w:val="00776C63"/>
    <w:rPr>
      <w:b/>
      <w:bCs/>
      <w:sz w:val="20"/>
      <w:szCs w:val="20"/>
    </w:rPr>
  </w:style>
  <w:style w:type="paragraph" w:styleId="Revision">
    <w:name w:val="Revision"/>
    <w:hidden/>
    <w:uiPriority w:val="99"/>
    <w:semiHidden/>
    <w:rsid w:val="00E065AB"/>
    <w:pPr>
      <w:spacing w:after="0" w:line="240" w:lineRule="auto"/>
    </w:pPr>
  </w:style>
  <w:style w:type="paragraph" w:styleId="Header">
    <w:name w:val="header"/>
    <w:basedOn w:val="Normal"/>
    <w:link w:val="HeaderChar"/>
    <w:uiPriority w:val="99"/>
    <w:unhideWhenUsed/>
    <w:rsid w:val="004B5D94"/>
    <w:pPr>
      <w:tabs>
        <w:tab w:val="center" w:pos="4252"/>
        <w:tab w:val="right" w:pos="8504"/>
      </w:tabs>
      <w:spacing w:after="0" w:line="240" w:lineRule="auto"/>
    </w:pPr>
  </w:style>
  <w:style w:type="character" w:customStyle="1" w:styleId="HeaderChar">
    <w:name w:val="Header Char"/>
    <w:basedOn w:val="DefaultParagraphFont"/>
    <w:link w:val="Header"/>
    <w:uiPriority w:val="99"/>
    <w:rsid w:val="004B5D94"/>
  </w:style>
  <w:style w:type="paragraph" w:styleId="Footer">
    <w:name w:val="footer"/>
    <w:basedOn w:val="Normal"/>
    <w:link w:val="FooterChar"/>
    <w:uiPriority w:val="99"/>
    <w:unhideWhenUsed/>
    <w:rsid w:val="004B5D94"/>
    <w:pPr>
      <w:tabs>
        <w:tab w:val="center" w:pos="4252"/>
        <w:tab w:val="right" w:pos="8504"/>
      </w:tabs>
      <w:spacing w:after="0" w:line="240" w:lineRule="auto"/>
    </w:pPr>
  </w:style>
  <w:style w:type="character" w:customStyle="1" w:styleId="FooterChar">
    <w:name w:val="Footer Char"/>
    <w:basedOn w:val="DefaultParagraphFont"/>
    <w:link w:val="Footer"/>
    <w:uiPriority w:val="99"/>
    <w:rsid w:val="004B5D94"/>
  </w:style>
  <w:style w:type="paragraph" w:styleId="Bibliography">
    <w:name w:val="Bibliography"/>
    <w:basedOn w:val="Normal"/>
    <w:next w:val="Normal"/>
    <w:uiPriority w:val="37"/>
    <w:unhideWhenUsed/>
    <w:rsid w:val="000745BE"/>
    <w:pPr>
      <w:spacing w:after="0" w:line="240" w:lineRule="auto"/>
      <w:ind w:left="720" w:hanging="720"/>
    </w:pPr>
  </w:style>
  <w:style w:type="paragraph" w:styleId="ListParagraph">
    <w:name w:val="List Paragraph"/>
    <w:basedOn w:val="Normal"/>
    <w:uiPriority w:val="34"/>
    <w:qFormat/>
    <w:rsid w:val="000745BE"/>
    <w:pPr>
      <w:ind w:left="720"/>
      <w:contextualSpacing/>
    </w:pPr>
  </w:style>
  <w:style w:type="character" w:styleId="LineNumber">
    <w:name w:val="line number"/>
    <w:basedOn w:val="DefaultParagraphFont"/>
    <w:uiPriority w:val="99"/>
    <w:semiHidden/>
    <w:unhideWhenUsed/>
    <w:rsid w:val="00F25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1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5594C-8412-40D4-A329-681A78404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2868</Words>
  <Characters>16348</Characters>
  <Application>Microsoft Office Word</Application>
  <DocSecurity>0</DocSecurity>
  <Lines>136</Lines>
  <Paragraphs>38</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AMOUROUX, Ifremer Nantes PDG-RBE-BE, 02</dc:creator>
  <cp:keywords/>
  <dc:description/>
  <cp:lastModifiedBy>Poornima Thiruvudaiselvi</cp:lastModifiedBy>
  <cp:revision>6</cp:revision>
  <cp:lastPrinted>2023-02-10T16:18:00Z</cp:lastPrinted>
  <dcterms:created xsi:type="dcterms:W3CDTF">2023-03-31T12:17:00Z</dcterms:created>
  <dcterms:modified xsi:type="dcterms:W3CDTF">2023-04-10T12:53:00Z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f01cf0-dd39-4ca8-8ed8-80cbd24f5bed_Enabled">
    <vt:lpwstr>true</vt:lpwstr>
  </property>
  <property fmtid="{D5CDD505-2E9C-101B-9397-08002B2CF9AE}" pid="3" name="MSIP_Label_92f01cf0-dd39-4ca8-8ed8-80cbd24f5bed_SetDate">
    <vt:lpwstr>2022-08-07T14:31:19Z</vt:lpwstr>
  </property>
  <property fmtid="{D5CDD505-2E9C-101B-9397-08002B2CF9AE}" pid="4" name="MSIP_Label_92f01cf0-dd39-4ca8-8ed8-80cbd24f5bed_Method">
    <vt:lpwstr>Standard</vt:lpwstr>
  </property>
  <property fmtid="{D5CDD505-2E9C-101B-9397-08002B2CF9AE}" pid="5" name="MSIP_Label_92f01cf0-dd39-4ca8-8ed8-80cbd24f5bed_Name">
    <vt:lpwstr>Interno</vt:lpwstr>
  </property>
  <property fmtid="{D5CDD505-2E9C-101B-9397-08002B2CF9AE}" pid="6" name="MSIP_Label_92f01cf0-dd39-4ca8-8ed8-80cbd24f5bed_SiteId">
    <vt:lpwstr>6219f119-3e79-4e7f-acde-a5750808cd9b</vt:lpwstr>
  </property>
  <property fmtid="{D5CDD505-2E9C-101B-9397-08002B2CF9AE}" pid="7" name="MSIP_Label_92f01cf0-dd39-4ca8-8ed8-80cbd24f5bed_ActionId">
    <vt:lpwstr>f230a61f-cab0-4fca-a6bd-cc8c489bd6a7</vt:lpwstr>
  </property>
  <property fmtid="{D5CDD505-2E9C-101B-9397-08002B2CF9AE}" pid="8" name="MSIP_Label_92f01cf0-dd39-4ca8-8ed8-80cbd24f5bed_ContentBits">
    <vt:lpwstr>0</vt:lpwstr>
  </property>
  <property fmtid="{D5CDD505-2E9C-101B-9397-08002B2CF9AE}" pid="9" name="ZOTERO_PREF_1">
    <vt:lpwstr>&lt;data data-version="3" zotero-version="6.0.10"&gt;&lt;session id="ctkr83nl"/&gt;&lt;style id="http://www.zotero.org/styles/elsevier-harvard" hasBibliography="1" bibliographyStyleHasBeenSet="1"/&gt;&lt;prefs&gt;&lt;pref name="fieldType" value="Field"/&gt;&lt;/prefs&gt;&lt;/data&gt;</vt:lpwstr>
  </property>
</Properties>
</file>