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D6C" w:rsidRDefault="00314478" w:rsidP="00503D6C">
      <w:pPr>
        <w:rPr>
          <w:b/>
        </w:rPr>
      </w:pPr>
      <w:r>
        <w:rPr>
          <w:b/>
        </w:rPr>
        <w:t>Supplementary Material S3</w:t>
      </w:r>
    </w:p>
    <w:p w:rsidR="00314478" w:rsidRDefault="00314478" w:rsidP="00503D6C">
      <w:pPr>
        <w:rPr>
          <w:b/>
        </w:rPr>
      </w:pPr>
    </w:p>
    <w:p w:rsidR="00314478" w:rsidRPr="00347204" w:rsidRDefault="00314478" w:rsidP="00503D6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6188710" cy="5092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MatS3_IBDscaled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99" b="-4547"/>
                    <a:stretch/>
                  </pic:blipFill>
                  <pic:spPr bwMode="auto">
                    <a:xfrm>
                      <a:off x="0" y="0"/>
                      <a:ext cx="6188710" cy="509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478" w:rsidRDefault="008E5962" w:rsidP="00314478">
      <w:pPr>
        <w:rPr>
          <w:sz w:val="20"/>
          <w:szCs w:val="20"/>
        </w:rPr>
        <w:sectPr w:rsidR="00314478" w:rsidSect="007A2774">
          <w:headerReference w:type="default" r:id="rId7"/>
          <w:pgSz w:w="11906" w:h="16838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  <w:r>
        <w:rPr>
          <w:b/>
          <w:sz w:val="20"/>
          <w:szCs w:val="20"/>
        </w:rPr>
        <w:t>Fig.</w:t>
      </w:r>
      <w:r w:rsidR="00314478"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>3.5</w:t>
      </w:r>
      <w:r w:rsidR="00314478" w:rsidRPr="00485987">
        <w:rPr>
          <w:sz w:val="20"/>
          <w:szCs w:val="20"/>
        </w:rPr>
        <w:t xml:space="preserve">: </w:t>
      </w:r>
      <w:r w:rsidR="00314478">
        <w:rPr>
          <w:sz w:val="20"/>
          <w:szCs w:val="20"/>
        </w:rPr>
        <w:t>Scaled p</w:t>
      </w:r>
      <w:r w:rsidR="00314478" w:rsidRPr="00485987">
        <w:rPr>
          <w:sz w:val="20"/>
          <w:szCs w:val="20"/>
        </w:rPr>
        <w:t>lots of isolation-by</w:t>
      </w:r>
      <w:r w:rsidR="00314478">
        <w:rPr>
          <w:sz w:val="20"/>
          <w:szCs w:val="20"/>
        </w:rPr>
        <w:t xml:space="preserve">-distance (IBD) for lobsters </w:t>
      </w:r>
      <w:r w:rsidR="00314478">
        <w:rPr>
          <w:i/>
          <w:sz w:val="20"/>
          <w:szCs w:val="20"/>
        </w:rPr>
        <w:t xml:space="preserve">Homarus gammarus </w:t>
      </w:r>
      <w:r w:rsidR="00314478">
        <w:rPr>
          <w:sz w:val="20"/>
          <w:szCs w:val="20"/>
        </w:rPr>
        <w:t xml:space="preserve">(left) and crawfish </w:t>
      </w:r>
      <w:proofErr w:type="spellStart"/>
      <w:r w:rsidR="00314478">
        <w:rPr>
          <w:i/>
          <w:sz w:val="20"/>
          <w:szCs w:val="20"/>
        </w:rPr>
        <w:t>Palinurus</w:t>
      </w:r>
      <w:proofErr w:type="spellEnd"/>
      <w:r w:rsidR="00314478">
        <w:rPr>
          <w:i/>
          <w:sz w:val="20"/>
          <w:szCs w:val="20"/>
        </w:rPr>
        <w:t xml:space="preserve"> </w:t>
      </w:r>
      <w:proofErr w:type="spellStart"/>
      <w:r w:rsidR="00314478">
        <w:rPr>
          <w:i/>
          <w:sz w:val="20"/>
          <w:szCs w:val="20"/>
        </w:rPr>
        <w:t>elephas</w:t>
      </w:r>
      <w:proofErr w:type="spellEnd"/>
      <w:r w:rsidR="00314478">
        <w:rPr>
          <w:i/>
          <w:sz w:val="20"/>
          <w:szCs w:val="20"/>
        </w:rPr>
        <w:t xml:space="preserve"> </w:t>
      </w:r>
      <w:r w:rsidR="00314478">
        <w:rPr>
          <w:sz w:val="20"/>
          <w:szCs w:val="20"/>
        </w:rPr>
        <w:t>(right)</w:t>
      </w:r>
      <w:r w:rsidR="00314478" w:rsidRPr="00485987">
        <w:rPr>
          <w:sz w:val="20"/>
          <w:szCs w:val="20"/>
        </w:rPr>
        <w:t>, with measures of pairwise genetic (</w:t>
      </w:r>
      <w:r w:rsidR="00314478" w:rsidRPr="00485987">
        <w:rPr>
          <w:i/>
          <w:sz w:val="20"/>
          <w:szCs w:val="20"/>
        </w:rPr>
        <w:t>F</w:t>
      </w:r>
      <w:r w:rsidR="00314478" w:rsidRPr="00485987">
        <w:rPr>
          <w:sz w:val="20"/>
          <w:szCs w:val="20"/>
          <w:vertAlign w:val="subscript"/>
        </w:rPr>
        <w:t>ST</w:t>
      </w:r>
      <w:r w:rsidR="00314478" w:rsidRPr="00485987">
        <w:rPr>
          <w:sz w:val="20"/>
          <w:szCs w:val="20"/>
        </w:rPr>
        <w:t xml:space="preserve"> – Weir &amp; </w:t>
      </w:r>
      <w:proofErr w:type="spellStart"/>
      <w:r w:rsidR="00314478" w:rsidRPr="00485987">
        <w:rPr>
          <w:sz w:val="20"/>
          <w:szCs w:val="20"/>
        </w:rPr>
        <w:t>Cockerham’s</w:t>
      </w:r>
      <w:proofErr w:type="spellEnd"/>
      <w:r w:rsidR="00314478" w:rsidRPr="00485987">
        <w:rPr>
          <w:sz w:val="20"/>
          <w:szCs w:val="20"/>
        </w:rPr>
        <w:t xml:space="preserve"> </w:t>
      </w:r>
      <w:r w:rsidR="00314478" w:rsidRPr="00485987">
        <w:rPr>
          <w:rFonts w:cstheme="minorHAnsi"/>
          <w:sz w:val="20"/>
          <w:szCs w:val="20"/>
        </w:rPr>
        <w:t>θ, 1984</w:t>
      </w:r>
      <w:r w:rsidR="00314478" w:rsidRPr="00485987">
        <w:rPr>
          <w:sz w:val="20"/>
          <w:szCs w:val="20"/>
        </w:rPr>
        <w:t>) and geographic (kilometres – minimum oceanic paths) distance regressed between geographic sites for all samples (top) and only those from the Atlantic (middle) and Mediterranean (bottom) basins. Correlation coefficients (r</w:t>
      </w:r>
      <w:r w:rsidR="00314478" w:rsidRPr="00485987">
        <w:rPr>
          <w:sz w:val="20"/>
          <w:szCs w:val="20"/>
          <w:vertAlign w:val="superscript"/>
        </w:rPr>
        <w:t>2</w:t>
      </w:r>
      <w:r w:rsidR="00314478" w:rsidRPr="00485987">
        <w:rPr>
          <w:sz w:val="20"/>
          <w:szCs w:val="20"/>
        </w:rPr>
        <w:t>) and associated p-values are calculated from Mantel testing (significance denoted as * = p&lt;0.05, ** = P&lt;0.01, *** = p&lt;0.001). Blue lines depict linear regression</w:t>
      </w:r>
      <w:r w:rsidR="00314478">
        <w:rPr>
          <w:sz w:val="20"/>
          <w:szCs w:val="20"/>
        </w:rPr>
        <w:t xml:space="preserve"> model fits</w:t>
      </w:r>
      <w:r w:rsidR="00314478" w:rsidRPr="00485987">
        <w:rPr>
          <w:sz w:val="20"/>
          <w:szCs w:val="20"/>
        </w:rPr>
        <w:t xml:space="preserve">, with corresponding 95% confidence </w:t>
      </w:r>
      <w:r w:rsidR="00314478">
        <w:rPr>
          <w:sz w:val="20"/>
          <w:szCs w:val="20"/>
        </w:rPr>
        <w:t>intervals shaded in darker grey.</w:t>
      </w:r>
      <w:r w:rsidR="00314478" w:rsidRPr="00485987">
        <w:rPr>
          <w:sz w:val="20"/>
          <w:szCs w:val="20"/>
        </w:rPr>
        <w:t xml:space="preserve"> </w:t>
      </w:r>
      <w:r w:rsidR="00314478">
        <w:rPr>
          <w:sz w:val="20"/>
          <w:szCs w:val="20"/>
        </w:rPr>
        <w:t>Note: although featuring the same data</w:t>
      </w:r>
      <w:r w:rsidR="004B7F6C">
        <w:rPr>
          <w:sz w:val="20"/>
          <w:szCs w:val="20"/>
        </w:rPr>
        <w:t xml:space="preserve"> as Figure 3</w:t>
      </w:r>
      <w:r w:rsidR="00314478">
        <w:rPr>
          <w:sz w:val="20"/>
          <w:szCs w:val="20"/>
        </w:rPr>
        <w:t>, these plots differ in having X and Y ax</w:t>
      </w:r>
      <w:r w:rsidR="004B7F6C">
        <w:rPr>
          <w:sz w:val="20"/>
          <w:szCs w:val="20"/>
        </w:rPr>
        <w:t xml:space="preserve">es </w:t>
      </w:r>
      <w:r w:rsidR="00314478">
        <w:rPr>
          <w:sz w:val="20"/>
          <w:szCs w:val="20"/>
        </w:rPr>
        <w:t xml:space="preserve">standardised for exact comparisons between species at each spatial </w:t>
      </w:r>
      <w:r w:rsidR="004B7F6C">
        <w:rPr>
          <w:sz w:val="20"/>
          <w:szCs w:val="20"/>
        </w:rPr>
        <w:t>scale</w:t>
      </w:r>
      <w:r w:rsidR="00314478">
        <w:rPr>
          <w:sz w:val="20"/>
          <w:szCs w:val="20"/>
        </w:rPr>
        <w:t xml:space="preserve">.  </w:t>
      </w:r>
    </w:p>
    <w:p w:rsidR="00503D6C" w:rsidRDefault="00503D6C" w:rsidP="00503D6C">
      <w:pPr>
        <w:rPr>
          <w:sz w:val="20"/>
          <w:szCs w:val="20"/>
        </w:rPr>
      </w:pPr>
    </w:p>
    <w:p w:rsidR="00503D6C" w:rsidRDefault="00AC7553" w:rsidP="00503D6C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>
            <wp:extent cx="6223534" cy="586879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MatFigS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534" cy="586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53" w:rsidRDefault="00AC7553" w:rsidP="00503D6C">
      <w:pPr>
        <w:rPr>
          <w:b/>
          <w:sz w:val="20"/>
          <w:szCs w:val="20"/>
        </w:rPr>
      </w:pPr>
    </w:p>
    <w:p w:rsidR="00503D6C" w:rsidRDefault="008E5962" w:rsidP="00503D6C">
      <w:pPr>
        <w:rPr>
          <w:sz w:val="20"/>
          <w:szCs w:val="20"/>
        </w:rPr>
      </w:pPr>
      <w:r>
        <w:rPr>
          <w:b/>
          <w:sz w:val="20"/>
          <w:szCs w:val="20"/>
        </w:rPr>
        <w:t>Fig.</w:t>
      </w:r>
      <w:r w:rsidR="00314478">
        <w:rPr>
          <w:b/>
          <w:sz w:val="20"/>
          <w:szCs w:val="20"/>
        </w:rPr>
        <w:t>S3</w:t>
      </w:r>
      <w:r>
        <w:rPr>
          <w:b/>
          <w:sz w:val="20"/>
          <w:szCs w:val="20"/>
        </w:rPr>
        <w:t>.6a</w:t>
      </w:r>
      <w:r w:rsidR="00314478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>d</w:t>
      </w:r>
      <w:r w:rsidR="00503D6C">
        <w:rPr>
          <w:sz w:val="20"/>
          <w:szCs w:val="20"/>
        </w:rPr>
        <w:t>: Basin-wide p</w:t>
      </w:r>
      <w:r w:rsidR="00503D6C" w:rsidRPr="00485987">
        <w:rPr>
          <w:sz w:val="20"/>
          <w:szCs w:val="20"/>
        </w:rPr>
        <w:t>lots of discriminant analysis of principal components (DAPC), in which points represent individuals and labels represent the mean position of</w:t>
      </w:r>
      <w:r w:rsidR="00503D6C">
        <w:rPr>
          <w:sz w:val="20"/>
          <w:szCs w:val="20"/>
        </w:rPr>
        <w:t xml:space="preserve"> all individuals comprising each geographic sampling site</w:t>
      </w:r>
      <w:r w:rsidR="00503D6C" w:rsidRPr="00485987">
        <w:rPr>
          <w:sz w:val="20"/>
          <w:szCs w:val="20"/>
        </w:rPr>
        <w:t xml:space="preserve">, with colours set according to discrete </w:t>
      </w:r>
      <w:r w:rsidR="00503D6C">
        <w:rPr>
          <w:sz w:val="20"/>
          <w:szCs w:val="20"/>
        </w:rPr>
        <w:t xml:space="preserve">regional </w:t>
      </w:r>
      <w:r w:rsidR="00503D6C" w:rsidRPr="00485987">
        <w:rPr>
          <w:sz w:val="20"/>
          <w:szCs w:val="20"/>
        </w:rPr>
        <w:t>genetic clusters (except</w:t>
      </w:r>
      <w:r w:rsidR="00503D6C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c</w:t>
      </w:r>
      <w:r w:rsidR="00503D6C">
        <w:rPr>
          <w:sz w:val="20"/>
          <w:szCs w:val="20"/>
        </w:rPr>
        <w:t>,</w:t>
      </w:r>
      <w:r w:rsidR="00503D6C" w:rsidRPr="00485987">
        <w:rPr>
          <w:sz w:val="20"/>
          <w:szCs w:val="20"/>
        </w:rPr>
        <w:t xml:space="preserve"> for which regional area is used in the absence of</w:t>
      </w:r>
      <w:r w:rsidR="00503D6C">
        <w:rPr>
          <w:sz w:val="20"/>
          <w:szCs w:val="20"/>
        </w:rPr>
        <w:t xml:space="preserve"> discernible</w:t>
      </w:r>
      <w:r w:rsidR="00AC7553">
        <w:rPr>
          <w:sz w:val="20"/>
          <w:szCs w:val="20"/>
        </w:rPr>
        <w:t xml:space="preserve"> cluster divergence</w:t>
      </w:r>
      <w:r w:rsidR="00503D6C">
        <w:rPr>
          <w:sz w:val="20"/>
          <w:szCs w:val="20"/>
        </w:rPr>
        <w:t xml:space="preserve">). For </w:t>
      </w:r>
      <w:r w:rsidR="00AC7553">
        <w:rPr>
          <w:sz w:val="20"/>
          <w:szCs w:val="20"/>
        </w:rPr>
        <w:t xml:space="preserve">the lobster </w:t>
      </w:r>
      <w:r w:rsidR="00AC7553">
        <w:rPr>
          <w:i/>
          <w:sz w:val="20"/>
          <w:szCs w:val="20"/>
        </w:rPr>
        <w:t>Homarus</w:t>
      </w:r>
      <w:r w:rsidR="00503D6C">
        <w:rPr>
          <w:i/>
          <w:sz w:val="20"/>
          <w:szCs w:val="20"/>
        </w:rPr>
        <w:t xml:space="preserve"> gammarus</w:t>
      </w:r>
      <w:r w:rsidR="00503D6C">
        <w:rPr>
          <w:sz w:val="20"/>
          <w:szCs w:val="20"/>
        </w:rPr>
        <w:t xml:space="preserve">, plots depict clustering using all 6,340 </w:t>
      </w:r>
      <w:r w:rsidR="00AC7553">
        <w:rPr>
          <w:sz w:val="20"/>
          <w:szCs w:val="20"/>
        </w:rPr>
        <w:t xml:space="preserve">SNP </w:t>
      </w:r>
      <w:r w:rsidR="00503D6C">
        <w:rPr>
          <w:sz w:val="20"/>
          <w:szCs w:val="20"/>
        </w:rPr>
        <w:t xml:space="preserve">loci across </w:t>
      </w:r>
      <w:r>
        <w:rPr>
          <w:b/>
          <w:sz w:val="20"/>
          <w:szCs w:val="20"/>
        </w:rPr>
        <w:t>a</w:t>
      </w:r>
      <w:r w:rsidR="00503D6C">
        <w:rPr>
          <w:sz w:val="20"/>
          <w:szCs w:val="20"/>
        </w:rPr>
        <w:t xml:space="preserve">) only 181 Atlantic individuals, </w:t>
      </w:r>
      <w:r w:rsidR="00C25EF0">
        <w:rPr>
          <w:sz w:val="20"/>
          <w:szCs w:val="20"/>
        </w:rPr>
        <w:t xml:space="preserve">retaining 18 </w:t>
      </w:r>
      <w:r w:rsidR="00C25EF0">
        <w:rPr>
          <w:i/>
          <w:sz w:val="20"/>
          <w:szCs w:val="20"/>
        </w:rPr>
        <w:t>P-</w:t>
      </w:r>
      <w:r w:rsidR="00C25EF0">
        <w:rPr>
          <w:sz w:val="20"/>
          <w:szCs w:val="20"/>
        </w:rPr>
        <w:t xml:space="preserve">axes, </w:t>
      </w:r>
      <w:r w:rsidR="00503D6C">
        <w:rPr>
          <w:sz w:val="20"/>
          <w:szCs w:val="20"/>
        </w:rPr>
        <w:t xml:space="preserve">and </w:t>
      </w:r>
      <w:r>
        <w:rPr>
          <w:b/>
          <w:sz w:val="20"/>
          <w:szCs w:val="20"/>
        </w:rPr>
        <w:t>b</w:t>
      </w:r>
      <w:r w:rsidR="00503D6C">
        <w:rPr>
          <w:sz w:val="20"/>
          <w:szCs w:val="20"/>
        </w:rPr>
        <w:t>) only 33 Mediterranean individuals</w:t>
      </w:r>
      <w:r w:rsidR="00C25EF0">
        <w:rPr>
          <w:sz w:val="20"/>
          <w:szCs w:val="20"/>
        </w:rPr>
        <w:t xml:space="preserve">, retaining 3 </w:t>
      </w:r>
      <w:r w:rsidR="00C25EF0">
        <w:rPr>
          <w:i/>
          <w:sz w:val="20"/>
          <w:szCs w:val="20"/>
        </w:rPr>
        <w:t>P-</w:t>
      </w:r>
      <w:r w:rsidR="00C25EF0">
        <w:rPr>
          <w:sz w:val="20"/>
          <w:szCs w:val="20"/>
        </w:rPr>
        <w:t>axes</w:t>
      </w:r>
      <w:r w:rsidR="00503D6C">
        <w:rPr>
          <w:sz w:val="20"/>
          <w:szCs w:val="20"/>
        </w:rPr>
        <w:t>. For</w:t>
      </w:r>
      <w:r w:rsidR="00AC7553">
        <w:rPr>
          <w:sz w:val="20"/>
          <w:szCs w:val="20"/>
        </w:rPr>
        <w:t xml:space="preserve"> the crawfish</w:t>
      </w:r>
      <w:r w:rsidR="00503D6C">
        <w:rPr>
          <w:sz w:val="20"/>
          <w:szCs w:val="20"/>
        </w:rPr>
        <w:t xml:space="preserve"> </w:t>
      </w:r>
      <w:proofErr w:type="spellStart"/>
      <w:r w:rsidR="00503D6C">
        <w:rPr>
          <w:i/>
          <w:sz w:val="20"/>
          <w:szCs w:val="20"/>
        </w:rPr>
        <w:t>P</w:t>
      </w:r>
      <w:r w:rsidR="00AC7553">
        <w:rPr>
          <w:i/>
          <w:sz w:val="20"/>
          <w:szCs w:val="20"/>
        </w:rPr>
        <w:t>alinurus</w:t>
      </w:r>
      <w:proofErr w:type="spellEnd"/>
      <w:r w:rsidR="00503D6C">
        <w:rPr>
          <w:i/>
          <w:sz w:val="20"/>
          <w:szCs w:val="20"/>
        </w:rPr>
        <w:t xml:space="preserve"> </w:t>
      </w:r>
      <w:proofErr w:type="spellStart"/>
      <w:r w:rsidR="00503D6C">
        <w:rPr>
          <w:i/>
          <w:sz w:val="20"/>
          <w:szCs w:val="20"/>
        </w:rPr>
        <w:t>elephas</w:t>
      </w:r>
      <w:proofErr w:type="spellEnd"/>
      <w:r w:rsidR="00503D6C">
        <w:rPr>
          <w:sz w:val="20"/>
          <w:szCs w:val="20"/>
        </w:rPr>
        <w:t xml:space="preserve">, plots depict clustering using all 7,681 </w:t>
      </w:r>
      <w:r w:rsidR="00AC7553">
        <w:rPr>
          <w:sz w:val="20"/>
          <w:szCs w:val="20"/>
        </w:rPr>
        <w:t xml:space="preserve">SNP </w:t>
      </w:r>
      <w:r w:rsidR="00503D6C">
        <w:rPr>
          <w:sz w:val="20"/>
          <w:szCs w:val="20"/>
        </w:rPr>
        <w:t xml:space="preserve">loci across </w:t>
      </w:r>
      <w:r>
        <w:rPr>
          <w:b/>
          <w:sz w:val="20"/>
          <w:szCs w:val="20"/>
        </w:rPr>
        <w:t>c</w:t>
      </w:r>
      <w:r w:rsidR="00503D6C">
        <w:rPr>
          <w:sz w:val="20"/>
          <w:szCs w:val="20"/>
        </w:rPr>
        <w:t>) only 276 Atlantic individuals,</w:t>
      </w:r>
      <w:r w:rsidR="00C25EF0">
        <w:rPr>
          <w:sz w:val="20"/>
          <w:szCs w:val="20"/>
        </w:rPr>
        <w:t xml:space="preserve"> retaining 6 </w:t>
      </w:r>
      <w:r w:rsidR="00C25EF0">
        <w:rPr>
          <w:i/>
          <w:sz w:val="20"/>
          <w:szCs w:val="20"/>
        </w:rPr>
        <w:t>P-</w:t>
      </w:r>
      <w:r w:rsidR="00C25EF0">
        <w:rPr>
          <w:sz w:val="20"/>
          <w:szCs w:val="20"/>
        </w:rPr>
        <w:t>axes,</w:t>
      </w:r>
      <w:r w:rsidR="00503D6C">
        <w:rPr>
          <w:sz w:val="20"/>
          <w:szCs w:val="20"/>
        </w:rPr>
        <w:t xml:space="preserve"> and </w:t>
      </w:r>
      <w:r>
        <w:rPr>
          <w:b/>
          <w:sz w:val="20"/>
          <w:szCs w:val="20"/>
        </w:rPr>
        <w:t>d</w:t>
      </w:r>
      <w:r w:rsidR="00503D6C">
        <w:rPr>
          <w:sz w:val="20"/>
          <w:szCs w:val="20"/>
        </w:rPr>
        <w:t>) only 73 Mediterranean individuals</w:t>
      </w:r>
      <w:r w:rsidR="00C25EF0">
        <w:rPr>
          <w:sz w:val="20"/>
          <w:szCs w:val="20"/>
        </w:rPr>
        <w:t xml:space="preserve">, retaining 3 </w:t>
      </w:r>
      <w:r w:rsidR="00C25EF0">
        <w:rPr>
          <w:i/>
          <w:sz w:val="20"/>
          <w:szCs w:val="20"/>
        </w:rPr>
        <w:t>P-</w:t>
      </w:r>
      <w:r w:rsidR="00C25EF0">
        <w:rPr>
          <w:sz w:val="20"/>
          <w:szCs w:val="20"/>
        </w:rPr>
        <w:t>axes</w:t>
      </w:r>
      <w:r w:rsidR="00503D6C">
        <w:rPr>
          <w:sz w:val="20"/>
          <w:szCs w:val="20"/>
        </w:rPr>
        <w:t xml:space="preserve">. Associated </w:t>
      </w:r>
      <w:bookmarkStart w:id="0" w:name="_GoBack"/>
      <w:bookmarkEnd w:id="0"/>
      <w:r w:rsidR="00503D6C">
        <w:rPr>
          <w:sz w:val="20"/>
          <w:szCs w:val="20"/>
        </w:rPr>
        <w:t xml:space="preserve">basin-wide </w:t>
      </w:r>
      <w:r w:rsidR="00503D6C" w:rsidRPr="00ED6380">
        <w:rPr>
          <w:i/>
          <w:sz w:val="20"/>
          <w:szCs w:val="20"/>
        </w:rPr>
        <w:t>F</w:t>
      </w:r>
      <w:r w:rsidR="00503D6C" w:rsidRPr="00ED6380">
        <w:rPr>
          <w:sz w:val="20"/>
          <w:szCs w:val="20"/>
          <w:vertAlign w:val="subscript"/>
        </w:rPr>
        <w:t>ST</w:t>
      </w:r>
      <w:r w:rsidR="00503D6C">
        <w:rPr>
          <w:sz w:val="20"/>
          <w:szCs w:val="20"/>
        </w:rPr>
        <w:t xml:space="preserve"> of these SNP datasets are displayed on each plot</w:t>
      </w:r>
      <w:r w:rsidR="00503D6C" w:rsidRPr="00485987">
        <w:rPr>
          <w:sz w:val="20"/>
          <w:szCs w:val="20"/>
        </w:rPr>
        <w:t>.</w:t>
      </w:r>
      <w:r w:rsidR="00503D6C">
        <w:rPr>
          <w:sz w:val="20"/>
          <w:szCs w:val="20"/>
        </w:rPr>
        <w:t xml:space="preserve"> P</w:t>
      </w:r>
      <w:r w:rsidR="00503D6C" w:rsidRPr="00485987">
        <w:rPr>
          <w:sz w:val="20"/>
          <w:szCs w:val="20"/>
        </w:rPr>
        <w:t>lots</w:t>
      </w:r>
      <w:r w:rsidR="00503D6C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a</w:t>
      </w:r>
      <w:r w:rsidR="00503D6C">
        <w:rPr>
          <w:sz w:val="20"/>
          <w:szCs w:val="20"/>
        </w:rPr>
        <w:t>-</w:t>
      </w:r>
      <w:r>
        <w:rPr>
          <w:b/>
          <w:sz w:val="20"/>
          <w:szCs w:val="20"/>
        </w:rPr>
        <w:t>c</w:t>
      </w:r>
      <w:r w:rsidR="00AC7553">
        <w:rPr>
          <w:sz w:val="20"/>
          <w:szCs w:val="20"/>
        </w:rPr>
        <w:t xml:space="preserve"> depict the linear discriminant axes LD1 vs </w:t>
      </w:r>
      <w:r w:rsidR="00503D6C" w:rsidRPr="00485987">
        <w:rPr>
          <w:sz w:val="20"/>
          <w:szCs w:val="20"/>
        </w:rPr>
        <w:t xml:space="preserve">2, </w:t>
      </w:r>
      <w:r w:rsidR="00503D6C">
        <w:rPr>
          <w:sz w:val="20"/>
          <w:szCs w:val="20"/>
        </w:rPr>
        <w:t xml:space="preserve">whereas plot </w:t>
      </w:r>
      <w:r>
        <w:rPr>
          <w:b/>
          <w:sz w:val="20"/>
          <w:szCs w:val="20"/>
        </w:rPr>
        <w:t>d</w:t>
      </w:r>
      <w:r w:rsidR="00503D6C">
        <w:rPr>
          <w:sz w:val="20"/>
          <w:szCs w:val="20"/>
        </w:rPr>
        <w:t xml:space="preserve"> depicts</w:t>
      </w:r>
      <w:r w:rsidR="00503D6C" w:rsidRPr="00485987">
        <w:rPr>
          <w:sz w:val="20"/>
          <w:szCs w:val="20"/>
        </w:rPr>
        <w:t xml:space="preserve"> </w:t>
      </w:r>
      <w:r w:rsidR="00AC7553">
        <w:rPr>
          <w:sz w:val="20"/>
          <w:szCs w:val="20"/>
        </w:rPr>
        <w:t>LD</w:t>
      </w:r>
      <w:r w:rsidR="00503D6C" w:rsidRPr="00485987">
        <w:rPr>
          <w:sz w:val="20"/>
          <w:szCs w:val="20"/>
        </w:rPr>
        <w:t>1 vs 3</w:t>
      </w:r>
      <w:r w:rsidR="00503D6C">
        <w:rPr>
          <w:sz w:val="20"/>
          <w:szCs w:val="20"/>
        </w:rPr>
        <w:t>, which</w:t>
      </w:r>
      <w:r w:rsidR="00503D6C" w:rsidRPr="00485987">
        <w:rPr>
          <w:sz w:val="20"/>
          <w:szCs w:val="20"/>
        </w:rPr>
        <w:t xml:space="preserve"> was more informative. Explanatory power of each </w:t>
      </w:r>
      <w:r w:rsidR="009A4885">
        <w:rPr>
          <w:sz w:val="20"/>
          <w:szCs w:val="20"/>
        </w:rPr>
        <w:t>LD axis</w:t>
      </w:r>
      <w:r w:rsidR="00503D6C" w:rsidRPr="00485987">
        <w:rPr>
          <w:sz w:val="20"/>
          <w:szCs w:val="20"/>
        </w:rPr>
        <w:t xml:space="preserve"> (%) </w:t>
      </w:r>
      <w:r w:rsidR="00503D6C">
        <w:rPr>
          <w:sz w:val="20"/>
          <w:szCs w:val="20"/>
        </w:rPr>
        <w:t>are displayed on plot axes</w:t>
      </w:r>
      <w:r w:rsidR="00503D6C" w:rsidRPr="00485987">
        <w:rPr>
          <w:sz w:val="20"/>
          <w:szCs w:val="20"/>
        </w:rPr>
        <w:t>.</w:t>
      </w:r>
    </w:p>
    <w:p w:rsidR="00F95D26" w:rsidRDefault="00F95D26"/>
    <w:sectPr w:rsidR="00F95D26" w:rsidSect="00AC7553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330" w:rsidRDefault="001F3330" w:rsidP="00503D6C">
      <w:pPr>
        <w:spacing w:after="0" w:line="240" w:lineRule="auto"/>
      </w:pPr>
      <w:r>
        <w:separator/>
      </w:r>
    </w:p>
  </w:endnote>
  <w:endnote w:type="continuationSeparator" w:id="0">
    <w:p w:rsidR="001F3330" w:rsidRDefault="001F3330" w:rsidP="0050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330" w:rsidRDefault="001F3330" w:rsidP="00503D6C">
      <w:pPr>
        <w:spacing w:after="0" w:line="240" w:lineRule="auto"/>
      </w:pPr>
      <w:r>
        <w:separator/>
      </w:r>
    </w:p>
  </w:footnote>
  <w:footnote w:type="continuationSeparator" w:id="0">
    <w:p w:rsidR="001F3330" w:rsidRDefault="001F3330" w:rsidP="0050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962" w:rsidRDefault="008E5962" w:rsidP="008E5962">
    <w:pPr>
      <w:pStyle w:val="Header"/>
    </w:pPr>
    <w:r>
      <w:t xml:space="preserve">Supporting Information: Ellis et al – Range-wide genetic structure of two large decapod crustaceans </w:t>
    </w:r>
  </w:p>
  <w:p w:rsidR="008E5962" w:rsidRPr="008E5962" w:rsidRDefault="008E5962" w:rsidP="008E59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D6C" w:rsidRDefault="00503D6C" w:rsidP="00503D6C">
    <w:pPr>
      <w:pStyle w:val="Header"/>
    </w:pPr>
    <w:r>
      <w:t xml:space="preserve">Ellis et al – Range-wide genetic structure of two large decapod crustaceans </w:t>
    </w:r>
  </w:p>
  <w:p w:rsidR="00503D6C" w:rsidRDefault="00503D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D6C"/>
    <w:rsid w:val="000A690C"/>
    <w:rsid w:val="001A43D2"/>
    <w:rsid w:val="001F3330"/>
    <w:rsid w:val="00314478"/>
    <w:rsid w:val="00347204"/>
    <w:rsid w:val="003732D8"/>
    <w:rsid w:val="004B7F6C"/>
    <w:rsid w:val="00503D6C"/>
    <w:rsid w:val="00684784"/>
    <w:rsid w:val="006D4FF6"/>
    <w:rsid w:val="008E5962"/>
    <w:rsid w:val="009A4885"/>
    <w:rsid w:val="00AC7553"/>
    <w:rsid w:val="00B33EDD"/>
    <w:rsid w:val="00C25EF0"/>
    <w:rsid w:val="00D70478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675C5F-7E4B-4C7C-8D67-4656D4FA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D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D6C"/>
  </w:style>
  <w:style w:type="paragraph" w:styleId="Footer">
    <w:name w:val="footer"/>
    <w:basedOn w:val="Normal"/>
    <w:link w:val="FooterChar"/>
    <w:uiPriority w:val="99"/>
    <w:unhideWhenUsed/>
    <w:rsid w:val="0050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D6C"/>
  </w:style>
  <w:style w:type="character" w:styleId="LineNumber">
    <w:name w:val="line number"/>
    <w:basedOn w:val="DefaultParagraphFont"/>
    <w:uiPriority w:val="99"/>
    <w:semiHidden/>
    <w:unhideWhenUsed/>
    <w:rsid w:val="00314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Charlie</dc:creator>
  <cp:keywords/>
  <dc:description/>
  <cp:lastModifiedBy>Ellis, Charlie</cp:lastModifiedBy>
  <cp:revision>9</cp:revision>
  <dcterms:created xsi:type="dcterms:W3CDTF">2022-06-01T23:03:00Z</dcterms:created>
  <dcterms:modified xsi:type="dcterms:W3CDTF">2023-03-03T12:20:00Z</dcterms:modified>
</cp:coreProperties>
</file>