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3D89798D" w:rsidR="00654E8F" w:rsidRPr="001549D3" w:rsidRDefault="00654E8F" w:rsidP="0001436A">
      <w:pPr>
        <w:pStyle w:val="SupplementaryMaterial"/>
        <w:rPr>
          <w:b w:val="0"/>
        </w:rPr>
      </w:pPr>
      <w:bookmarkStart w:id="0" w:name="_Hlk135320111"/>
      <w:bookmarkEnd w:id="0"/>
      <w:r w:rsidRPr="001549D3">
        <w:t xml:space="preserve">Supplementary </w:t>
      </w:r>
      <w:r w:rsidR="00DA0588">
        <w:t>Appendix</w:t>
      </w:r>
      <w:r w:rsidR="00CE1D9A">
        <w:t xml:space="preserve"> </w:t>
      </w:r>
      <w:r w:rsidR="00C867D6">
        <w:t>S</w:t>
      </w:r>
      <w:r w:rsidR="00014CE3">
        <w:t>B</w:t>
      </w:r>
    </w:p>
    <w:p w14:paraId="4CA30A66" w14:textId="0CE8DA92" w:rsidR="00817DD6" w:rsidRPr="001549D3" w:rsidRDefault="00CE1D9A" w:rsidP="0001436A">
      <w:pPr>
        <w:pStyle w:val="Title"/>
      </w:pPr>
      <w:r>
        <w:t xml:space="preserve">Sedimentary deformation relating to episodic seepage in the last 1.2 million years: a multi-scale seismic study from the </w:t>
      </w:r>
      <w:proofErr w:type="spellStart"/>
      <w:r>
        <w:t>Vestnesa</w:t>
      </w:r>
      <w:proofErr w:type="spellEnd"/>
      <w:r>
        <w:t xml:space="preserve"> Ridge, eastern </w:t>
      </w:r>
      <w:proofErr w:type="spellStart"/>
      <w:r>
        <w:t>Fram</w:t>
      </w:r>
      <w:proofErr w:type="spellEnd"/>
      <w:r>
        <w:t xml:space="preserve"> Strait</w:t>
      </w:r>
    </w:p>
    <w:p w14:paraId="25D2C293" w14:textId="256908A2" w:rsidR="002868E2" w:rsidRPr="00994A3D" w:rsidRDefault="00994A3D" w:rsidP="00CE1D9A">
      <w:pPr>
        <w:pStyle w:val="AuthorList"/>
      </w:pPr>
      <w:r w:rsidRPr="00994A3D">
        <w:t>F</w:t>
      </w:r>
      <w:r w:rsidR="00CE1D9A">
        <w:t>rances Cooke</w:t>
      </w:r>
      <w:r w:rsidR="002868E2" w:rsidRPr="00994A3D">
        <w:t xml:space="preserve">*, </w:t>
      </w:r>
      <w:r w:rsidR="00CE1D9A">
        <w:t>Andreia Plaza-Faverola</w:t>
      </w:r>
      <w:r w:rsidR="002868E2" w:rsidRPr="00994A3D">
        <w:t xml:space="preserve">, </w:t>
      </w:r>
      <w:r w:rsidR="00CE1D9A">
        <w:t xml:space="preserve">Stefan </w:t>
      </w:r>
      <w:proofErr w:type="spellStart"/>
      <w:r w:rsidR="00CE1D9A">
        <w:t>Bünz</w:t>
      </w:r>
      <w:proofErr w:type="spellEnd"/>
      <w:r w:rsidR="00CE1D9A">
        <w:t>, Nabil Sultan, Hariharan Ramachandran, Heather Bedle, Henry Patton, Sunny Singhroha and Jochen Knies</w:t>
      </w:r>
    </w:p>
    <w:p w14:paraId="217F3AE0" w14:textId="1E721CBD" w:rsidR="002868E2"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C867D6" w:rsidRPr="00C867D6">
        <w:rPr>
          <w:rFonts w:cs="Times New Roman"/>
        </w:rPr>
        <w:t>frances.a.cooke@uit.no</w:t>
      </w:r>
    </w:p>
    <w:p w14:paraId="0942786E" w14:textId="1850D07A" w:rsidR="00C867D6" w:rsidRDefault="00014CE3" w:rsidP="00C867D6">
      <w:pPr>
        <w:spacing w:before="240" w:after="0"/>
        <w:rPr>
          <w:rFonts w:cs="Times New Roman"/>
          <w:b/>
          <w:bCs/>
        </w:rPr>
      </w:pPr>
      <w:r>
        <w:rPr>
          <w:rFonts w:cs="Times New Roman"/>
          <w:b/>
          <w:bCs/>
        </w:rPr>
        <w:t>1</w:t>
      </w:r>
      <w:r w:rsidR="00C867D6" w:rsidRPr="00C867D6">
        <w:rPr>
          <w:rFonts w:cs="Times New Roman"/>
        </w:rPr>
        <w:tab/>
      </w:r>
      <w:r w:rsidR="00376C88">
        <w:rPr>
          <w:rFonts w:cs="Times New Roman"/>
          <w:b/>
          <w:bCs/>
        </w:rPr>
        <w:t>Conditions for gas hydrate model</w:t>
      </w:r>
    </w:p>
    <w:p w14:paraId="58F1AED1" w14:textId="20719453" w:rsidR="00DE23E8" w:rsidRDefault="00376C88" w:rsidP="00605643">
      <w:pPr>
        <w:spacing w:before="240"/>
        <w:jc w:val="both"/>
        <w:rPr>
          <w:rFonts w:cs="Times New Roman"/>
        </w:rPr>
      </w:pPr>
      <w:r w:rsidRPr="00376C88">
        <w:rPr>
          <w:rFonts w:cs="Times New Roman"/>
        </w:rPr>
        <w:t>We consider a variable water depth in the 2D model over the 2.84 km bathymetry transect that crosses faults F1 and F2. The porosity and thermal diffusivity data profiles (Figure</w:t>
      </w:r>
      <w:r>
        <w:rPr>
          <w:rFonts w:cs="Times New Roman"/>
        </w:rPr>
        <w:t xml:space="preserve"> </w:t>
      </w:r>
      <w:r w:rsidRPr="00376C88">
        <w:rPr>
          <w:rFonts w:cs="Times New Roman"/>
        </w:rPr>
        <w:t xml:space="preserve">1) derive from the basin modelling study by </w:t>
      </w:r>
      <w:proofErr w:type="spellStart"/>
      <w:r w:rsidRPr="00376C88">
        <w:rPr>
          <w:rFonts w:cs="Times New Roman"/>
        </w:rPr>
        <w:t>Daszinnies</w:t>
      </w:r>
      <w:proofErr w:type="spellEnd"/>
      <w:r w:rsidRPr="00376C88">
        <w:rPr>
          <w:rFonts w:cs="Times New Roman"/>
        </w:rPr>
        <w:t xml:space="preserve"> et al. (2021). The porosity information is constrained by the ODP data several km north and south of </w:t>
      </w:r>
      <w:proofErr w:type="spellStart"/>
      <w:r w:rsidRPr="00376C88">
        <w:rPr>
          <w:rFonts w:cs="Times New Roman"/>
        </w:rPr>
        <w:t>Vestnesa</w:t>
      </w:r>
      <w:proofErr w:type="spellEnd"/>
      <w:r w:rsidRPr="00376C88">
        <w:rPr>
          <w:rFonts w:cs="Times New Roman"/>
        </w:rPr>
        <w:t xml:space="preserve"> Ridge. We consider that the data retrieved from Lunde and </w:t>
      </w:r>
      <w:proofErr w:type="spellStart"/>
      <w:r w:rsidRPr="00376C88">
        <w:rPr>
          <w:rFonts w:cs="Times New Roman"/>
        </w:rPr>
        <w:t>Lomvi</w:t>
      </w:r>
      <w:proofErr w:type="spellEnd"/>
      <w:r w:rsidRPr="00376C88">
        <w:rPr>
          <w:rFonts w:cs="Times New Roman"/>
        </w:rPr>
        <w:t xml:space="preserve"> pockmark locations (east of </w:t>
      </w:r>
      <w:proofErr w:type="spellStart"/>
      <w:r w:rsidRPr="00376C88">
        <w:rPr>
          <w:rFonts w:cs="Times New Roman"/>
        </w:rPr>
        <w:t>Vestnesa</w:t>
      </w:r>
      <w:proofErr w:type="spellEnd"/>
      <w:r w:rsidRPr="00376C88">
        <w:rPr>
          <w:rFonts w:cs="Times New Roman"/>
        </w:rPr>
        <w:t xml:space="preserve"> Ridge) are representative for the </w:t>
      </w:r>
      <w:proofErr w:type="spellStart"/>
      <w:r w:rsidRPr="00376C88">
        <w:rPr>
          <w:rFonts w:cs="Times New Roman"/>
        </w:rPr>
        <w:t>Vestnesa</w:t>
      </w:r>
      <w:proofErr w:type="spellEnd"/>
      <w:r w:rsidRPr="00376C88">
        <w:rPr>
          <w:rFonts w:cs="Times New Roman"/>
        </w:rPr>
        <w:t xml:space="preserve"> Ridge section west of these locations. The calculation domain was divided into eight different layers (Figure 1).</w:t>
      </w:r>
    </w:p>
    <w:p w14:paraId="1FDAA8F9" w14:textId="2AC6184F" w:rsidR="00376C88" w:rsidRDefault="00376C88" w:rsidP="00376C88">
      <w:pPr>
        <w:spacing w:before="240"/>
        <w:jc w:val="center"/>
      </w:pPr>
      <w:r>
        <w:rPr>
          <w:rFonts w:ascii="Arial" w:hAnsi="Arial" w:cs="Arial"/>
          <w:noProof/>
          <w:lang w:val="fr-FR" w:eastAsia="fr-FR"/>
        </w:rPr>
        <w:drawing>
          <wp:inline distT="0" distB="0" distL="0" distR="0" wp14:anchorId="0C9F68B1" wp14:editId="5A80078B">
            <wp:extent cx="5039995" cy="3275965"/>
            <wp:effectExtent l="0" t="0" r="8255" b="63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3275965"/>
                    </a:xfrm>
                    <a:prstGeom prst="rect">
                      <a:avLst/>
                    </a:prstGeom>
                    <a:noFill/>
                    <a:ln>
                      <a:noFill/>
                    </a:ln>
                  </pic:spPr>
                </pic:pic>
              </a:graphicData>
            </a:graphic>
          </wp:inline>
        </w:drawing>
      </w:r>
    </w:p>
    <w:p w14:paraId="3FEF1D44" w14:textId="2EE3168E" w:rsidR="00376C88" w:rsidRDefault="00376C88" w:rsidP="00376C88">
      <w:pPr>
        <w:keepNext/>
        <w:rPr>
          <w:rFonts w:cs="Times New Roman"/>
          <w:szCs w:val="24"/>
        </w:rPr>
      </w:pPr>
      <w:r w:rsidRPr="0001436A">
        <w:rPr>
          <w:rFonts w:cs="Times New Roman"/>
          <w:b/>
          <w:szCs w:val="24"/>
        </w:rPr>
        <w:lastRenderedPageBreak/>
        <w:t xml:space="preserve">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0C4F57">
        <w:rPr>
          <w:rFonts w:cs="Times New Roman"/>
          <w:szCs w:val="24"/>
        </w:rPr>
        <w:t>Porosity and thermal diffusivity data profiles used in the calculation.</w:t>
      </w:r>
    </w:p>
    <w:p w14:paraId="66A0650A" w14:textId="77777777" w:rsidR="00376C88" w:rsidRPr="00376C88" w:rsidRDefault="00376C88" w:rsidP="00376C88">
      <w:pPr>
        <w:keepNext/>
        <w:jc w:val="center"/>
        <w:rPr>
          <w:rFonts w:cs="Times New Roman"/>
          <w:bCs/>
          <w:szCs w:val="24"/>
        </w:rPr>
      </w:pPr>
    </w:p>
    <w:p w14:paraId="6B5626C1" w14:textId="3551ED43" w:rsidR="00376C88" w:rsidRPr="00376C88" w:rsidRDefault="00376C88" w:rsidP="00605643">
      <w:pPr>
        <w:keepNext/>
        <w:jc w:val="both"/>
        <w:rPr>
          <w:rFonts w:cs="Times New Roman"/>
          <w:bCs/>
          <w:szCs w:val="24"/>
        </w:rPr>
      </w:pPr>
      <w:r w:rsidRPr="00376C88">
        <w:rPr>
          <w:rFonts w:cs="Times New Roman"/>
          <w:bCs/>
          <w:szCs w:val="24"/>
        </w:rPr>
        <w:t xml:space="preserve">We use the bottom water temperatures (BWT) based on benthic foraminifera proxies (El </w:t>
      </w:r>
      <w:proofErr w:type="spellStart"/>
      <w:r w:rsidRPr="00376C88">
        <w:rPr>
          <w:rFonts w:cs="Times New Roman"/>
          <w:bCs/>
          <w:szCs w:val="24"/>
        </w:rPr>
        <w:t>bani</w:t>
      </w:r>
      <w:proofErr w:type="spellEnd"/>
      <w:r w:rsidRPr="00376C88">
        <w:rPr>
          <w:rFonts w:cs="Times New Roman"/>
          <w:bCs/>
          <w:szCs w:val="24"/>
        </w:rPr>
        <w:t xml:space="preserve"> Altuna et al., 2021) from 34 ka to 13 ka (Figure 2). As there is no Holocene (13 ka to present) BWT data available using benthic foraminifera, we use present day BWT at </w:t>
      </w:r>
      <w:proofErr w:type="spellStart"/>
      <w:r w:rsidRPr="00376C88">
        <w:rPr>
          <w:rFonts w:cs="Times New Roman"/>
          <w:bCs/>
          <w:szCs w:val="24"/>
        </w:rPr>
        <w:t>Vestnesa</w:t>
      </w:r>
      <w:proofErr w:type="spellEnd"/>
      <w:r w:rsidRPr="00376C88">
        <w:rPr>
          <w:rFonts w:cs="Times New Roman"/>
          <w:bCs/>
          <w:szCs w:val="24"/>
        </w:rPr>
        <w:t xml:space="preserve"> Ridge and reconstruct the BWT profile using the same magnitude of BWT changes from the south (Ezat et al., 2014) averaged with an additional BWT data profile from the central </w:t>
      </w:r>
      <w:proofErr w:type="spellStart"/>
      <w:r w:rsidRPr="00376C88">
        <w:rPr>
          <w:rFonts w:cs="Times New Roman"/>
          <w:bCs/>
          <w:szCs w:val="24"/>
        </w:rPr>
        <w:t>Fram</w:t>
      </w:r>
      <w:proofErr w:type="spellEnd"/>
      <w:r w:rsidRPr="00376C88">
        <w:rPr>
          <w:rFonts w:cs="Times New Roman"/>
          <w:bCs/>
          <w:szCs w:val="24"/>
        </w:rPr>
        <w:t xml:space="preserve"> Strait (Ezat et al., 2021).</w:t>
      </w:r>
    </w:p>
    <w:p w14:paraId="70E0BB04" w14:textId="77777777" w:rsidR="00376C88" w:rsidRDefault="00376C88" w:rsidP="00376C88">
      <w:pPr>
        <w:spacing w:before="240"/>
      </w:pPr>
    </w:p>
    <w:p w14:paraId="031E6FAF" w14:textId="6237DE7A" w:rsidR="00376C88" w:rsidRDefault="00376C88" w:rsidP="00376C88">
      <w:pPr>
        <w:spacing w:before="240"/>
        <w:jc w:val="center"/>
      </w:pPr>
      <w:r>
        <w:rPr>
          <w:noProof/>
          <w:lang w:val="fr-FR" w:eastAsia="fr-FR"/>
        </w:rPr>
        <w:drawing>
          <wp:inline distT="0" distB="0" distL="0" distR="0" wp14:anchorId="145EE024" wp14:editId="16C9752F">
            <wp:extent cx="4326890" cy="2383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6890" cy="2383155"/>
                    </a:xfrm>
                    <a:prstGeom prst="rect">
                      <a:avLst/>
                    </a:prstGeom>
                    <a:noFill/>
                    <a:ln>
                      <a:noFill/>
                    </a:ln>
                  </pic:spPr>
                </pic:pic>
              </a:graphicData>
            </a:graphic>
          </wp:inline>
        </w:drawing>
      </w:r>
    </w:p>
    <w:p w14:paraId="45046E15" w14:textId="1BAF70CD" w:rsidR="00376C88" w:rsidRDefault="00376C88" w:rsidP="00376C88">
      <w:pPr>
        <w:pStyle w:val="Caption"/>
        <w:rPr>
          <w:b w:val="0"/>
          <w:bCs w:val="0"/>
        </w:rPr>
      </w:pPr>
      <w:r>
        <w:t xml:space="preserve">Figure </w:t>
      </w:r>
      <w:fldSimple w:instr=" SEQ Figure \* ARABIC ">
        <w:r>
          <w:rPr>
            <w:noProof/>
          </w:rPr>
          <w:t>2</w:t>
        </w:r>
      </w:fldSimple>
      <w:r w:rsidRPr="0001436A">
        <w:t>.</w:t>
      </w:r>
      <w:r w:rsidRPr="001549D3">
        <w:t xml:space="preserve"> </w:t>
      </w:r>
      <w:r w:rsidRPr="000C4F57">
        <w:rPr>
          <w:b w:val="0"/>
          <w:bCs w:val="0"/>
        </w:rPr>
        <w:t>Bottom water temperature variations used in the calculation.</w:t>
      </w:r>
    </w:p>
    <w:p w14:paraId="77B0644A" w14:textId="77777777" w:rsidR="00376C88" w:rsidRDefault="00376C88" w:rsidP="00376C88">
      <w:pPr>
        <w:spacing w:before="240"/>
        <w:jc w:val="center"/>
      </w:pPr>
    </w:p>
    <w:p w14:paraId="43262D8D" w14:textId="5D81CD50" w:rsidR="00376C88" w:rsidRDefault="00376C88" w:rsidP="00605643">
      <w:pPr>
        <w:spacing w:before="240"/>
        <w:jc w:val="both"/>
      </w:pPr>
      <w:r>
        <w:t>A thermal gradient of 90 °C/km (Plaza-Faverola, 2020) and salinity of 34.5 ‰ (Plaza-Faverola et al., 2017) conditions were considered constant for the entire calculation.</w:t>
      </w:r>
      <w:r>
        <w:br/>
        <w:t>The sea-level changes were imposed through 8 different steps (Figure 3) and are based on the data from Peltier et al. (2006).</w:t>
      </w:r>
    </w:p>
    <w:p w14:paraId="0D01D465" w14:textId="1A3DCD6F" w:rsidR="00376C88" w:rsidRDefault="00376C88" w:rsidP="00376C88">
      <w:pPr>
        <w:spacing w:before="240"/>
        <w:jc w:val="center"/>
      </w:pPr>
      <w:r>
        <w:rPr>
          <w:noProof/>
          <w:lang w:val="fr-FR" w:eastAsia="fr-FR"/>
        </w:rPr>
        <w:lastRenderedPageBreak/>
        <w:drawing>
          <wp:inline distT="0" distB="0" distL="0" distR="0" wp14:anchorId="4FFECB47" wp14:editId="7CC94638">
            <wp:extent cx="4326890" cy="2390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6890" cy="2390140"/>
                    </a:xfrm>
                    <a:prstGeom prst="rect">
                      <a:avLst/>
                    </a:prstGeom>
                    <a:noFill/>
                    <a:ln>
                      <a:noFill/>
                    </a:ln>
                  </pic:spPr>
                </pic:pic>
              </a:graphicData>
            </a:graphic>
          </wp:inline>
        </w:drawing>
      </w:r>
    </w:p>
    <w:p w14:paraId="61EC5900" w14:textId="57AE5B97" w:rsidR="00376C88" w:rsidRDefault="00376C88" w:rsidP="00376C88">
      <w:pPr>
        <w:pStyle w:val="Caption"/>
      </w:pPr>
      <w:r>
        <w:t xml:space="preserve">Figure </w:t>
      </w:r>
      <w:fldSimple w:instr=" SEQ Figure \* ARABIC ">
        <w:r>
          <w:rPr>
            <w:noProof/>
          </w:rPr>
          <w:t>3</w:t>
        </w:r>
      </w:fldSimple>
      <w:r w:rsidRPr="0001436A">
        <w:t>.</w:t>
      </w:r>
      <w:r>
        <w:t xml:space="preserve"> </w:t>
      </w:r>
      <w:r w:rsidRPr="000C4F57">
        <w:rPr>
          <w:b w:val="0"/>
          <w:bCs w:val="0"/>
        </w:rPr>
        <w:t>Sea-level changes used in the calculation.</w:t>
      </w:r>
    </w:p>
    <w:p w14:paraId="7CC29CE6" w14:textId="1CE15951" w:rsidR="00376C88" w:rsidRDefault="00376C88" w:rsidP="00605643">
      <w:pPr>
        <w:spacing w:before="240"/>
        <w:jc w:val="both"/>
      </w:pPr>
      <w:r>
        <w:t>We chose a gas composition of 0.9975 methane and 0.0025 ethane (Plaza-Faverola et al., 2017). The present thermal field and the position of the BSR at three different periods are shown in Figure 4. The evolution of the BSR and thermal field throughout the entire calculation duration can be viewed in the attached video (Video 1).</w:t>
      </w:r>
    </w:p>
    <w:p w14:paraId="79772709" w14:textId="73513403" w:rsidR="00376C88" w:rsidRDefault="00376C88" w:rsidP="00376C88">
      <w:pPr>
        <w:spacing w:before="240"/>
        <w:jc w:val="center"/>
      </w:pPr>
      <w:r>
        <w:rPr>
          <w:noProof/>
          <w:lang w:val="fr-FR" w:eastAsia="fr-FR"/>
        </w:rPr>
        <w:drawing>
          <wp:inline distT="0" distB="0" distL="0" distR="0" wp14:anchorId="0D4548E9" wp14:editId="360AC2D3">
            <wp:extent cx="5760085" cy="36360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636010"/>
                    </a:xfrm>
                    <a:prstGeom prst="rect">
                      <a:avLst/>
                    </a:prstGeom>
                    <a:noFill/>
                    <a:ln>
                      <a:noFill/>
                    </a:ln>
                  </pic:spPr>
                </pic:pic>
              </a:graphicData>
            </a:graphic>
          </wp:inline>
        </w:drawing>
      </w:r>
    </w:p>
    <w:p w14:paraId="61713FEE" w14:textId="467FA54B" w:rsidR="00376C88" w:rsidRDefault="00376C88" w:rsidP="00376C88">
      <w:pPr>
        <w:pStyle w:val="Caption"/>
        <w:rPr>
          <w:b w:val="0"/>
          <w:bCs w:val="0"/>
        </w:rPr>
      </w:pPr>
      <w:r>
        <w:t xml:space="preserve">Figure </w:t>
      </w:r>
      <w:fldSimple w:instr=" SEQ Figure \* ARABIC ">
        <w:r>
          <w:rPr>
            <w:noProof/>
          </w:rPr>
          <w:t>4</w:t>
        </w:r>
      </w:fldSimple>
      <w:r w:rsidRPr="0001436A">
        <w:t>.</w:t>
      </w:r>
      <w:r w:rsidRPr="001549D3">
        <w:t xml:space="preserve"> </w:t>
      </w:r>
      <w:r w:rsidRPr="000C4F57">
        <w:rPr>
          <w:b w:val="0"/>
          <w:bCs w:val="0"/>
        </w:rPr>
        <w:t>Calculated temperature field at present day and imposed boundary conditions. BSR positions at three different time-period</w:t>
      </w:r>
      <w:r>
        <w:rPr>
          <w:b w:val="0"/>
          <w:bCs w:val="0"/>
        </w:rPr>
        <w:t>s</w:t>
      </w:r>
      <w:r w:rsidRPr="000C4F57">
        <w:rPr>
          <w:b w:val="0"/>
          <w:bCs w:val="0"/>
        </w:rPr>
        <w:t xml:space="preserve"> (0 </w:t>
      </w:r>
      <w:proofErr w:type="spellStart"/>
      <w:r w:rsidRPr="000C4F57">
        <w:rPr>
          <w:b w:val="0"/>
          <w:bCs w:val="0"/>
        </w:rPr>
        <w:t>kyr</w:t>
      </w:r>
      <w:proofErr w:type="spellEnd"/>
      <w:r w:rsidRPr="000C4F57">
        <w:rPr>
          <w:b w:val="0"/>
          <w:bCs w:val="0"/>
        </w:rPr>
        <w:t xml:space="preserve">, -16 </w:t>
      </w:r>
      <w:proofErr w:type="spellStart"/>
      <w:r w:rsidRPr="000C4F57">
        <w:rPr>
          <w:b w:val="0"/>
          <w:bCs w:val="0"/>
        </w:rPr>
        <w:t>kyr</w:t>
      </w:r>
      <w:proofErr w:type="spellEnd"/>
      <w:r w:rsidRPr="000C4F57">
        <w:rPr>
          <w:b w:val="0"/>
          <w:bCs w:val="0"/>
        </w:rPr>
        <w:t xml:space="preserve"> and -33.5 </w:t>
      </w:r>
      <w:proofErr w:type="spellStart"/>
      <w:r w:rsidRPr="000C4F57">
        <w:rPr>
          <w:b w:val="0"/>
          <w:bCs w:val="0"/>
        </w:rPr>
        <w:t>kyr</w:t>
      </w:r>
      <w:proofErr w:type="spellEnd"/>
      <w:r w:rsidRPr="000C4F57">
        <w:rPr>
          <w:b w:val="0"/>
          <w:bCs w:val="0"/>
        </w:rPr>
        <w:t>) are also indicated.</w:t>
      </w:r>
    </w:p>
    <w:p w14:paraId="431354DD" w14:textId="77777777" w:rsidR="00376C88" w:rsidRDefault="00376C88" w:rsidP="00376C88">
      <w:pPr>
        <w:spacing w:before="240"/>
        <w:jc w:val="center"/>
      </w:pPr>
    </w:p>
    <w:p w14:paraId="39F05265" w14:textId="7B7713C0" w:rsidR="00376C88" w:rsidRDefault="00376C88" w:rsidP="00376C88">
      <w:pPr>
        <w:spacing w:before="240"/>
        <w:jc w:val="center"/>
      </w:pPr>
      <w:r>
        <w:rPr>
          <w:noProof/>
          <w:lang w:val="fr-FR" w:eastAsia="fr-FR"/>
        </w:rPr>
        <w:lastRenderedPageBreak/>
        <w:drawing>
          <wp:inline distT="0" distB="0" distL="0" distR="0" wp14:anchorId="223DB832" wp14:editId="34D00AFD">
            <wp:extent cx="5097780" cy="2570480"/>
            <wp:effectExtent l="0" t="0" r="7620" b="127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780" cy="2570480"/>
                    </a:xfrm>
                    <a:prstGeom prst="rect">
                      <a:avLst/>
                    </a:prstGeom>
                    <a:noFill/>
                    <a:ln>
                      <a:noFill/>
                    </a:ln>
                  </pic:spPr>
                </pic:pic>
              </a:graphicData>
            </a:graphic>
          </wp:inline>
        </w:drawing>
      </w:r>
    </w:p>
    <w:p w14:paraId="7B952918" w14:textId="23DAD1BC" w:rsidR="00376C88" w:rsidRDefault="00376C88" w:rsidP="00376C88">
      <w:r w:rsidRPr="000C4F57">
        <w:rPr>
          <w:b/>
          <w:bCs/>
        </w:rPr>
        <w:t>Video 1.</w:t>
      </w:r>
      <w:r w:rsidRPr="000C4F57">
        <w:t xml:space="preserve"> Evolution of the BSR and thermal field throughout the entire calculation duration.</w:t>
      </w:r>
    </w:p>
    <w:p w14:paraId="2E74876D" w14:textId="77777777" w:rsidR="00376C88" w:rsidRPr="001549D3" w:rsidRDefault="00376C88" w:rsidP="00376C88">
      <w:pPr>
        <w:spacing w:before="240"/>
        <w:jc w:val="center"/>
      </w:pPr>
    </w:p>
    <w:sectPr w:rsidR="00376C88"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F46EF" w14:textId="77777777" w:rsidR="003B38C2" w:rsidRDefault="003B38C2" w:rsidP="00117666">
      <w:pPr>
        <w:spacing w:after="0"/>
      </w:pPr>
      <w:r>
        <w:separator/>
      </w:r>
    </w:p>
  </w:endnote>
  <w:endnote w:type="continuationSeparator" w:id="0">
    <w:p w14:paraId="15F44DED" w14:textId="77777777" w:rsidR="003B38C2" w:rsidRDefault="003B38C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276FB" w14:textId="77777777" w:rsidR="003B38C2" w:rsidRDefault="003B38C2" w:rsidP="00117666">
      <w:pPr>
        <w:spacing w:after="0"/>
      </w:pPr>
      <w:r>
        <w:separator/>
      </w:r>
    </w:p>
  </w:footnote>
  <w:footnote w:type="continuationSeparator" w:id="0">
    <w:p w14:paraId="17C621A6" w14:textId="77777777" w:rsidR="003B38C2" w:rsidRDefault="003B38C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14CE3"/>
    <w:rsid w:val="00034304"/>
    <w:rsid w:val="00035434"/>
    <w:rsid w:val="00052A14"/>
    <w:rsid w:val="00077D53"/>
    <w:rsid w:val="00105FD9"/>
    <w:rsid w:val="00117666"/>
    <w:rsid w:val="001549D3"/>
    <w:rsid w:val="00160065"/>
    <w:rsid w:val="00177D84"/>
    <w:rsid w:val="0025060E"/>
    <w:rsid w:val="00267D18"/>
    <w:rsid w:val="002868E2"/>
    <w:rsid w:val="002869C3"/>
    <w:rsid w:val="002936E4"/>
    <w:rsid w:val="002B4A57"/>
    <w:rsid w:val="002C74CA"/>
    <w:rsid w:val="003544FB"/>
    <w:rsid w:val="00376C88"/>
    <w:rsid w:val="003B38C2"/>
    <w:rsid w:val="003D2F2D"/>
    <w:rsid w:val="00401590"/>
    <w:rsid w:val="00447801"/>
    <w:rsid w:val="00452E9C"/>
    <w:rsid w:val="004735C8"/>
    <w:rsid w:val="004961FF"/>
    <w:rsid w:val="005079BF"/>
    <w:rsid w:val="00517A89"/>
    <w:rsid w:val="005250F2"/>
    <w:rsid w:val="00593EEA"/>
    <w:rsid w:val="005A5EEE"/>
    <w:rsid w:val="005D2BAC"/>
    <w:rsid w:val="00605643"/>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A49AB"/>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52A7B"/>
    <w:rsid w:val="00C56BAF"/>
    <w:rsid w:val="00C679AA"/>
    <w:rsid w:val="00C75972"/>
    <w:rsid w:val="00C867D6"/>
    <w:rsid w:val="00CC0A3A"/>
    <w:rsid w:val="00CD066B"/>
    <w:rsid w:val="00CE1D9A"/>
    <w:rsid w:val="00CE4FEE"/>
    <w:rsid w:val="00DA0588"/>
    <w:rsid w:val="00DB59C3"/>
    <w:rsid w:val="00DC259A"/>
    <w:rsid w:val="00DE23E8"/>
    <w:rsid w:val="00E52377"/>
    <w:rsid w:val="00E64E17"/>
    <w:rsid w:val="00E74B08"/>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C86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10</TotalTime>
  <Pages>4</Pages>
  <Words>434</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Frances Ann Cooke</cp:lastModifiedBy>
  <cp:revision>7</cp:revision>
  <cp:lastPrinted>2013-10-03T12:51:00Z</cp:lastPrinted>
  <dcterms:created xsi:type="dcterms:W3CDTF">2023-05-18T14:43:00Z</dcterms:created>
  <dcterms:modified xsi:type="dcterms:W3CDTF">2023-05-19T10:09:00Z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