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145F29" w14:textId="77777777" w:rsidR="002D2D99" w:rsidRDefault="00000000">
      <w:pPr>
        <w:pStyle w:val="SupplementaryMaterial"/>
        <w:rPr>
          <w:b w:val="0"/>
        </w:rPr>
      </w:pPr>
      <w:r>
        <w:t>Supplementary Material</w:t>
      </w:r>
    </w:p>
    <w:p w14:paraId="48937AC4" w14:textId="77777777" w:rsidR="002D2D99" w:rsidRDefault="00000000">
      <w:pPr>
        <w:pStyle w:val="af5"/>
      </w:pPr>
      <w:r>
        <w:t>A global gridded ocean salinity dataset with 0.5° horizontal resolution since 1960 for the upper 2000 m</w:t>
      </w:r>
    </w:p>
    <w:p w14:paraId="5CD986FF" w14:textId="77777777" w:rsidR="002D2D99" w:rsidRDefault="00000000">
      <w:pPr>
        <w:pStyle w:val="AuthorList"/>
      </w:pPr>
      <w:r>
        <w:t>Guancheng Li</w:t>
      </w:r>
      <w:r>
        <w:rPr>
          <w:vertAlign w:val="superscript"/>
        </w:rPr>
        <w:t>1,2,3</w:t>
      </w:r>
      <w:r>
        <w:t>, Lijing Cheng</w:t>
      </w:r>
      <w:r>
        <w:rPr>
          <w:vertAlign w:val="superscript"/>
        </w:rPr>
        <w:t>1,3*</w:t>
      </w:r>
      <w:r>
        <w:t>, Yuying Pan</w:t>
      </w:r>
      <w:r>
        <w:rPr>
          <w:vertAlign w:val="superscript"/>
        </w:rPr>
        <w:t>1,3</w:t>
      </w:r>
      <w:r>
        <w:t>,</w:t>
      </w:r>
      <w:r>
        <w:rPr>
          <w:vertAlign w:val="superscript"/>
        </w:rPr>
        <w:t xml:space="preserve"> </w:t>
      </w:r>
      <w:r>
        <w:t>Gongjie Wan</w:t>
      </w:r>
      <w:r>
        <w:rPr>
          <w:rFonts w:hint="eastAsia"/>
        </w:rPr>
        <w:t>g</w:t>
      </w:r>
      <w:r>
        <w:rPr>
          <w:vertAlign w:val="superscript"/>
        </w:rPr>
        <w:t>4</w:t>
      </w:r>
      <w:r>
        <w:t>, Hailong Liu</w:t>
      </w:r>
      <w:r>
        <w:rPr>
          <w:vertAlign w:val="superscript"/>
        </w:rPr>
        <w:t>1,5</w:t>
      </w:r>
      <w:r>
        <w:t>, Jiang Zhu</w:t>
      </w:r>
      <w:r>
        <w:rPr>
          <w:vertAlign w:val="superscript"/>
        </w:rPr>
        <w:t>1,3</w:t>
      </w:r>
      <w:r>
        <w:t xml:space="preserve">, </w:t>
      </w:r>
      <w:r>
        <w:rPr>
          <w:rFonts w:hint="eastAsia"/>
        </w:rPr>
        <w:t>Bin</w:t>
      </w:r>
      <w:r>
        <w:t xml:space="preserve"> Zhang</w:t>
      </w:r>
      <w:r>
        <w:rPr>
          <w:vertAlign w:val="superscript"/>
        </w:rPr>
        <w:t>6</w:t>
      </w:r>
      <w:r>
        <w:rPr>
          <w:rFonts w:hint="eastAsia"/>
        </w:rPr>
        <w:t>, Huanping</w:t>
      </w:r>
      <w:r>
        <w:t xml:space="preserve"> Ren</w:t>
      </w:r>
      <w:r>
        <w:rPr>
          <w:vertAlign w:val="superscript"/>
        </w:rPr>
        <w:t>6</w:t>
      </w:r>
      <w:r>
        <w:t>, Xutao Wang</w:t>
      </w:r>
      <w:r>
        <w:rPr>
          <w:vertAlign w:val="superscript"/>
        </w:rPr>
        <w:t>2</w:t>
      </w:r>
    </w:p>
    <w:p w14:paraId="201CBDA7" w14:textId="77777777" w:rsidR="002D2D99" w:rsidRDefault="00000000">
      <w:pPr>
        <w:spacing w:before="240" w:after="0"/>
        <w:rPr>
          <w:rFonts w:cs="Times New Roman"/>
        </w:rPr>
      </w:pPr>
      <w:r>
        <w:rPr>
          <w:rFonts w:cs="Times New Roman"/>
          <w:b/>
        </w:rPr>
        <w:t xml:space="preserve">* Correspondence: </w:t>
      </w:r>
      <w:r>
        <w:rPr>
          <w:rFonts w:cs="Times New Roman"/>
        </w:rPr>
        <w:t xml:space="preserve">Lijing Cheng: </w:t>
      </w:r>
      <w:hyperlink r:id="rId13" w:history="1">
        <w:r>
          <w:rPr>
            <w:rStyle w:val="aff"/>
            <w:rFonts w:cs="Times New Roman"/>
          </w:rPr>
          <w:t>chenglij@mail.iap.ac.cn</w:t>
        </w:r>
      </w:hyperlink>
    </w:p>
    <w:p w14:paraId="09A4816B" w14:textId="77777777" w:rsidR="002D2D99" w:rsidRDefault="00000000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</w:p>
    <w:p w14:paraId="07059FDF" w14:textId="77777777" w:rsidR="002D2D99" w:rsidRDefault="00000000">
      <w:pPr>
        <w:pStyle w:val="1"/>
      </w:pPr>
      <w:r>
        <w:lastRenderedPageBreak/>
        <w:t>Supplementary Figures and Tables</w:t>
      </w:r>
    </w:p>
    <w:p w14:paraId="7DD2D1C0" w14:textId="77777777" w:rsidR="002D2D99" w:rsidRDefault="00000000">
      <w:pPr>
        <w:pStyle w:val="2"/>
      </w:pPr>
      <w:r>
        <w:t>Supplementary Figures</w:t>
      </w:r>
    </w:p>
    <w:p w14:paraId="1BC5A53E" w14:textId="77777777" w:rsidR="002D2D99" w:rsidRDefault="00000000">
      <w:pPr>
        <w:jc w:val="center"/>
        <w:rPr>
          <w:rFonts w:cs="Times New Roman"/>
          <w:bCs/>
          <w:szCs w:val="24"/>
        </w:rPr>
      </w:pPr>
      <w:r>
        <w:rPr>
          <w:rFonts w:ascii="Helvetica" w:hAnsi="Helvetica" w:hint="eastAsia"/>
          <w:noProof/>
          <w:color w:val="0070C0"/>
          <w:sz w:val="21"/>
          <w:szCs w:val="21"/>
        </w:rPr>
        <w:drawing>
          <wp:inline distT="0" distB="0" distL="0" distR="0" wp14:anchorId="31EEE223" wp14:editId="346628E4">
            <wp:extent cx="3717290" cy="228981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t="17881" r="7433" b="11134"/>
                    <a:stretch>
                      <a:fillRect/>
                    </a:stretch>
                  </pic:blipFill>
                  <pic:spPr>
                    <a:xfrm>
                      <a:off x="0" y="0"/>
                      <a:ext cx="3728146" cy="229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 w:hint="eastAsia"/>
          <w:bCs/>
          <w:noProof/>
          <w:szCs w:val="24"/>
        </w:rPr>
        <w:drawing>
          <wp:inline distT="0" distB="0" distL="0" distR="0" wp14:anchorId="4E3B73F1" wp14:editId="59DBB878">
            <wp:extent cx="3554095" cy="2233295"/>
            <wp:effectExtent l="0" t="0" r="825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" t="14969" r="7720" b="12170"/>
                    <a:stretch>
                      <a:fillRect/>
                    </a:stretch>
                  </pic:blipFill>
                  <pic:spPr>
                    <a:xfrm>
                      <a:off x="0" y="0"/>
                      <a:ext cx="3567169" cy="224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103FC" w14:textId="77777777" w:rsidR="002D2D99" w:rsidRDefault="00000000">
      <w:pPr>
        <w:jc w:val="both"/>
        <w:rPr>
          <w:rFonts w:cs="Times New Roman"/>
          <w:bCs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Cs/>
          <w:szCs w:val="24"/>
        </w:rPr>
        <w:t xml:space="preserve"> Distribution of the number of salinity observations in 50m depth layer within each 0.5</w:t>
      </w:r>
      <w:r>
        <w:rPr>
          <w:rFonts w:cs="Times New Roman"/>
          <w:bCs/>
          <w:szCs w:val="24"/>
        </w:rPr>
        <w:sym w:font="Symbol" w:char="F0B0"/>
      </w:r>
      <w:r>
        <w:rPr>
          <w:rFonts w:cs="Times New Roman"/>
          <w:bCs/>
          <w:szCs w:val="24"/>
        </w:rPr>
        <w:t xml:space="preserve"> by 0.5</w:t>
      </w:r>
      <w:r>
        <w:rPr>
          <w:rFonts w:cs="Times New Roman"/>
          <w:bCs/>
          <w:szCs w:val="24"/>
        </w:rPr>
        <w:sym w:font="Symbol" w:char="F0B0"/>
      </w:r>
      <w:r>
        <w:rPr>
          <w:rFonts w:cs="Times New Roman"/>
          <w:bCs/>
          <w:szCs w:val="24"/>
        </w:rPr>
        <w:t xml:space="preserve"> grid box during (A) the Pre-Argo period (1960</w:t>
      </w:r>
      <w:r>
        <w:t>–</w:t>
      </w:r>
      <w:r>
        <w:rPr>
          <w:rFonts w:cs="Times New Roman"/>
          <w:bCs/>
          <w:szCs w:val="24"/>
        </w:rPr>
        <w:t>2004) and (B) the Argo period (2005</w:t>
      </w:r>
      <w:r>
        <w:t>–</w:t>
      </w:r>
      <w:r>
        <w:rPr>
          <w:rFonts w:cs="Times New Roman"/>
          <w:bCs/>
          <w:szCs w:val="24"/>
        </w:rPr>
        <w:t>present).</w:t>
      </w:r>
    </w:p>
    <w:p w14:paraId="0CE28077" w14:textId="77777777" w:rsidR="002D2D99" w:rsidRDefault="002D2D99">
      <w:pPr>
        <w:spacing w:line="480" w:lineRule="auto"/>
        <w:jc w:val="both"/>
        <w:rPr>
          <w:rStyle w:val="afa"/>
          <w:b w:val="0"/>
          <w:bCs w:val="0"/>
        </w:rPr>
      </w:pPr>
    </w:p>
    <w:p w14:paraId="68670542" w14:textId="77777777" w:rsidR="002D2D99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Helvetica" w:hAnsi="Helvetica" w:cs="宋体"/>
          <w:color w:val="0070C0"/>
          <w:szCs w:val="21"/>
        </w:rPr>
      </w:pPr>
      <w:r>
        <w:rPr>
          <w:rFonts w:ascii="Helvetica" w:hAnsi="Helvetica" w:cs="宋体"/>
          <w:noProof/>
          <w:color w:val="0070C0"/>
          <w:szCs w:val="21"/>
        </w:rPr>
        <w:lastRenderedPageBreak/>
        <w:drawing>
          <wp:inline distT="0" distB="0" distL="0" distR="0" wp14:anchorId="5D40BE37" wp14:editId="17CE3008">
            <wp:extent cx="5039360" cy="4316095"/>
            <wp:effectExtent l="0" t="0" r="889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66" b="1249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431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19F60" w14:textId="77777777" w:rsidR="002D2D99" w:rsidRDefault="00000000">
      <w:pPr>
        <w:keepNext/>
        <w:rPr>
          <w:rFonts w:cs="Times New Roman"/>
          <w:bCs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2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cs="Times New Roman"/>
          <w:bCs/>
          <w:szCs w:val="24"/>
        </w:rPr>
        <w:t>The comparison of reconstruction of 50m depth salinity anomaly fields in January 1960 between using (A) the high-resolution ensemble members and (B) the climatology (</w:t>
      </w:r>
      <w:r>
        <w:rPr>
          <w:rFonts w:cs="Times New Roman" w:hint="eastAsia"/>
          <w:bCs/>
          <w:szCs w:val="24"/>
          <w:lang w:eastAsia="zh-CN"/>
        </w:rPr>
        <w:t>z</w:t>
      </w:r>
      <w:r>
        <w:rPr>
          <w:rFonts w:cs="Times New Roman"/>
          <w:bCs/>
          <w:szCs w:val="24"/>
        </w:rPr>
        <w:t xml:space="preserve">ero-anomaly) as the first guess (units: psu). (C) and (D) are their reconstructed fields respectively and their difference is shown in (E). </w:t>
      </w:r>
    </w:p>
    <w:p w14:paraId="178BFD05" w14:textId="77777777" w:rsidR="002D2D99" w:rsidRDefault="002D2D99">
      <w:pPr>
        <w:spacing w:line="480" w:lineRule="auto"/>
        <w:jc w:val="center"/>
        <w:rPr>
          <w:rStyle w:val="afa"/>
          <w:b w:val="0"/>
          <w:bCs w:val="0"/>
        </w:rPr>
      </w:pPr>
    </w:p>
    <w:p w14:paraId="707665CE" w14:textId="77777777" w:rsidR="002D2D99" w:rsidRDefault="00000000">
      <w:pPr>
        <w:jc w:val="center"/>
        <w:rPr>
          <w:b/>
          <w:bCs/>
          <w:lang w:eastAsia="zh-CN"/>
        </w:rPr>
      </w:pPr>
      <w:r>
        <w:rPr>
          <w:rStyle w:val="afa"/>
          <w:b w:val="0"/>
          <w:bCs w:val="0"/>
          <w:noProof/>
        </w:rPr>
        <w:lastRenderedPageBreak/>
        <w:drawing>
          <wp:inline distT="0" distB="0" distL="0" distR="0" wp14:anchorId="5C155389" wp14:editId="39328430">
            <wp:extent cx="5410200" cy="50546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0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C8A7F" w14:textId="77777777" w:rsidR="002D2D99" w:rsidRDefault="00000000">
      <w:pPr>
        <w:keepNext/>
        <w:rPr>
          <w:rFonts w:cs="Times New Roman"/>
          <w:szCs w:val="24"/>
        </w:rPr>
      </w:pPr>
      <w:r>
        <w:rPr>
          <w:rFonts w:cs="Times New Roman"/>
          <w:b/>
          <w:bCs/>
          <w:szCs w:val="24"/>
        </w:rPr>
        <w:t xml:space="preserve">Supplementary Figure </w:t>
      </w:r>
      <w:r>
        <w:rPr>
          <w:rFonts w:cs="Times New Roman"/>
          <w:b/>
          <w:bCs/>
          <w:szCs w:val="24"/>
        </w:rPr>
        <w:fldChar w:fldCharType="begin"/>
      </w:r>
      <w:r>
        <w:rPr>
          <w:rFonts w:cs="Times New Roman"/>
          <w:b/>
          <w:bCs/>
          <w:szCs w:val="24"/>
        </w:rPr>
        <w:instrText xml:space="preserve"> SEQ Figure \* ARABIC </w:instrText>
      </w:r>
      <w:r>
        <w:rPr>
          <w:rFonts w:cs="Times New Roman"/>
          <w:b/>
          <w:bCs/>
          <w:szCs w:val="24"/>
        </w:rPr>
        <w:fldChar w:fldCharType="separate"/>
      </w:r>
      <w:r>
        <w:rPr>
          <w:rFonts w:cs="Times New Roman"/>
          <w:b/>
          <w:bCs/>
          <w:szCs w:val="24"/>
        </w:rPr>
        <w:t>3</w:t>
      </w:r>
      <w:r>
        <w:rPr>
          <w:rFonts w:cs="Times New Roman"/>
          <w:b/>
          <w:bCs/>
          <w:szCs w:val="24"/>
        </w:rPr>
        <w:fldChar w:fldCharType="end"/>
      </w:r>
      <w:r>
        <w:rPr>
          <w:rFonts w:cs="Times New Roman"/>
          <w:b/>
          <w:bCs/>
          <w:szCs w:val="24"/>
        </w:rPr>
        <w:t xml:space="preserve">. </w:t>
      </w:r>
      <w:r>
        <w:rPr>
          <w:rFonts w:cs="Times New Roman"/>
          <w:szCs w:val="24"/>
        </w:rPr>
        <w:t xml:space="preserve">Sampling uncertainty for global and basin means of the 0–2000 m salinity anomaly. (A) Global (Glo), (B) Pacific (Pac), (C) Atlantic (Atl), (D) Indian (Ind), and (E) Southern oceans (So) (units: psu). </w:t>
      </w:r>
      <w:bookmarkStart w:id="0" w:name="_Hlk116424273"/>
      <w:r>
        <w:rPr>
          <w:rFonts w:cs="Times New Roman"/>
          <w:szCs w:val="24"/>
        </w:rPr>
        <w:t>The blue (red) dots represent the sampling errors for IAP-05 (IAP-1) mapping method corresponding to 22 different truth fields, with the ensemble mean shown by the blue (red) line and the vertical bars corresponding to two standard deviations.</w:t>
      </w:r>
    </w:p>
    <w:p w14:paraId="0CC9EAF4" w14:textId="77777777" w:rsidR="002D2D99" w:rsidRDefault="002D2D99">
      <w:pPr>
        <w:keepNext/>
        <w:jc w:val="center"/>
        <w:rPr>
          <w:rFonts w:cs="Times New Roman"/>
          <w:szCs w:val="24"/>
        </w:rPr>
      </w:pPr>
    </w:p>
    <w:p w14:paraId="39474AB0" w14:textId="77777777" w:rsidR="002D2D99" w:rsidRDefault="002D2D99">
      <w:pPr>
        <w:spacing w:line="480" w:lineRule="auto"/>
        <w:rPr>
          <w:b/>
          <w:bCs/>
        </w:rPr>
      </w:pPr>
    </w:p>
    <w:p w14:paraId="7F0916AE" w14:textId="77777777" w:rsidR="002D2D99" w:rsidRDefault="00000000">
      <w:pPr>
        <w:spacing w:after="12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20601F9" wp14:editId="1B8693D0">
            <wp:extent cx="6210300" cy="35687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7FBC3" w14:textId="77777777" w:rsidR="002D2D99" w:rsidRDefault="00000000">
      <w:pPr>
        <w:keepNext/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4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t>Geographic distribution of the linear trends of mean sampling errors of 0–2000m mean (upper panels) and globally zonal mean of salinity anomaly (bottom panels) based on the “synthetic” subsample test: (A) and (C) for IAP-05 data, (B) and (D) for IAP-1 data.</w:t>
      </w:r>
    </w:p>
    <w:p w14:paraId="1F4226B5" w14:textId="77777777" w:rsidR="002D2D99" w:rsidRDefault="00000000">
      <w:pPr>
        <w:spacing w:before="0" w:after="200" w:line="276" w:lineRule="auto"/>
      </w:pPr>
      <w:r>
        <w:br w:type="page"/>
      </w:r>
    </w:p>
    <w:bookmarkEnd w:id="0"/>
    <w:p w14:paraId="47D3B071" w14:textId="77777777" w:rsidR="002D2D99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/>
        <w:jc w:val="center"/>
        <w:rPr>
          <w:rFonts w:ascii="Helvetica" w:hAnsi="Helvetica" w:cs="宋体"/>
          <w:color w:val="FF0000"/>
          <w:szCs w:val="21"/>
        </w:rPr>
      </w:pPr>
      <w:r>
        <w:rPr>
          <w:noProof/>
        </w:rPr>
        <w:lastRenderedPageBreak/>
        <w:drawing>
          <wp:inline distT="0" distB="0" distL="0" distR="0" wp14:anchorId="14E14AB0" wp14:editId="21FAF74A">
            <wp:extent cx="6203950" cy="3594100"/>
            <wp:effectExtent l="0" t="0" r="635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ABDB" w14:textId="77777777" w:rsidR="002D2D99" w:rsidRDefault="00000000">
      <w:pPr>
        <w:keepNext/>
        <w:rPr>
          <w:rFonts w:cs="Times New Roman"/>
          <w:bCs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5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rPr>
          <w:rFonts w:cs="Times New Roman"/>
          <w:bCs/>
          <w:szCs w:val="24"/>
        </w:rPr>
        <w:t>Geographic distribution of the standard deviation of linear trends in sampling errors of 0</w:t>
      </w:r>
      <w:r>
        <w:t>–</w:t>
      </w:r>
      <w:r>
        <w:rPr>
          <w:rFonts w:cs="Times New Roman"/>
          <w:bCs/>
          <w:szCs w:val="24"/>
        </w:rPr>
        <w:t>2000m mean (upper panels) and globally zonal mean of salinity anomaly (bottom panels) based on the “synthetic” subsample test: (A) and (C) for IAP-05 data, (B) and (D) for IAP-1 data.</w:t>
      </w:r>
    </w:p>
    <w:p w14:paraId="5CE1AB00" w14:textId="77777777" w:rsidR="002D2D99" w:rsidRDefault="002D2D99">
      <w:pPr>
        <w:keepNext/>
        <w:rPr>
          <w:b/>
          <w:bCs/>
        </w:rPr>
      </w:pPr>
    </w:p>
    <w:p w14:paraId="586A12EA" w14:textId="77777777" w:rsidR="002D2D99" w:rsidRDefault="002D2D99">
      <w:pPr>
        <w:spacing w:line="480" w:lineRule="auto"/>
        <w:jc w:val="both"/>
        <w:rPr>
          <w:rStyle w:val="afa"/>
          <w:b w:val="0"/>
          <w:bCs w:val="0"/>
        </w:rPr>
      </w:pPr>
    </w:p>
    <w:p w14:paraId="786474C5" w14:textId="77777777" w:rsidR="002D2D99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Helvetica" w:hAnsi="Helvetica" w:cs="宋体"/>
          <w:color w:val="0070C0"/>
          <w:szCs w:val="21"/>
        </w:rPr>
      </w:pPr>
      <w:r>
        <w:rPr>
          <w:rFonts w:ascii="Helvetica" w:hAnsi="Helvetica" w:cs="宋体"/>
          <w:noProof/>
          <w:color w:val="0070C0"/>
          <w:szCs w:val="21"/>
        </w:rPr>
        <w:lastRenderedPageBreak/>
        <w:drawing>
          <wp:inline distT="0" distB="0" distL="0" distR="0" wp14:anchorId="33ED91F3" wp14:editId="3C04D65E">
            <wp:extent cx="6224905" cy="5329555"/>
            <wp:effectExtent l="0" t="0" r="4445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24905" cy="532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09AA2" w14:textId="77777777" w:rsidR="002D2D99" w:rsidRDefault="00000000">
      <w:pPr>
        <w:keepNext/>
        <w:rPr>
          <w:szCs w:val="21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6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rPr>
          <w:szCs w:val="21"/>
        </w:rPr>
        <w:t>RMSD of 0</w:t>
      </w:r>
      <w:r>
        <w:t>–</w:t>
      </w:r>
      <w:r>
        <w:rPr>
          <w:szCs w:val="21"/>
        </w:rPr>
        <w:t xml:space="preserve">2000m averaged salinity </w:t>
      </w:r>
      <w:r>
        <w:rPr>
          <w:rFonts w:hint="eastAsia"/>
          <w:szCs w:val="21"/>
          <w:lang w:eastAsia="zh-CN"/>
        </w:rPr>
        <w:t>anomalies</w:t>
      </w:r>
      <w:r>
        <w:rPr>
          <w:szCs w:val="21"/>
        </w:rPr>
        <w:t xml:space="preserve"> of the gridded </w:t>
      </w:r>
      <w:r>
        <w:rPr>
          <w:i/>
          <w:iCs/>
          <w:szCs w:val="21"/>
        </w:rPr>
        <w:t>in situ</w:t>
      </w:r>
      <w:r>
        <w:rPr>
          <w:szCs w:val="21"/>
        </w:rPr>
        <w:t xml:space="preserve"> data with (A) IAP-05, (B) IAP-1, (C) EN4, (D) Ishii, (E) ORAS4, (F) SODA during 1980-2017. All the salinity climatology fields are relative to 1990-2010. The 1</w:t>
      </w:r>
      <w:r>
        <w:rPr>
          <w:szCs w:val="21"/>
          <w:lang w:eastAsia="zh-CN"/>
        </w:rPr>
        <w:t xml:space="preserve">° </w:t>
      </w:r>
      <w:r>
        <w:rPr>
          <w:szCs w:val="21"/>
        </w:rPr>
        <w:t>gridded IAP-1, EN4, Ishii and ORAS4 have been interpolated into 0.5</w:t>
      </w:r>
      <w:r>
        <w:rPr>
          <w:szCs w:val="21"/>
          <w:lang w:eastAsia="zh-CN"/>
        </w:rPr>
        <w:t>°</w:t>
      </w:r>
      <w:r>
        <w:rPr>
          <w:szCs w:val="21"/>
        </w:rPr>
        <w:t xml:space="preserve"> versions.</w:t>
      </w:r>
    </w:p>
    <w:p w14:paraId="03991671" w14:textId="77777777" w:rsidR="002D2D99" w:rsidRDefault="002D2D99">
      <w:pPr>
        <w:spacing w:line="480" w:lineRule="auto"/>
        <w:jc w:val="center"/>
        <w:rPr>
          <w:szCs w:val="21"/>
        </w:rPr>
      </w:pPr>
    </w:p>
    <w:p w14:paraId="22FE9B82" w14:textId="77777777" w:rsidR="002D2D99" w:rsidRDefault="00000000">
      <w:pPr>
        <w:jc w:val="center"/>
        <w:rPr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20A0ABBE" wp14:editId="4EE95876">
            <wp:extent cx="5036820" cy="2875280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09562" w14:textId="77777777" w:rsidR="002D2D99" w:rsidRDefault="00000000">
      <w:pPr>
        <w:keepNext/>
        <w:rPr>
          <w:szCs w:val="21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7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rPr>
          <w:szCs w:val="21"/>
        </w:rPr>
        <w:t>Mean difference of globally 0</w:t>
      </w:r>
      <w:r>
        <w:t>–</w:t>
      </w:r>
      <w:r>
        <w:rPr>
          <w:szCs w:val="21"/>
        </w:rPr>
        <w:t xml:space="preserve">2000m mean salinity anomalies between the </w:t>
      </w:r>
      <w:r>
        <w:rPr>
          <w:i/>
          <w:iCs/>
          <w:szCs w:val="21"/>
        </w:rPr>
        <w:t>in situ</w:t>
      </w:r>
      <w:r>
        <w:rPr>
          <w:szCs w:val="21"/>
        </w:rPr>
        <w:t xml:space="preserve"> data and IAP-05, IAP-1, EN4, Ishii, ORAS4 and SODA during 1980-2017. All the salinity climatology fields are relative to 1990-2010. The 1</w:t>
      </w:r>
      <w:r>
        <w:rPr>
          <w:szCs w:val="21"/>
          <w:lang w:eastAsia="zh-CN"/>
        </w:rPr>
        <w:t>°</w:t>
      </w:r>
      <w:r>
        <w:rPr>
          <w:szCs w:val="21"/>
        </w:rPr>
        <w:t xml:space="preserve"> gridded IAP-1, EN4, Ishii and ORAS4 have been interpolated into 0.5</w:t>
      </w:r>
      <w:r>
        <w:rPr>
          <w:szCs w:val="21"/>
          <w:lang w:eastAsia="zh-CN"/>
        </w:rPr>
        <w:t>°</w:t>
      </w:r>
      <w:r>
        <w:rPr>
          <w:szCs w:val="21"/>
        </w:rPr>
        <w:t xml:space="preserve"> versions.</w:t>
      </w:r>
    </w:p>
    <w:p w14:paraId="578F8B32" w14:textId="77777777" w:rsidR="002D2D99" w:rsidRDefault="002D2D99">
      <w:pPr>
        <w:spacing w:line="480" w:lineRule="auto"/>
        <w:jc w:val="both"/>
      </w:pPr>
    </w:p>
    <w:p w14:paraId="38DBD8A7" w14:textId="77777777" w:rsidR="002D2D99" w:rsidRDefault="00000000">
      <w:pPr>
        <w:jc w:val="center"/>
        <w:rPr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68F388CC" wp14:editId="61D3E375">
            <wp:extent cx="4061460" cy="552831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7169" cy="553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5030" w14:textId="77777777" w:rsidR="002D2D99" w:rsidRDefault="00000000">
      <w:pPr>
        <w:keepNext/>
        <w:rPr>
          <w:szCs w:val="21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8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t xml:space="preserve">Comparison of the sea surface salinity (SSS) long-term trends during the 1980–2016 </w:t>
      </w:r>
      <w:r>
        <w:rPr>
          <w:rFonts w:hint="eastAsia"/>
        </w:rPr>
        <w:t>period</w:t>
      </w:r>
      <w:r>
        <w:t xml:space="preserve"> with the gridded SSS data for the Atlantic Ocean (LEGOS). (A) IAP-05, (B) IAP-1, (C) EN4, (D) Ishii, (E) NCEI, (F) ORAS4, (G) SODA and (H) LEGOS (units: 10</w:t>
      </w:r>
      <w:r>
        <w:rPr>
          <w:vertAlign w:val="superscript"/>
        </w:rPr>
        <w:t>−3</w:t>
      </w:r>
      <w:r>
        <w:t xml:space="preserve"> psu yr</w:t>
      </w:r>
      <w:r>
        <w:rPr>
          <w:vertAlign w:val="superscript"/>
        </w:rPr>
        <w:t>−1</w:t>
      </w:r>
      <w:r>
        <w:t xml:space="preserve">). Contour lines show the associated climatological mean salinity (1990–2010; units: psu). Linear trends </w:t>
      </w:r>
      <w:bookmarkStart w:id="1" w:name="_Hlk90128061"/>
      <w:r>
        <w:t xml:space="preserve">are significant at the 95% </w:t>
      </w:r>
      <w:bookmarkStart w:id="2" w:name="_Hlk90127471"/>
      <w:r>
        <w:t>confidence level</w:t>
      </w:r>
      <w:bookmarkEnd w:id="1"/>
      <w:r>
        <w:t xml:space="preserve"> </w:t>
      </w:r>
      <w:bookmarkEnd w:id="2"/>
      <w:r>
        <w:t>in the dotted areas.</w:t>
      </w:r>
      <w:r>
        <w:rPr>
          <w:szCs w:val="21"/>
        </w:rPr>
        <w:t xml:space="preserve"> The 1</w:t>
      </w:r>
      <w:r>
        <w:rPr>
          <w:szCs w:val="21"/>
          <w:lang w:eastAsia="zh-CN"/>
        </w:rPr>
        <w:t>°</w:t>
      </w:r>
      <w:r>
        <w:rPr>
          <w:szCs w:val="21"/>
        </w:rPr>
        <w:t xml:space="preserve"> gridded IAP-1, EN4, Ishii, ORAS4 and LEGOS have been interpolated into 0.5</w:t>
      </w:r>
      <w:r>
        <w:rPr>
          <w:szCs w:val="21"/>
          <w:lang w:eastAsia="zh-CN"/>
        </w:rPr>
        <w:t>°</w:t>
      </w:r>
      <w:r>
        <w:rPr>
          <w:szCs w:val="21"/>
        </w:rPr>
        <w:t xml:space="preserve"> versions.</w:t>
      </w:r>
      <w:r>
        <w:rPr>
          <w:szCs w:val="21"/>
        </w:rPr>
        <w:br w:type="page"/>
      </w:r>
    </w:p>
    <w:p w14:paraId="30F83341" w14:textId="77777777" w:rsidR="002D2D99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18C9E82E" wp14:editId="14DCFD09">
            <wp:extent cx="5041900" cy="3956050"/>
            <wp:effectExtent l="0" t="0" r="635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31B15" w14:textId="77777777" w:rsidR="002D2D99" w:rsidRDefault="00000000">
      <w:pPr>
        <w:keepNext/>
        <w:rPr>
          <w:rFonts w:cs="Times New Roman"/>
          <w:bCs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9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rPr>
          <w:rFonts w:cs="Times New Roman"/>
          <w:bCs/>
          <w:szCs w:val="24"/>
        </w:rPr>
        <w:t>Linear regression of the SSS anomaly onto the S-IOD index during the Argo period (2005</w:t>
      </w:r>
      <w:r>
        <w:t>–</w:t>
      </w:r>
      <w:r>
        <w:rPr>
          <w:rFonts w:cs="Times New Roman"/>
          <w:bCs/>
          <w:szCs w:val="24"/>
        </w:rPr>
        <w:t>2017) for different gridded products (contour lines and shadings). (A) IAP-05, (B) IAP-1, (C) EN4, (D) Ishii, (E) ORAS4, and (F) SODA (units: psu psu</w:t>
      </w:r>
      <w:r>
        <w:rPr>
          <w:rFonts w:cs="Times New Roman"/>
          <w:bCs/>
          <w:szCs w:val="24"/>
          <w:vertAlign w:val="superscript"/>
        </w:rPr>
        <w:t>−1</w:t>
      </w:r>
      <w:r>
        <w:rPr>
          <w:rFonts w:cs="Times New Roman"/>
          <w:bCs/>
          <w:szCs w:val="24"/>
        </w:rPr>
        <w:t>). The blank areas indicate that the regression coefficients are not significant at the 90% confidence level. Green boxes denote the locations of the central equatorial IO (</w:t>
      </w:r>
      <w:r>
        <w:rPr>
          <w:rFonts w:cs="Times New Roman" w:hint="eastAsia"/>
          <w:bCs/>
          <w:szCs w:val="24"/>
        </w:rPr>
        <w:t>Northern</w:t>
      </w:r>
      <w:r>
        <w:rPr>
          <w:rFonts w:cs="Times New Roman"/>
          <w:bCs/>
          <w:szCs w:val="24"/>
        </w:rPr>
        <w:t>) and southeastern IO (Southern), respectively. The 1° gridded IAP-1, EN4, Ishii and ORAS4 have been interpolated into 0.5° versions.</w:t>
      </w:r>
    </w:p>
    <w:p w14:paraId="09C2BFA3" w14:textId="77777777" w:rsidR="002D2D99" w:rsidRDefault="002D2D99">
      <w:pPr>
        <w:spacing w:line="480" w:lineRule="auto"/>
        <w:jc w:val="center"/>
        <w:rPr>
          <w:rStyle w:val="afa"/>
          <w:b w:val="0"/>
          <w:bCs w:val="0"/>
        </w:rPr>
      </w:pPr>
    </w:p>
    <w:p w14:paraId="0F3E7CE0" w14:textId="77777777" w:rsidR="002D2D99" w:rsidRDefault="00000000">
      <w:pPr>
        <w:jc w:val="center"/>
        <w:rPr>
          <w:rStyle w:val="afa"/>
          <w:b w:val="0"/>
          <w:bCs w:val="0"/>
        </w:rPr>
      </w:pPr>
      <w:r>
        <w:rPr>
          <w:rStyle w:val="afa"/>
          <w:b w:val="0"/>
          <w:bCs w:val="0"/>
          <w:noProof/>
        </w:rPr>
        <w:lastRenderedPageBreak/>
        <w:drawing>
          <wp:inline distT="0" distB="0" distL="0" distR="0" wp14:anchorId="7CE41151" wp14:editId="54794277">
            <wp:extent cx="5041900" cy="3956050"/>
            <wp:effectExtent l="0" t="0" r="635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95ABD" w14:textId="77777777" w:rsidR="002D2D99" w:rsidRDefault="00000000">
      <w:pPr>
        <w:keepNext/>
        <w:rPr>
          <w:b/>
          <w:bCs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10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 xml:space="preserve">. </w:t>
      </w:r>
      <w:r>
        <w:rPr>
          <w:rFonts w:cs="Times New Roman"/>
          <w:bCs/>
          <w:szCs w:val="24"/>
        </w:rPr>
        <w:t>Linear regression of the SSS anomaly onto the S-IOD index during the pre-Argo period (1980</w:t>
      </w:r>
      <w:r>
        <w:t>–</w:t>
      </w:r>
      <w:r>
        <w:rPr>
          <w:rFonts w:cs="Times New Roman"/>
          <w:bCs/>
          <w:szCs w:val="24"/>
        </w:rPr>
        <w:t>2004) for different gridded products (contour lines and shadings). (A) IAP-05, (B) IAP-1, (C) EN4, (D) Ishii, (E) ORAS4, and (F) SODA (units: psu psu</w:t>
      </w:r>
      <w:r>
        <w:rPr>
          <w:rFonts w:cs="Times New Roman"/>
          <w:bCs/>
          <w:szCs w:val="24"/>
          <w:vertAlign w:val="superscript"/>
        </w:rPr>
        <w:t>−1</w:t>
      </w:r>
      <w:r>
        <w:rPr>
          <w:rFonts w:cs="Times New Roman"/>
          <w:bCs/>
          <w:szCs w:val="24"/>
        </w:rPr>
        <w:t>). The blank areas indicate that the regression coefficients are not significant at the 90% confidence level. Green boxes denote the locations of the central equatorial IO (</w:t>
      </w:r>
      <w:r>
        <w:rPr>
          <w:rFonts w:cs="Times New Roman" w:hint="eastAsia"/>
          <w:bCs/>
          <w:szCs w:val="24"/>
        </w:rPr>
        <w:t>Northern</w:t>
      </w:r>
      <w:r>
        <w:rPr>
          <w:rFonts w:cs="Times New Roman"/>
          <w:bCs/>
          <w:szCs w:val="24"/>
        </w:rPr>
        <w:t>) and southeastern IO (Southern), respectively. The 1° gridded IAP-1, EN4, Ishii and ORAS4 have been interpolated into 0.5° versions.</w:t>
      </w:r>
    </w:p>
    <w:p w14:paraId="782AFBCB" w14:textId="77777777" w:rsidR="002D2D99" w:rsidRDefault="00000000">
      <w:pPr>
        <w:pStyle w:val="Tablecaption"/>
        <w:rPr>
          <w:b/>
        </w:rPr>
      </w:pPr>
      <w:r>
        <w:rPr>
          <w:b/>
        </w:rPr>
        <w:lastRenderedPageBreak/>
        <w:t xml:space="preserve">Supplementary </w:t>
      </w:r>
      <w:r>
        <w:rPr>
          <w:rFonts w:hint="eastAsia"/>
          <w:b/>
          <w:lang w:eastAsia="zh-CN"/>
        </w:rPr>
        <w:t>Ta</w:t>
      </w:r>
      <w:r>
        <w:rPr>
          <w:b/>
          <w:lang w:eastAsia="zh-CN"/>
        </w:rPr>
        <w:t>bl</w:t>
      </w:r>
      <w:r>
        <w:rPr>
          <w:rFonts w:hint="eastAsia"/>
          <w:b/>
          <w:lang w:eastAsia="zh-CN"/>
        </w:rPr>
        <w:t>e</w:t>
      </w:r>
      <w:r>
        <w:rPr>
          <w:b/>
          <w:lang w:eastAsia="zh-CN"/>
        </w:rPr>
        <w:t xml:space="preserve"> 1</w:t>
      </w:r>
      <w:r>
        <w:rPr>
          <w:b/>
        </w:rPr>
        <w:t xml:space="preserve"> </w:t>
      </w:r>
      <w:r>
        <w:rPr>
          <w:bCs/>
          <w:lang w:eastAsia="zh-CN"/>
        </w:rPr>
        <w:t>Salinity gridded datasets used in the data comparison</w:t>
      </w:r>
      <w:r>
        <w:rPr>
          <w:bCs/>
        </w:rPr>
        <w:t>.</w:t>
      </w:r>
    </w:p>
    <w:tbl>
      <w:tblPr>
        <w:tblW w:w="5921" w:type="pct"/>
        <w:jc w:val="center"/>
        <w:tblLayout w:type="fixed"/>
        <w:tblLook w:val="04A0" w:firstRow="1" w:lastRow="0" w:firstColumn="1" w:lastColumn="0" w:noHBand="0" w:noVBand="1"/>
      </w:tblPr>
      <w:tblGrid>
        <w:gridCol w:w="1710"/>
        <w:gridCol w:w="1649"/>
        <w:gridCol w:w="1561"/>
        <w:gridCol w:w="16"/>
        <w:gridCol w:w="1549"/>
        <w:gridCol w:w="19"/>
        <w:gridCol w:w="1274"/>
        <w:gridCol w:w="1285"/>
        <w:gridCol w:w="1297"/>
        <w:gridCol w:w="1218"/>
      </w:tblGrid>
      <w:tr w:rsidR="002D2D99" w14:paraId="7B53D765" w14:textId="77777777">
        <w:trPr>
          <w:trHeight w:val="454"/>
          <w:jc w:val="center"/>
        </w:trPr>
        <w:tc>
          <w:tcPr>
            <w:tcW w:w="739" w:type="pct"/>
            <w:tcBorders>
              <w:top w:val="single" w:sz="12" w:space="0" w:color="000000"/>
              <w:bottom w:val="single" w:sz="8" w:space="0" w:color="auto"/>
            </w:tcBorders>
            <w:shd w:val="clear" w:color="auto" w:fill="auto"/>
            <w:vAlign w:val="center"/>
          </w:tcPr>
          <w:p w14:paraId="240A93C2" w14:textId="77777777" w:rsidR="002D2D99" w:rsidRDefault="002D2D99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</w:p>
          <w:p w14:paraId="44D33A70" w14:textId="77777777" w:rsidR="002D2D99" w:rsidRDefault="002D2D99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</w:p>
        </w:tc>
        <w:tc>
          <w:tcPr>
            <w:tcW w:w="681" w:type="pct"/>
            <w:tcBorders>
              <w:top w:val="single" w:sz="12" w:space="0" w:color="000000"/>
              <w:bottom w:val="single" w:sz="8" w:space="0" w:color="auto"/>
            </w:tcBorders>
            <w:shd w:val="clear" w:color="auto" w:fill="auto"/>
            <w:vAlign w:val="center"/>
          </w:tcPr>
          <w:p w14:paraId="7675C708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IAP-05</w:t>
            </w:r>
          </w:p>
        </w:tc>
        <w:tc>
          <w:tcPr>
            <w:tcW w:w="681" w:type="pct"/>
            <w:gridSpan w:val="2"/>
            <w:tcBorders>
              <w:top w:val="single" w:sz="12" w:space="0" w:color="000000"/>
              <w:bottom w:val="single" w:sz="8" w:space="0" w:color="auto"/>
            </w:tcBorders>
            <w:shd w:val="clear" w:color="auto" w:fill="auto"/>
            <w:vAlign w:val="center"/>
          </w:tcPr>
          <w:p w14:paraId="1F6170C6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IAP-1</w:t>
            </w:r>
          </w:p>
        </w:tc>
        <w:tc>
          <w:tcPr>
            <w:tcW w:w="677" w:type="pct"/>
            <w:gridSpan w:val="2"/>
            <w:tcBorders>
              <w:top w:val="single" w:sz="12" w:space="0" w:color="000000"/>
              <w:bottom w:val="single" w:sz="8" w:space="0" w:color="auto"/>
            </w:tcBorders>
            <w:shd w:val="clear" w:color="auto" w:fill="auto"/>
            <w:vAlign w:val="center"/>
          </w:tcPr>
          <w:p w14:paraId="783020EF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EN4</w:t>
            </w:r>
          </w:p>
        </w:tc>
        <w:tc>
          <w:tcPr>
            <w:tcW w:w="550" w:type="pct"/>
            <w:tcBorders>
              <w:top w:val="single" w:sz="12" w:space="0" w:color="000000"/>
              <w:bottom w:val="single" w:sz="8" w:space="0" w:color="auto"/>
            </w:tcBorders>
            <w:vAlign w:val="center"/>
          </w:tcPr>
          <w:p w14:paraId="696C7C30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I</w:t>
            </w:r>
            <w:r>
              <w:rPr>
                <w:b/>
                <w:bCs/>
                <w:sz w:val="21"/>
                <w:szCs w:val="21"/>
              </w:rPr>
              <w:t>shii</w:t>
            </w:r>
          </w:p>
        </w:tc>
        <w:tc>
          <w:tcPr>
            <w:tcW w:w="555" w:type="pct"/>
            <w:tcBorders>
              <w:top w:val="single" w:sz="12" w:space="0" w:color="000000"/>
              <w:bottom w:val="single" w:sz="8" w:space="0" w:color="auto"/>
            </w:tcBorders>
            <w:vAlign w:val="center"/>
          </w:tcPr>
          <w:p w14:paraId="01E537F3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N</w:t>
            </w:r>
            <w:r>
              <w:rPr>
                <w:b/>
                <w:bCs/>
                <w:sz w:val="21"/>
                <w:szCs w:val="21"/>
              </w:rPr>
              <w:t>CEI</w:t>
            </w:r>
          </w:p>
        </w:tc>
        <w:tc>
          <w:tcPr>
            <w:tcW w:w="555" w:type="pct"/>
            <w:tcBorders>
              <w:top w:val="single" w:sz="12" w:space="0" w:color="000000"/>
              <w:bottom w:val="single" w:sz="8" w:space="0" w:color="auto"/>
            </w:tcBorders>
            <w:vAlign w:val="center"/>
          </w:tcPr>
          <w:p w14:paraId="51A01814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O</w:t>
            </w:r>
            <w:r>
              <w:rPr>
                <w:b/>
                <w:bCs/>
                <w:sz w:val="21"/>
                <w:szCs w:val="21"/>
              </w:rPr>
              <w:t>RAS4</w:t>
            </w:r>
          </w:p>
        </w:tc>
        <w:tc>
          <w:tcPr>
            <w:tcW w:w="562" w:type="pct"/>
            <w:tcBorders>
              <w:top w:val="single" w:sz="12" w:space="0" w:color="000000"/>
              <w:bottom w:val="single" w:sz="8" w:space="0" w:color="auto"/>
            </w:tcBorders>
            <w:vAlign w:val="center"/>
          </w:tcPr>
          <w:p w14:paraId="05C896F5" w14:textId="77777777" w:rsidR="002D2D99" w:rsidRDefault="00000000">
            <w:pPr>
              <w:pStyle w:val="aff4"/>
              <w:spacing w:line="240" w:lineRule="auto"/>
              <w:rPr>
                <w:b/>
                <w:bCs/>
                <w:sz w:val="21"/>
                <w:szCs w:val="21"/>
              </w:rPr>
            </w:pPr>
            <w:r>
              <w:rPr>
                <w:rFonts w:hint="eastAsia"/>
                <w:b/>
                <w:bCs/>
                <w:sz w:val="21"/>
                <w:szCs w:val="21"/>
              </w:rPr>
              <w:t>S</w:t>
            </w:r>
            <w:r>
              <w:rPr>
                <w:b/>
                <w:bCs/>
                <w:sz w:val="21"/>
                <w:szCs w:val="21"/>
              </w:rPr>
              <w:t>ODA</w:t>
            </w:r>
          </w:p>
        </w:tc>
      </w:tr>
      <w:tr w:rsidR="002D2D99" w14:paraId="094C8815" w14:textId="77777777">
        <w:trPr>
          <w:trHeight w:val="397"/>
          <w:jc w:val="center"/>
        </w:trPr>
        <w:tc>
          <w:tcPr>
            <w:tcW w:w="739" w:type="pc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A7B25D7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Modelling centers</w:t>
            </w:r>
          </w:p>
        </w:tc>
        <w:tc>
          <w:tcPr>
            <w:tcW w:w="681" w:type="pct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41679587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IAP, CAS</w:t>
            </w:r>
          </w:p>
        </w:tc>
        <w:tc>
          <w:tcPr>
            <w:tcW w:w="681" w:type="pct"/>
            <w:gridSpan w:val="2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3DE02F83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IAP, CAS</w:t>
            </w:r>
          </w:p>
        </w:tc>
        <w:tc>
          <w:tcPr>
            <w:tcW w:w="677" w:type="pct"/>
            <w:gridSpan w:val="2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C8B9BC4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Met Office Hadley Center</w:t>
            </w:r>
          </w:p>
        </w:tc>
        <w:tc>
          <w:tcPr>
            <w:tcW w:w="550" w:type="pct"/>
            <w:tcBorders>
              <w:top w:val="single" w:sz="8" w:space="0" w:color="auto"/>
            </w:tcBorders>
            <w:vAlign w:val="center"/>
          </w:tcPr>
          <w:p w14:paraId="72E38C9C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JAMSTEC</w:t>
            </w:r>
          </w:p>
        </w:tc>
        <w:tc>
          <w:tcPr>
            <w:tcW w:w="555" w:type="pct"/>
            <w:tcBorders>
              <w:top w:val="single" w:sz="8" w:space="0" w:color="auto"/>
            </w:tcBorders>
            <w:vAlign w:val="center"/>
          </w:tcPr>
          <w:p w14:paraId="1E9637C8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N</w:t>
            </w:r>
            <w:r>
              <w:rPr>
                <w:sz w:val="21"/>
                <w:szCs w:val="21"/>
              </w:rPr>
              <w:t>OAA</w:t>
            </w:r>
          </w:p>
        </w:tc>
        <w:tc>
          <w:tcPr>
            <w:tcW w:w="555" w:type="pct"/>
            <w:tcBorders>
              <w:top w:val="single" w:sz="8" w:space="0" w:color="auto"/>
            </w:tcBorders>
            <w:vAlign w:val="center"/>
          </w:tcPr>
          <w:p w14:paraId="03E6B7EB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E</w:t>
            </w:r>
            <w:r>
              <w:rPr>
                <w:sz w:val="21"/>
                <w:szCs w:val="21"/>
              </w:rPr>
              <w:t>CMWF</w:t>
            </w:r>
          </w:p>
        </w:tc>
        <w:tc>
          <w:tcPr>
            <w:tcW w:w="562" w:type="pct"/>
            <w:tcBorders>
              <w:top w:val="single" w:sz="8" w:space="0" w:color="auto"/>
            </w:tcBorders>
            <w:vAlign w:val="center"/>
          </w:tcPr>
          <w:p w14:paraId="452A780E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N</w:t>
            </w:r>
            <w:r>
              <w:rPr>
                <w:sz w:val="21"/>
                <w:szCs w:val="21"/>
              </w:rPr>
              <w:t>CAR</w:t>
            </w:r>
          </w:p>
        </w:tc>
      </w:tr>
      <w:tr w:rsidR="002D2D99" w14:paraId="4DEA5FDA" w14:textId="77777777">
        <w:trPr>
          <w:trHeight w:val="397"/>
          <w:jc w:val="center"/>
        </w:trPr>
        <w:tc>
          <w:tcPr>
            <w:tcW w:w="739" w:type="pct"/>
            <w:shd w:val="clear" w:color="auto" w:fill="auto"/>
            <w:vAlign w:val="center"/>
          </w:tcPr>
          <w:p w14:paraId="580D3CAF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Data</w:t>
            </w:r>
            <w:r>
              <w:rPr>
                <w:sz w:val="21"/>
                <w:szCs w:val="21"/>
              </w:rPr>
              <w:t xml:space="preserve"> description</w:t>
            </w:r>
          </w:p>
        </w:tc>
        <w:tc>
          <w:tcPr>
            <w:tcW w:w="712" w:type="pct"/>
            <w:shd w:val="clear" w:color="auto" w:fill="auto"/>
            <w:vAlign w:val="center"/>
          </w:tcPr>
          <w:p w14:paraId="0EDDE21D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Objective analyzed product</w:t>
            </w:r>
          </w:p>
        </w:tc>
        <w:tc>
          <w:tcPr>
            <w:tcW w:w="674" w:type="pct"/>
            <w:shd w:val="clear" w:color="auto" w:fill="auto"/>
            <w:vAlign w:val="center"/>
          </w:tcPr>
          <w:p w14:paraId="71383285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Objective analyzed product</w:t>
            </w:r>
          </w:p>
        </w:tc>
        <w:tc>
          <w:tcPr>
            <w:tcW w:w="676" w:type="pct"/>
            <w:gridSpan w:val="2"/>
            <w:shd w:val="clear" w:color="auto" w:fill="auto"/>
            <w:vAlign w:val="center"/>
          </w:tcPr>
          <w:p w14:paraId="13F71D2B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Objective analyzed product</w:t>
            </w:r>
          </w:p>
        </w:tc>
        <w:tc>
          <w:tcPr>
            <w:tcW w:w="527" w:type="pct"/>
            <w:gridSpan w:val="2"/>
            <w:shd w:val="clear" w:color="auto" w:fill="auto"/>
            <w:vAlign w:val="center"/>
          </w:tcPr>
          <w:p w14:paraId="0A26B00C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Objective analyzed product</w:t>
            </w:r>
          </w:p>
        </w:tc>
        <w:tc>
          <w:tcPr>
            <w:tcW w:w="555" w:type="pct"/>
            <w:vAlign w:val="center"/>
          </w:tcPr>
          <w:p w14:paraId="093C8365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Objective analyzed product</w:t>
            </w:r>
          </w:p>
        </w:tc>
        <w:tc>
          <w:tcPr>
            <w:tcW w:w="560" w:type="pct"/>
            <w:vAlign w:val="center"/>
          </w:tcPr>
          <w:p w14:paraId="718974A8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O</w:t>
            </w:r>
            <w:r>
              <w:rPr>
                <w:sz w:val="21"/>
                <w:szCs w:val="21"/>
              </w:rPr>
              <w:t>cean reanalyses</w:t>
            </w:r>
          </w:p>
        </w:tc>
        <w:tc>
          <w:tcPr>
            <w:tcW w:w="557" w:type="pct"/>
            <w:vAlign w:val="center"/>
          </w:tcPr>
          <w:p w14:paraId="414D4F5C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O</w:t>
            </w:r>
            <w:r>
              <w:rPr>
                <w:sz w:val="21"/>
                <w:szCs w:val="21"/>
              </w:rPr>
              <w:t>cean reanalyses</w:t>
            </w:r>
          </w:p>
        </w:tc>
      </w:tr>
      <w:tr w:rsidR="002D2D99" w14:paraId="0B12C215" w14:textId="77777777">
        <w:trPr>
          <w:trHeight w:val="397"/>
          <w:jc w:val="center"/>
        </w:trPr>
        <w:tc>
          <w:tcPr>
            <w:tcW w:w="739" w:type="pct"/>
            <w:shd w:val="clear" w:color="auto" w:fill="auto"/>
            <w:vAlign w:val="center"/>
          </w:tcPr>
          <w:p w14:paraId="336C0976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Horizontal resolution</w:t>
            </w:r>
          </w:p>
        </w:tc>
        <w:tc>
          <w:tcPr>
            <w:tcW w:w="681" w:type="pct"/>
            <w:shd w:val="clear" w:color="auto" w:fill="auto"/>
            <w:vAlign w:val="center"/>
          </w:tcPr>
          <w:p w14:paraId="52B3B07C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0.5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0.5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681" w:type="pct"/>
            <w:gridSpan w:val="2"/>
            <w:shd w:val="clear" w:color="auto" w:fill="auto"/>
            <w:vAlign w:val="center"/>
          </w:tcPr>
          <w:p w14:paraId="52865CDD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677" w:type="pct"/>
            <w:gridSpan w:val="2"/>
            <w:shd w:val="clear" w:color="auto" w:fill="auto"/>
            <w:vAlign w:val="center"/>
          </w:tcPr>
          <w:p w14:paraId="07A55FA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550" w:type="pct"/>
            <w:vAlign w:val="center"/>
          </w:tcPr>
          <w:p w14:paraId="6E52790E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555" w:type="pct"/>
            <w:vAlign w:val="center"/>
          </w:tcPr>
          <w:p w14:paraId="6CFAF88E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555" w:type="pct"/>
            <w:vAlign w:val="center"/>
          </w:tcPr>
          <w:p w14:paraId="731E642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sym w:font="Symbol" w:char="F0B0"/>
            </w:r>
          </w:p>
        </w:tc>
        <w:tc>
          <w:tcPr>
            <w:tcW w:w="562" w:type="pct"/>
            <w:vAlign w:val="center"/>
          </w:tcPr>
          <w:p w14:paraId="6FF452A0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0.5</w:t>
            </w:r>
            <w:r>
              <w:rPr>
                <w:sz w:val="21"/>
                <w:szCs w:val="21"/>
              </w:rPr>
              <w:sym w:font="Symbol" w:char="F0B0"/>
            </w:r>
            <w:r>
              <w:rPr>
                <w:sz w:val="21"/>
                <w:szCs w:val="21"/>
              </w:rPr>
              <w:sym w:font="Symbol" w:char="F0B4"/>
            </w:r>
            <w:r>
              <w:rPr>
                <w:sz w:val="21"/>
                <w:szCs w:val="21"/>
              </w:rPr>
              <w:t>0.5</w:t>
            </w:r>
            <w:r>
              <w:rPr>
                <w:sz w:val="21"/>
                <w:szCs w:val="21"/>
              </w:rPr>
              <w:sym w:font="Symbol" w:char="F0B0"/>
            </w:r>
          </w:p>
        </w:tc>
      </w:tr>
      <w:tr w:rsidR="002D2D99" w14:paraId="29229870" w14:textId="77777777">
        <w:trPr>
          <w:trHeight w:val="397"/>
          <w:jc w:val="center"/>
        </w:trPr>
        <w:tc>
          <w:tcPr>
            <w:tcW w:w="739" w:type="pct"/>
            <w:shd w:val="clear" w:color="auto" w:fill="auto"/>
            <w:vAlign w:val="center"/>
          </w:tcPr>
          <w:p w14:paraId="69AC6024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Vertical levels</w:t>
            </w:r>
          </w:p>
        </w:tc>
        <w:tc>
          <w:tcPr>
            <w:tcW w:w="681" w:type="pct"/>
            <w:shd w:val="clear" w:color="auto" w:fill="auto"/>
            <w:vAlign w:val="center"/>
          </w:tcPr>
          <w:p w14:paraId="14F12DFB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41 levels</w:t>
            </w:r>
          </w:p>
          <w:p w14:paraId="037DB50D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(2000m)</w:t>
            </w:r>
          </w:p>
        </w:tc>
        <w:tc>
          <w:tcPr>
            <w:tcW w:w="681" w:type="pct"/>
            <w:gridSpan w:val="2"/>
            <w:shd w:val="clear" w:color="auto" w:fill="auto"/>
            <w:vAlign w:val="center"/>
          </w:tcPr>
          <w:p w14:paraId="0897766A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41 levels</w:t>
            </w:r>
          </w:p>
          <w:p w14:paraId="35A666F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(2000m)</w:t>
            </w:r>
          </w:p>
        </w:tc>
        <w:tc>
          <w:tcPr>
            <w:tcW w:w="677" w:type="pct"/>
            <w:gridSpan w:val="2"/>
            <w:shd w:val="clear" w:color="auto" w:fill="auto"/>
            <w:vAlign w:val="center"/>
          </w:tcPr>
          <w:p w14:paraId="4BC832B9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42 levels</w:t>
            </w:r>
          </w:p>
          <w:p w14:paraId="5A4EB0C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(5500m)</w:t>
            </w:r>
          </w:p>
        </w:tc>
        <w:tc>
          <w:tcPr>
            <w:tcW w:w="550" w:type="pct"/>
            <w:vAlign w:val="center"/>
          </w:tcPr>
          <w:p w14:paraId="17DFDC3E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8 levels (6350m)</w:t>
            </w:r>
          </w:p>
        </w:tc>
        <w:tc>
          <w:tcPr>
            <w:tcW w:w="555" w:type="pct"/>
            <w:vAlign w:val="center"/>
          </w:tcPr>
          <w:p w14:paraId="0211013B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6 levels</w:t>
            </w:r>
          </w:p>
          <w:p w14:paraId="6168EB94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(</w:t>
            </w:r>
            <w:r>
              <w:rPr>
                <w:sz w:val="21"/>
                <w:szCs w:val="21"/>
              </w:rPr>
              <w:t>2000m)</w:t>
            </w:r>
          </w:p>
        </w:tc>
        <w:tc>
          <w:tcPr>
            <w:tcW w:w="555" w:type="pct"/>
            <w:vAlign w:val="center"/>
          </w:tcPr>
          <w:p w14:paraId="112280FC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42 levels (5350m)</w:t>
            </w:r>
          </w:p>
        </w:tc>
        <w:tc>
          <w:tcPr>
            <w:tcW w:w="562" w:type="pct"/>
            <w:vAlign w:val="center"/>
          </w:tcPr>
          <w:p w14:paraId="73BB0375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50 levels </w:t>
            </w:r>
          </w:p>
          <w:p w14:paraId="68809D6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(5395m)</w:t>
            </w:r>
          </w:p>
        </w:tc>
      </w:tr>
      <w:tr w:rsidR="002D2D99" w14:paraId="483DD3E2" w14:textId="77777777">
        <w:trPr>
          <w:trHeight w:val="397"/>
          <w:jc w:val="center"/>
        </w:trPr>
        <w:tc>
          <w:tcPr>
            <w:tcW w:w="73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F3EC061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Period</w:t>
            </w:r>
          </w:p>
        </w:tc>
        <w:tc>
          <w:tcPr>
            <w:tcW w:w="68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670BDA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1960</w:t>
            </w:r>
            <w:r>
              <w:t>–</w:t>
            </w:r>
            <w:r>
              <w:rPr>
                <w:sz w:val="21"/>
                <w:szCs w:val="21"/>
              </w:rPr>
              <w:t>2020</w:t>
            </w:r>
          </w:p>
        </w:tc>
        <w:tc>
          <w:tcPr>
            <w:tcW w:w="68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3E7008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1960</w:t>
            </w:r>
            <w:r>
              <w:t>–</w:t>
            </w:r>
            <w:r>
              <w:rPr>
                <w:sz w:val="21"/>
                <w:szCs w:val="21"/>
              </w:rPr>
              <w:t>2020</w:t>
            </w:r>
          </w:p>
        </w:tc>
        <w:tc>
          <w:tcPr>
            <w:tcW w:w="67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5CA179" w14:textId="6896E04D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1960</w:t>
            </w:r>
            <w:r>
              <w:t>–</w:t>
            </w:r>
            <w:r>
              <w:rPr>
                <w:sz w:val="21"/>
                <w:szCs w:val="21"/>
              </w:rPr>
              <w:t>20</w:t>
            </w:r>
            <w:r w:rsidR="00D066B5">
              <w:rPr>
                <w:sz w:val="21"/>
                <w:szCs w:val="21"/>
              </w:rPr>
              <w:t>20</w:t>
            </w:r>
          </w:p>
        </w:tc>
        <w:tc>
          <w:tcPr>
            <w:tcW w:w="550" w:type="pct"/>
            <w:tcBorders>
              <w:bottom w:val="single" w:sz="12" w:space="0" w:color="auto"/>
            </w:tcBorders>
            <w:vAlign w:val="center"/>
          </w:tcPr>
          <w:p w14:paraId="2FAB6C22" w14:textId="6A1A6FBD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1960</w:t>
            </w:r>
            <w:r>
              <w:t>–</w:t>
            </w:r>
            <w:r>
              <w:rPr>
                <w:sz w:val="21"/>
                <w:szCs w:val="21"/>
              </w:rPr>
              <w:t>20</w:t>
            </w:r>
            <w:r w:rsidR="00D066B5">
              <w:rPr>
                <w:sz w:val="21"/>
                <w:szCs w:val="21"/>
              </w:rPr>
              <w:t>20</w:t>
            </w:r>
          </w:p>
        </w:tc>
        <w:tc>
          <w:tcPr>
            <w:tcW w:w="555" w:type="pct"/>
            <w:tcBorders>
              <w:bottom w:val="single" w:sz="12" w:space="0" w:color="auto"/>
            </w:tcBorders>
            <w:vAlign w:val="center"/>
          </w:tcPr>
          <w:p w14:paraId="5E6031A3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1955</w:t>
            </w:r>
            <w:r>
              <w:t>–</w:t>
            </w: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sz w:val="21"/>
                <w:szCs w:val="21"/>
              </w:rPr>
              <w:t>020</w:t>
            </w:r>
          </w:p>
        </w:tc>
        <w:tc>
          <w:tcPr>
            <w:tcW w:w="555" w:type="pct"/>
            <w:tcBorders>
              <w:bottom w:val="single" w:sz="12" w:space="0" w:color="auto"/>
            </w:tcBorders>
            <w:vAlign w:val="center"/>
          </w:tcPr>
          <w:p w14:paraId="2B5D1986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1960</w:t>
            </w:r>
            <w:r>
              <w:t>–</w:t>
            </w:r>
            <w:r>
              <w:rPr>
                <w:sz w:val="21"/>
                <w:szCs w:val="21"/>
              </w:rPr>
              <w:t>2017</w:t>
            </w:r>
          </w:p>
        </w:tc>
        <w:tc>
          <w:tcPr>
            <w:tcW w:w="562" w:type="pct"/>
            <w:tcBorders>
              <w:bottom w:val="single" w:sz="12" w:space="0" w:color="auto"/>
            </w:tcBorders>
            <w:vAlign w:val="center"/>
          </w:tcPr>
          <w:p w14:paraId="2DA90552" w14:textId="77777777" w:rsidR="002D2D99" w:rsidRDefault="00000000">
            <w:pPr>
              <w:pStyle w:val="aff4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1980</w:t>
            </w:r>
            <w:r>
              <w:t>–</w:t>
            </w:r>
            <w:r>
              <w:rPr>
                <w:sz w:val="21"/>
                <w:szCs w:val="21"/>
              </w:rPr>
              <w:t>2018</w:t>
            </w:r>
          </w:p>
        </w:tc>
      </w:tr>
    </w:tbl>
    <w:p w14:paraId="06F66EAE" w14:textId="77777777" w:rsidR="002D2D99" w:rsidRDefault="002D2D99">
      <w:pPr>
        <w:pStyle w:val="aff4"/>
        <w:spacing w:line="240" w:lineRule="auto"/>
        <w:rPr>
          <w:b/>
          <w:bCs/>
          <w:sz w:val="21"/>
          <w:szCs w:val="21"/>
        </w:rPr>
      </w:pPr>
    </w:p>
    <w:p w14:paraId="3700BA11" w14:textId="77777777" w:rsidR="002D2D99" w:rsidRDefault="002D2D99">
      <w:pPr>
        <w:keepNext/>
        <w:rPr>
          <w:rFonts w:cs="Times New Roman"/>
          <w:szCs w:val="24"/>
        </w:rPr>
      </w:pPr>
    </w:p>
    <w:sectPr w:rsidR="002D2D99">
      <w:headerReference w:type="even" r:id="rId25"/>
      <w:footerReference w:type="even" r:id="rId26"/>
      <w:footerReference w:type="default" r:id="rId27"/>
      <w:headerReference w:type="first" r:id="rId2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BE2522" w14:textId="77777777" w:rsidR="005A59D5" w:rsidRDefault="005A59D5">
      <w:r>
        <w:separator/>
      </w:r>
    </w:p>
  </w:endnote>
  <w:endnote w:type="continuationSeparator" w:id="0">
    <w:p w14:paraId="36B61738" w14:textId="77777777" w:rsidR="005A59D5" w:rsidRDefault="005A59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B7569" w14:textId="77777777" w:rsidR="002D2D99" w:rsidRDefault="00000000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724C247" wp14:editId="683DEA3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7D7254" w14:textId="77777777" w:rsidR="002D2D99" w:rsidRDefault="0000000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24C24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60288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" filled="f" stroked="f" strokeweight=".5pt">
              <v:textbox style="mso-fit-shape-to-text:t">
                <w:txbxContent>
                  <w:p w14:paraId="4D7D7254" w14:textId="77777777" w:rsidR="002D2D99" w:rsidRDefault="00000000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864CA4" w14:textId="77777777" w:rsidR="002D2D99" w:rsidRDefault="00000000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A4F4AAD" wp14:editId="3EF08AA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33065BB" w14:textId="77777777" w:rsidR="002D2D99" w:rsidRDefault="0000000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4F4AAD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59264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" filled="f" stroked="f" strokeweight=".5pt">
              <v:textbox style="mso-fit-shape-to-text:t">
                <w:txbxContent>
                  <w:p w14:paraId="333065BB" w14:textId="77777777" w:rsidR="002D2D99" w:rsidRDefault="00000000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3D7D3B" w14:textId="77777777" w:rsidR="005A59D5" w:rsidRDefault="005A59D5">
      <w:pPr>
        <w:spacing w:before="0" w:after="0"/>
      </w:pPr>
      <w:r>
        <w:separator/>
      </w:r>
    </w:p>
  </w:footnote>
  <w:footnote w:type="continuationSeparator" w:id="0">
    <w:p w14:paraId="64CDBC1D" w14:textId="77777777" w:rsidR="005A59D5" w:rsidRDefault="005A59D5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E5F4D0" w14:textId="77777777" w:rsidR="002D2D99" w:rsidRDefault="00000000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F747E" w14:textId="77777777" w:rsidR="002D2D99" w:rsidRDefault="00000000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2D038D78" wp14:editId="7C5710E7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2143887424">
    <w:abstractNumId w:val="0"/>
  </w:num>
  <w:num w:numId="2" w16cid:durableId="13455520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attachedTemplate r:id="rId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zkzYWQ2ZDIzNTczNjlhYzg2YTE0NTY5YzFhOWI2ODAifQ=="/>
  </w:docVars>
  <w:rsids>
    <w:rsidRoot w:val="00803D24"/>
    <w:rsid w:val="0001436A"/>
    <w:rsid w:val="000166B0"/>
    <w:rsid w:val="00023855"/>
    <w:rsid w:val="00034304"/>
    <w:rsid w:val="00035434"/>
    <w:rsid w:val="00036429"/>
    <w:rsid w:val="00052A14"/>
    <w:rsid w:val="0006577B"/>
    <w:rsid w:val="00077D53"/>
    <w:rsid w:val="000C2DFB"/>
    <w:rsid w:val="000D70E3"/>
    <w:rsid w:val="00105FD9"/>
    <w:rsid w:val="00112238"/>
    <w:rsid w:val="00117666"/>
    <w:rsid w:val="00120746"/>
    <w:rsid w:val="001549D3"/>
    <w:rsid w:val="00160065"/>
    <w:rsid w:val="00177D84"/>
    <w:rsid w:val="001D2B29"/>
    <w:rsid w:val="00250DF3"/>
    <w:rsid w:val="00267D18"/>
    <w:rsid w:val="002868E2"/>
    <w:rsid w:val="002869C3"/>
    <w:rsid w:val="002936E4"/>
    <w:rsid w:val="002B2304"/>
    <w:rsid w:val="002B4A57"/>
    <w:rsid w:val="002C74CA"/>
    <w:rsid w:val="002D2D99"/>
    <w:rsid w:val="002F70B3"/>
    <w:rsid w:val="00322B9E"/>
    <w:rsid w:val="00326713"/>
    <w:rsid w:val="003544FB"/>
    <w:rsid w:val="00367CD4"/>
    <w:rsid w:val="003D1EB5"/>
    <w:rsid w:val="003D2F2D"/>
    <w:rsid w:val="00401590"/>
    <w:rsid w:val="00447801"/>
    <w:rsid w:val="00452E9C"/>
    <w:rsid w:val="004735C8"/>
    <w:rsid w:val="004961FF"/>
    <w:rsid w:val="00496C3B"/>
    <w:rsid w:val="004E5CD6"/>
    <w:rsid w:val="004F1E2F"/>
    <w:rsid w:val="00517A89"/>
    <w:rsid w:val="005250F2"/>
    <w:rsid w:val="00530599"/>
    <w:rsid w:val="00536688"/>
    <w:rsid w:val="00593EEA"/>
    <w:rsid w:val="005A59D5"/>
    <w:rsid w:val="005A5EEE"/>
    <w:rsid w:val="00630CC9"/>
    <w:rsid w:val="006375C7"/>
    <w:rsid w:val="006403DE"/>
    <w:rsid w:val="00654E8F"/>
    <w:rsid w:val="00660D05"/>
    <w:rsid w:val="00670861"/>
    <w:rsid w:val="006820B1"/>
    <w:rsid w:val="006975E4"/>
    <w:rsid w:val="006B7D14"/>
    <w:rsid w:val="00701727"/>
    <w:rsid w:val="0070373E"/>
    <w:rsid w:val="0070566C"/>
    <w:rsid w:val="00714C50"/>
    <w:rsid w:val="007214D9"/>
    <w:rsid w:val="00725A7D"/>
    <w:rsid w:val="007501BE"/>
    <w:rsid w:val="00751E32"/>
    <w:rsid w:val="00756A2E"/>
    <w:rsid w:val="00790BB3"/>
    <w:rsid w:val="007C0AD0"/>
    <w:rsid w:val="007C206C"/>
    <w:rsid w:val="00803D24"/>
    <w:rsid w:val="00804E53"/>
    <w:rsid w:val="00817DD6"/>
    <w:rsid w:val="0085395E"/>
    <w:rsid w:val="00885156"/>
    <w:rsid w:val="008851F1"/>
    <w:rsid w:val="008C4B55"/>
    <w:rsid w:val="008F7332"/>
    <w:rsid w:val="00911685"/>
    <w:rsid w:val="009151AA"/>
    <w:rsid w:val="00933E51"/>
    <w:rsid w:val="0093429D"/>
    <w:rsid w:val="00937FBA"/>
    <w:rsid w:val="00943573"/>
    <w:rsid w:val="00970F7D"/>
    <w:rsid w:val="00987598"/>
    <w:rsid w:val="00994A3D"/>
    <w:rsid w:val="009C218C"/>
    <w:rsid w:val="009C2B12"/>
    <w:rsid w:val="009C70F3"/>
    <w:rsid w:val="009E112E"/>
    <w:rsid w:val="00A006B3"/>
    <w:rsid w:val="00A174D9"/>
    <w:rsid w:val="00A43D46"/>
    <w:rsid w:val="00A45119"/>
    <w:rsid w:val="00A569CD"/>
    <w:rsid w:val="00A96E32"/>
    <w:rsid w:val="00AA7094"/>
    <w:rsid w:val="00AB6715"/>
    <w:rsid w:val="00B01816"/>
    <w:rsid w:val="00B1671E"/>
    <w:rsid w:val="00B25EB8"/>
    <w:rsid w:val="00B354E1"/>
    <w:rsid w:val="00B37F4D"/>
    <w:rsid w:val="00BC1335"/>
    <w:rsid w:val="00C26AA5"/>
    <w:rsid w:val="00C52A7B"/>
    <w:rsid w:val="00C56BAF"/>
    <w:rsid w:val="00C66845"/>
    <w:rsid w:val="00C679AA"/>
    <w:rsid w:val="00C71684"/>
    <w:rsid w:val="00C75972"/>
    <w:rsid w:val="00C930F6"/>
    <w:rsid w:val="00CC0A3A"/>
    <w:rsid w:val="00CD066B"/>
    <w:rsid w:val="00CE4FEE"/>
    <w:rsid w:val="00D038BB"/>
    <w:rsid w:val="00D066B5"/>
    <w:rsid w:val="00D27951"/>
    <w:rsid w:val="00DB59C3"/>
    <w:rsid w:val="00DC259A"/>
    <w:rsid w:val="00DD1E2E"/>
    <w:rsid w:val="00DD43A7"/>
    <w:rsid w:val="00DE23E8"/>
    <w:rsid w:val="00DE6D53"/>
    <w:rsid w:val="00DF3DD1"/>
    <w:rsid w:val="00E52377"/>
    <w:rsid w:val="00E64E17"/>
    <w:rsid w:val="00E866C9"/>
    <w:rsid w:val="00EA3D3C"/>
    <w:rsid w:val="00F07DE8"/>
    <w:rsid w:val="00F34DDC"/>
    <w:rsid w:val="00F46900"/>
    <w:rsid w:val="00F6192D"/>
    <w:rsid w:val="00F61D89"/>
    <w:rsid w:val="00F83FCE"/>
    <w:rsid w:val="00F86698"/>
    <w:rsid w:val="0DA816A4"/>
    <w:rsid w:val="51957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E742AE1"/>
  <w14:defaultImageDpi w14:val="32767"/>
  <w15:docId w15:val="{34BE156C-A199-4887-960D-9ED1B5C9E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iPriority="0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spacing w:before="120" w:after="240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0"/>
    <w:link w:val="10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ascii="Times New Roman" w:hAnsi="Times New Roman"/>
      <w:sz w:val="24"/>
      <w:szCs w:val="22"/>
      <w:lang w:eastAsia="en-US"/>
    </w:rPr>
  </w:style>
  <w:style w:type="paragraph" w:styleId="a6">
    <w:name w:val="annotation text"/>
    <w:basedOn w:val="a0"/>
    <w:link w:val="a7"/>
    <w:uiPriority w:val="99"/>
    <w:semiHidden/>
    <w:unhideWhenUsed/>
    <w:rPr>
      <w:sz w:val="20"/>
      <w:szCs w:val="20"/>
    </w:rPr>
  </w:style>
  <w:style w:type="paragraph" w:styleId="a8">
    <w:name w:val="endnote text"/>
    <w:basedOn w:val="a0"/>
    <w:link w:val="a9"/>
    <w:uiPriority w:val="99"/>
    <w:semiHidden/>
    <w:unhideWhenUsed/>
    <w:pPr>
      <w:spacing w:after="0"/>
    </w:pPr>
    <w:rPr>
      <w:sz w:val="20"/>
      <w:szCs w:val="20"/>
    </w:rPr>
  </w:style>
  <w:style w:type="paragraph" w:styleId="aa">
    <w:name w:val="Balloon Text"/>
    <w:basedOn w:val="a0"/>
    <w:link w:val="ab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paragraph" w:styleId="ac">
    <w:name w:val="footer"/>
    <w:basedOn w:val="a0"/>
    <w:link w:val="ad"/>
    <w:uiPriority w:val="99"/>
    <w:unhideWhenUsed/>
    <w:pPr>
      <w:tabs>
        <w:tab w:val="center" w:pos="4844"/>
        <w:tab w:val="right" w:pos="9689"/>
      </w:tabs>
      <w:spacing w:after="0"/>
    </w:pPr>
  </w:style>
  <w:style w:type="paragraph" w:styleId="ae">
    <w:name w:val="header"/>
    <w:basedOn w:val="a0"/>
    <w:link w:val="af"/>
    <w:uiPriority w:val="99"/>
    <w:unhideWhenUsed/>
    <w:pPr>
      <w:tabs>
        <w:tab w:val="center" w:pos="4844"/>
        <w:tab w:val="right" w:pos="9689"/>
      </w:tabs>
    </w:pPr>
    <w:rPr>
      <w:b/>
    </w:rPr>
  </w:style>
  <w:style w:type="paragraph" w:styleId="af0">
    <w:name w:val="Subtitle"/>
    <w:basedOn w:val="a0"/>
    <w:next w:val="a0"/>
    <w:link w:val="af1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f2">
    <w:name w:val="footnote text"/>
    <w:basedOn w:val="a0"/>
    <w:link w:val="af3"/>
    <w:unhideWhenUsed/>
    <w:pPr>
      <w:spacing w:after="0"/>
    </w:pPr>
    <w:rPr>
      <w:sz w:val="20"/>
      <w:szCs w:val="20"/>
    </w:rPr>
  </w:style>
  <w:style w:type="paragraph" w:styleId="af4">
    <w:name w:val="Normal (Web)"/>
    <w:basedOn w:val="a0"/>
    <w:uiPriority w:val="99"/>
    <w:unhideWhenUsed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5">
    <w:name w:val="Title"/>
    <w:basedOn w:val="a0"/>
    <w:next w:val="a0"/>
    <w:link w:val="af6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7">
    <w:name w:val="annotation subject"/>
    <w:basedOn w:val="a6"/>
    <w:next w:val="a6"/>
    <w:link w:val="af8"/>
    <w:uiPriority w:val="99"/>
    <w:semiHidden/>
    <w:unhideWhenUsed/>
    <w:rPr>
      <w:b/>
      <w:bCs/>
    </w:rPr>
  </w:style>
  <w:style w:type="table" w:styleId="af9">
    <w:name w:val="Table Grid"/>
    <w:basedOn w:val="a2"/>
    <w:uiPriority w:val="59"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b">
    <w:name w:val="endnote reference"/>
    <w:basedOn w:val="a1"/>
    <w:uiPriority w:val="99"/>
    <w:semiHidden/>
    <w:unhideWhenUsed/>
    <w:rPr>
      <w:vertAlign w:val="superscript"/>
    </w:rPr>
  </w:style>
  <w:style w:type="character" w:styleId="afc">
    <w:name w:val="FollowedHyperlink"/>
    <w:basedOn w:val="a1"/>
    <w:uiPriority w:val="99"/>
    <w:semiHidden/>
    <w:unhideWhenUsed/>
    <w:rPr>
      <w:color w:val="800080" w:themeColor="followedHyperlink"/>
      <w:u w:val="single"/>
    </w:rPr>
  </w:style>
  <w:style w:type="character" w:styleId="afd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e">
    <w:name w:val="line number"/>
    <w:basedOn w:val="a1"/>
    <w:uiPriority w:val="99"/>
    <w:semiHidden/>
    <w:unhideWhenUsed/>
  </w:style>
  <w:style w:type="character" w:styleId="aff">
    <w:name w:val="Hyperlink"/>
    <w:basedOn w:val="a1"/>
    <w:uiPriority w:val="99"/>
    <w:unhideWhenUsed/>
    <w:rPr>
      <w:color w:val="0000FF"/>
      <w:u w:val="single"/>
    </w:rPr>
  </w:style>
  <w:style w:type="character" w:styleId="aff0">
    <w:name w:val="annotation reference"/>
    <w:basedOn w:val="a1"/>
    <w:uiPriority w:val="99"/>
    <w:semiHidden/>
    <w:unhideWhenUsed/>
    <w:rPr>
      <w:sz w:val="16"/>
      <w:szCs w:val="16"/>
    </w:rPr>
  </w:style>
  <w:style w:type="character" w:styleId="aff1">
    <w:name w:val="footnote reference"/>
    <w:basedOn w:val="a1"/>
    <w:uiPriority w:val="99"/>
    <w:semiHidden/>
    <w:unhideWhenUsed/>
    <w:rPr>
      <w:vertAlign w:val="superscript"/>
    </w:rPr>
  </w:style>
  <w:style w:type="character" w:customStyle="1" w:styleId="10">
    <w:name w:val="标题 1 字符"/>
    <w:basedOn w:val="a1"/>
    <w:link w:val="1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af1">
    <w:name w:val="副标题 字符"/>
    <w:basedOn w:val="a1"/>
    <w:link w:val="af0"/>
    <w:uiPriority w:val="99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f0"/>
    <w:next w:val="a0"/>
    <w:uiPriority w:val="1"/>
    <w:qFormat/>
  </w:style>
  <w:style w:type="character" w:customStyle="1" w:styleId="ab">
    <w:name w:val="批注框文本 字符"/>
    <w:basedOn w:val="a1"/>
    <w:link w:val="aa"/>
    <w:uiPriority w:val="99"/>
    <w:semiHidden/>
    <w:rPr>
      <w:rFonts w:ascii="Tahoma" w:hAnsi="Tahoma" w:cs="Tahoma"/>
      <w:sz w:val="16"/>
      <w:szCs w:val="16"/>
    </w:rPr>
  </w:style>
  <w:style w:type="character" w:customStyle="1" w:styleId="11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a7">
    <w:name w:val="批注文字 字符"/>
    <w:basedOn w:val="a1"/>
    <w:link w:val="a6"/>
    <w:uiPriority w:val="99"/>
    <w:semiHidden/>
    <w:rPr>
      <w:rFonts w:ascii="Times New Roman" w:hAnsi="Times New Roman"/>
      <w:sz w:val="20"/>
      <w:szCs w:val="20"/>
    </w:rPr>
  </w:style>
  <w:style w:type="character" w:customStyle="1" w:styleId="af8">
    <w:name w:val="批注主题 字符"/>
    <w:basedOn w:val="a7"/>
    <w:link w:val="af7"/>
    <w:uiPriority w:val="99"/>
    <w:semiHidden/>
    <w:rPr>
      <w:rFonts w:ascii="Times New Roman" w:hAnsi="Times New Roman"/>
      <w:b/>
      <w:bCs/>
      <w:sz w:val="20"/>
      <w:szCs w:val="20"/>
    </w:rPr>
  </w:style>
  <w:style w:type="character" w:customStyle="1" w:styleId="a9">
    <w:name w:val="尾注文本 字符"/>
    <w:basedOn w:val="a1"/>
    <w:link w:val="a8"/>
    <w:uiPriority w:val="99"/>
    <w:semiHidden/>
    <w:rPr>
      <w:rFonts w:ascii="Times New Roman" w:hAnsi="Times New Roman"/>
      <w:sz w:val="20"/>
      <w:szCs w:val="20"/>
    </w:rPr>
  </w:style>
  <w:style w:type="character" w:customStyle="1" w:styleId="ad">
    <w:name w:val="页脚 字符"/>
    <w:basedOn w:val="a1"/>
    <w:link w:val="ac"/>
    <w:uiPriority w:val="99"/>
    <w:rPr>
      <w:rFonts w:ascii="Times New Roman" w:hAnsi="Times New Roman"/>
      <w:sz w:val="24"/>
    </w:rPr>
  </w:style>
  <w:style w:type="character" w:customStyle="1" w:styleId="af3">
    <w:name w:val="脚注文本 字符"/>
    <w:basedOn w:val="a1"/>
    <w:link w:val="af2"/>
    <w:rPr>
      <w:rFonts w:ascii="Times New Roman" w:hAnsi="Times New Roman"/>
      <w:sz w:val="20"/>
      <w:szCs w:val="20"/>
    </w:rPr>
  </w:style>
  <w:style w:type="character" w:customStyle="1" w:styleId="af">
    <w:name w:val="页眉 字符"/>
    <w:basedOn w:val="a1"/>
    <w:link w:val="ae"/>
    <w:uiPriority w:val="99"/>
    <w:rPr>
      <w:rFonts w:ascii="Times New Roman" w:hAnsi="Times New Roman"/>
      <w:b/>
      <w:sz w:val="24"/>
    </w:rPr>
  </w:style>
  <w:style w:type="character" w:customStyle="1" w:styleId="12">
    <w:name w:val="明显强调1"/>
    <w:basedOn w:val="a1"/>
    <w:uiPriority w:val="21"/>
    <w:unhideWhenUsed/>
    <w:rPr>
      <w:rFonts w:ascii="Times New Roman" w:hAnsi="Times New Roman"/>
      <w:i/>
      <w:iCs/>
      <w:color w:val="auto"/>
    </w:rPr>
  </w:style>
  <w:style w:type="character" w:customStyle="1" w:styleId="13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0">
    <w:name w:val="标题 3 字符"/>
    <w:basedOn w:val="a1"/>
    <w:link w:val="3"/>
    <w:uiPriority w:val="2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2">
    <w:name w:val="Quote"/>
    <w:basedOn w:val="a0"/>
    <w:next w:val="a0"/>
    <w:link w:val="aff3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3">
    <w:name w:val="引用 字符"/>
    <w:basedOn w:val="a1"/>
    <w:link w:val="aff2"/>
    <w:uiPriority w:val="29"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4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af6">
    <w:name w:val="标题 字符"/>
    <w:basedOn w:val="a1"/>
    <w:link w:val="af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5"/>
    <w:next w:val="af5"/>
    <w:qFormat/>
    <w:pPr>
      <w:spacing w:after="120"/>
    </w:pPr>
    <w:rPr>
      <w:i/>
    </w:rPr>
  </w:style>
  <w:style w:type="paragraph" w:customStyle="1" w:styleId="15">
    <w:name w:val="修订1"/>
    <w:hidden/>
    <w:uiPriority w:val="99"/>
    <w:semiHidden/>
    <w:rPr>
      <w:rFonts w:ascii="Times New Roman" w:hAnsi="Times New Roman"/>
      <w:sz w:val="24"/>
      <w:szCs w:val="22"/>
      <w:lang w:eastAsia="en-US"/>
    </w:rPr>
  </w:style>
  <w:style w:type="paragraph" w:customStyle="1" w:styleId="Tablecaption">
    <w:name w:val="Table caption"/>
    <w:basedOn w:val="a0"/>
    <w:pPr>
      <w:pageBreakBefore/>
      <w:widowControl w:val="0"/>
      <w:autoSpaceDE w:val="0"/>
      <w:autoSpaceDN w:val="0"/>
      <w:adjustRightInd w:val="0"/>
      <w:spacing w:before="240" w:after="0" w:line="480" w:lineRule="auto"/>
      <w:jc w:val="both"/>
    </w:pPr>
    <w:rPr>
      <w:rFonts w:eastAsia="宋体" w:cs="Times New Roman"/>
      <w:szCs w:val="24"/>
    </w:rPr>
  </w:style>
  <w:style w:type="table" w:customStyle="1" w:styleId="21">
    <w:name w:val="无格式表格 21"/>
    <w:basedOn w:val="a2"/>
    <w:uiPriority w:val="42"/>
    <w:qFormat/>
    <w:rPr>
      <w:rFonts w:ascii="等线" w:eastAsia="等线" w:hAnsi="等线" w:cs="Times New Roman"/>
    </w:rPr>
    <w:tblPr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paragraph" w:customStyle="1" w:styleId="aff4">
    <w:name w:val="图片"/>
    <w:basedOn w:val="a0"/>
    <w:link w:val="aff5"/>
    <w:qFormat/>
    <w:pPr>
      <w:widowControl w:val="0"/>
      <w:spacing w:before="0" w:after="0" w:line="360" w:lineRule="auto"/>
      <w:jc w:val="center"/>
    </w:pPr>
    <w:rPr>
      <w:rFonts w:eastAsia="宋体" w:cs="Times New Roman"/>
      <w:kern w:val="2"/>
      <w:szCs w:val="24"/>
      <w:lang w:eastAsia="zh-CN"/>
    </w:rPr>
  </w:style>
  <w:style w:type="character" w:customStyle="1" w:styleId="aff5">
    <w:name w:val="图片 字符"/>
    <w:link w:val="aff4"/>
    <w:qFormat/>
    <w:rPr>
      <w:rFonts w:ascii="Times New Roman" w:eastAsia="宋体" w:hAnsi="Times New Roman" w:cs="Times New Roman"/>
      <w:kern w:val="2"/>
      <w:sz w:val="24"/>
      <w:szCs w:val="24"/>
      <w:lang w:eastAsia="zh-CN"/>
    </w:rPr>
  </w:style>
  <w:style w:type="character" w:customStyle="1" w:styleId="16">
    <w:name w:val="未处理的提及1"/>
    <w:basedOn w:val="a1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mailto:chenglij@mail.iap.ac.cn" TargetMode="External"/><Relationship Id="rId18" Type="http://schemas.openxmlformats.org/officeDocument/2006/relationships/image" Target="media/image5.tiff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tiff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1.tiff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23" Type="http://schemas.openxmlformats.org/officeDocument/2006/relationships/image" Target="media/image10.tiff"/><Relationship Id="rId28" Type="http://schemas.openxmlformats.org/officeDocument/2006/relationships/header" Target="header2.xml"/><Relationship Id="rId10" Type="http://schemas.openxmlformats.org/officeDocument/2006/relationships/webSettings" Target="webSettings.xml"/><Relationship Id="rId19" Type="http://schemas.openxmlformats.org/officeDocument/2006/relationships/image" Target="media/image6.tiff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1.png"/><Relationship Id="rId22" Type="http://schemas.openxmlformats.org/officeDocument/2006/relationships/image" Target="media/image9.tiff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6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3</TotalTime>
  <Pages>12</Pages>
  <Words>797</Words>
  <Characters>4546</Characters>
  <Application>Microsoft Office Word</Application>
  <DocSecurity>0</DocSecurity>
  <Lines>37</Lines>
  <Paragraphs>10</Paragraphs>
  <ScaleCrop>false</ScaleCrop>
  <Company/>
  <LinksUpToDate>false</LinksUpToDate>
  <CharactersWithSpaces>5333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</dc:creator>
  <cp:lastModifiedBy>Li Michael</cp:lastModifiedBy>
  <cp:revision>13</cp:revision>
  <cp:lastPrinted>2013-10-03T12:51:00Z</cp:lastPrinted>
  <dcterms:created xsi:type="dcterms:W3CDTF">2023-01-19T18:43:00Z</dcterms:created>
  <dcterms:modified xsi:type="dcterms:W3CDTF">2023-03-19T08:24:00Z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ProductBuildVer">
    <vt:lpwstr>2052-11.1.0.13703</vt:lpwstr>
  </property>
  <property fmtid="{D5CDD505-2E9C-101B-9397-08002B2CF9AE}" pid="11" name="ICV">
    <vt:lpwstr>CB75258EEAF94A1FB0D5E601298DDF6A</vt:lpwstr>
  </property>
</Properties>
</file>