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E6" w:rsidRPr="00B24002" w:rsidRDefault="000A59E6" w:rsidP="000A59E6">
      <w:pPr>
        <w:jc w:val="both"/>
        <w:rPr>
          <w:lang w:val="en-US"/>
        </w:rPr>
      </w:pPr>
      <w:r>
        <w:rPr>
          <w:b/>
          <w:bCs/>
          <w:lang w:val="en-US"/>
        </w:rPr>
        <w:t>Negative</w:t>
      </w:r>
      <w:r w:rsidRPr="00B24002">
        <w:rPr>
          <w:b/>
          <w:bCs/>
          <w:lang w:val="en-US"/>
        </w:rPr>
        <w:t xml:space="preserve"> sea level anomalies with extreme low tides in the </w:t>
      </w:r>
      <w:r>
        <w:rPr>
          <w:b/>
          <w:bCs/>
          <w:lang w:val="en-US"/>
        </w:rPr>
        <w:t>s</w:t>
      </w:r>
      <w:r w:rsidRPr="00B24002">
        <w:rPr>
          <w:b/>
          <w:bCs/>
          <w:lang w:val="en-US"/>
        </w:rPr>
        <w:t>outh-</w:t>
      </w:r>
      <w:r>
        <w:rPr>
          <w:b/>
          <w:bCs/>
          <w:lang w:val="en-US"/>
        </w:rPr>
        <w:t>w</w:t>
      </w:r>
      <w:r w:rsidRPr="00B24002">
        <w:rPr>
          <w:b/>
          <w:bCs/>
          <w:lang w:val="en-US"/>
        </w:rPr>
        <w:t>est Indian Ocean shape Reunion Island</w:t>
      </w:r>
      <w:r>
        <w:rPr>
          <w:b/>
          <w:bCs/>
          <w:lang w:val="en-US"/>
        </w:rPr>
        <w:t>’s</w:t>
      </w:r>
      <w:r w:rsidRPr="00B24002">
        <w:rPr>
          <w:b/>
          <w:bCs/>
          <w:lang w:val="en-US"/>
        </w:rPr>
        <w:t xml:space="preserve"> fringing coral reef flats </w:t>
      </w:r>
    </w:p>
    <w:p w:rsidR="000A59E6" w:rsidRDefault="000A59E6" w:rsidP="000A59E6">
      <w:pPr>
        <w:jc w:val="both"/>
        <w:rPr>
          <w:lang w:val="en-US"/>
        </w:rPr>
      </w:pPr>
    </w:p>
    <w:p w:rsidR="000A59E6" w:rsidRPr="00BC63D4" w:rsidRDefault="000A59E6" w:rsidP="000A59E6">
      <w:pPr>
        <w:jc w:val="both"/>
        <w:rPr>
          <w:b/>
          <w:lang w:val="en-US"/>
        </w:rPr>
      </w:pPr>
      <w:r w:rsidRPr="00BC63D4">
        <w:rPr>
          <w:b/>
          <w:lang w:val="en-US"/>
        </w:rPr>
        <w:t xml:space="preserve">Names of authors: </w:t>
      </w:r>
    </w:p>
    <w:p w:rsidR="000A59E6" w:rsidRPr="0056203B" w:rsidRDefault="000A59E6" w:rsidP="000A59E6">
      <w:pPr>
        <w:jc w:val="both"/>
        <w:rPr>
          <w:lang w:val="en-US"/>
        </w:rPr>
      </w:pPr>
      <w:r w:rsidRPr="0056203B">
        <w:rPr>
          <w:lang w:val="en-US"/>
        </w:rPr>
        <w:t>Ludovic Hoarau</w:t>
      </w:r>
      <w:r w:rsidRPr="0056203B">
        <w:rPr>
          <w:vertAlign w:val="superscript"/>
          <w:lang w:val="en-US"/>
        </w:rPr>
        <w:t>1,2,3,*</w:t>
      </w:r>
      <w:r w:rsidRPr="0056203B">
        <w:rPr>
          <w:lang w:val="en-US"/>
        </w:rPr>
        <w:t>, Pascal Mouquet</w:t>
      </w:r>
      <w:r w:rsidRPr="0056203B">
        <w:rPr>
          <w:vertAlign w:val="superscript"/>
          <w:lang w:val="en-US"/>
        </w:rPr>
        <w:t>4,*</w:t>
      </w:r>
      <w:r w:rsidRPr="0056203B">
        <w:rPr>
          <w:lang w:val="en-US"/>
        </w:rPr>
        <w:t>, Michel Ropert</w:t>
      </w:r>
      <w:r w:rsidRPr="0056203B">
        <w:rPr>
          <w:vertAlign w:val="superscript"/>
          <w:lang w:val="en-US"/>
        </w:rPr>
        <w:t>5</w:t>
      </w:r>
      <w:r w:rsidRPr="0056203B">
        <w:rPr>
          <w:lang w:val="en-US"/>
        </w:rPr>
        <w:t>, Alexis Cuvillier</w:t>
      </w:r>
      <w:r w:rsidRPr="0056203B">
        <w:rPr>
          <w:vertAlign w:val="superscript"/>
          <w:lang w:val="en-US"/>
        </w:rPr>
        <w:t>1,3</w:t>
      </w:r>
      <w:r w:rsidRPr="0056203B">
        <w:rPr>
          <w:lang w:val="en-US"/>
        </w:rPr>
        <w:t>, Lola Massé</w:t>
      </w:r>
      <w:r w:rsidRPr="0056203B">
        <w:rPr>
          <w:vertAlign w:val="superscript"/>
          <w:lang w:val="en-US"/>
        </w:rPr>
        <w:t>6,7</w:t>
      </w:r>
      <w:r w:rsidRPr="0056203B">
        <w:rPr>
          <w:lang w:val="en-US"/>
        </w:rPr>
        <w:t>, Sylvain Bonhommeau</w:t>
      </w:r>
      <w:r w:rsidRPr="0056203B">
        <w:rPr>
          <w:vertAlign w:val="superscript"/>
          <w:lang w:val="en-US"/>
        </w:rPr>
        <w:t>2</w:t>
      </w:r>
      <w:r w:rsidRPr="0056203B">
        <w:rPr>
          <w:lang w:val="en-US"/>
        </w:rPr>
        <w:t>, Lionel Bigot</w:t>
      </w:r>
      <w:r w:rsidRPr="0056203B">
        <w:rPr>
          <w:vertAlign w:val="superscript"/>
          <w:lang w:val="en-US"/>
        </w:rPr>
        <w:t>3</w:t>
      </w:r>
      <w:r w:rsidRPr="0056203B">
        <w:rPr>
          <w:lang w:val="en-US"/>
        </w:rPr>
        <w:t xml:space="preserve">, </w:t>
      </w:r>
      <w:r w:rsidR="0056203B" w:rsidRPr="0056203B">
        <w:rPr>
          <w:lang w:val="en-US"/>
        </w:rPr>
        <w:t>Bruce Cauvin</w:t>
      </w:r>
      <w:r w:rsidR="0056203B" w:rsidRPr="0056203B">
        <w:rPr>
          <w:vertAlign w:val="superscript"/>
          <w:lang w:val="en-US"/>
        </w:rPr>
        <w:t>7</w:t>
      </w:r>
      <w:r w:rsidR="0056203B">
        <w:rPr>
          <w:lang w:val="en-US"/>
        </w:rPr>
        <w:t xml:space="preserve">, </w:t>
      </w:r>
      <w:bookmarkStart w:id="0" w:name="_GoBack"/>
      <w:bookmarkEnd w:id="0"/>
      <w:r w:rsidRPr="0056203B">
        <w:rPr>
          <w:lang w:val="en-US"/>
        </w:rPr>
        <w:t>Karine Pothin</w:t>
      </w:r>
      <w:r w:rsidRPr="0056203B">
        <w:rPr>
          <w:vertAlign w:val="superscript"/>
          <w:lang w:val="en-US"/>
        </w:rPr>
        <w:t>7</w:t>
      </w:r>
      <w:r w:rsidRPr="0056203B">
        <w:rPr>
          <w:lang w:val="en-US"/>
        </w:rPr>
        <w:t xml:space="preserve">, </w:t>
      </w:r>
      <w:proofErr w:type="spellStart"/>
      <w:r w:rsidRPr="0056203B">
        <w:rPr>
          <w:lang w:val="en-US"/>
        </w:rPr>
        <w:t>Touria</w:t>
      </w:r>
      <w:proofErr w:type="spellEnd"/>
      <w:r w:rsidRPr="0056203B">
        <w:rPr>
          <w:lang w:val="en-US"/>
        </w:rPr>
        <w:t xml:space="preserve"> Bajjouk</w:t>
      </w:r>
      <w:r w:rsidRPr="0056203B">
        <w:rPr>
          <w:vertAlign w:val="superscript"/>
          <w:lang w:val="en-US"/>
        </w:rPr>
        <w:t>8</w:t>
      </w:r>
      <w:r w:rsidRPr="0056203B">
        <w:rPr>
          <w:lang w:val="en-US"/>
        </w:rPr>
        <w:t xml:space="preserve"> </w:t>
      </w:r>
    </w:p>
    <w:p w:rsidR="000A59E6" w:rsidRPr="0056203B" w:rsidRDefault="000A59E6" w:rsidP="000A59E6">
      <w:pPr>
        <w:jc w:val="both"/>
        <w:rPr>
          <w:lang w:val="en-US"/>
        </w:rPr>
      </w:pPr>
    </w:p>
    <w:p w:rsidR="000A59E6" w:rsidRPr="00BC63D4" w:rsidRDefault="000A59E6" w:rsidP="000A59E6">
      <w:pPr>
        <w:jc w:val="both"/>
        <w:rPr>
          <w:b/>
          <w:lang w:val="en-US"/>
        </w:rPr>
      </w:pPr>
      <w:r w:rsidRPr="00BC63D4">
        <w:rPr>
          <w:b/>
          <w:lang w:val="en-US"/>
        </w:rPr>
        <w:t>Affiliations and addresses of authors</w:t>
      </w:r>
      <w:r>
        <w:rPr>
          <w:b/>
          <w:lang w:val="en-US"/>
        </w:rPr>
        <w:t>:</w:t>
      </w:r>
      <w:r w:rsidRPr="00BC63D4">
        <w:rPr>
          <w:b/>
          <w:lang w:val="en-US"/>
        </w:rPr>
        <w:t xml:space="preserve"> </w:t>
      </w:r>
    </w:p>
    <w:p w:rsidR="000A59E6" w:rsidRDefault="000A59E6" w:rsidP="000A59E6">
      <w:pPr>
        <w:jc w:val="both"/>
      </w:pPr>
      <w:r w:rsidRPr="009964D0">
        <w:rPr>
          <w:vertAlign w:val="superscript"/>
        </w:rPr>
        <w:t>1</w:t>
      </w:r>
      <w:r w:rsidRPr="009964D0">
        <w:t xml:space="preserve"> 3</w:t>
      </w:r>
      <w:proofErr w:type="gramStart"/>
      <w:r w:rsidRPr="009964D0">
        <w:t>R:</w:t>
      </w:r>
      <w:proofErr w:type="gramEnd"/>
      <w:r w:rsidRPr="009964D0">
        <w:t xml:space="preserve"> </w:t>
      </w:r>
      <w:proofErr w:type="spellStart"/>
      <w:r w:rsidRPr="009964D0">
        <w:t>Rehabilitation</w:t>
      </w:r>
      <w:proofErr w:type="spellEnd"/>
      <w:r w:rsidRPr="009964D0">
        <w:t xml:space="preserve"> of </w:t>
      </w:r>
      <w:proofErr w:type="spellStart"/>
      <w:r w:rsidRPr="009964D0">
        <w:t>Reunion</w:t>
      </w:r>
      <w:proofErr w:type="spellEnd"/>
      <w:r w:rsidRPr="009964D0">
        <w:t xml:space="preserve"> Island </w:t>
      </w:r>
      <w:proofErr w:type="spellStart"/>
      <w:r w:rsidRPr="009964D0">
        <w:t>Reef</w:t>
      </w:r>
      <w:proofErr w:type="spellEnd"/>
      <w:r w:rsidRPr="009964D0">
        <w:t xml:space="preserve">, Chemin </w:t>
      </w:r>
      <w:proofErr w:type="spellStart"/>
      <w:r w:rsidRPr="009964D0">
        <w:t>Lautret</w:t>
      </w:r>
      <w:proofErr w:type="spellEnd"/>
      <w:r w:rsidRPr="009964D0">
        <w:t>,</w:t>
      </w:r>
      <w:r>
        <w:t xml:space="preserve"> 97435,</w:t>
      </w:r>
      <w:r w:rsidRPr="009964D0">
        <w:t xml:space="preserve"> Saint-Gilles Les Hauts, La Réunion</w:t>
      </w:r>
      <w:r>
        <w:t>, France</w:t>
      </w:r>
    </w:p>
    <w:p w:rsidR="000A59E6" w:rsidRDefault="000A59E6" w:rsidP="000A59E6">
      <w:pPr>
        <w:jc w:val="both"/>
      </w:pPr>
      <w:r>
        <w:rPr>
          <w:vertAlign w:val="superscript"/>
        </w:rPr>
        <w:t>2</w:t>
      </w:r>
      <w:r w:rsidRPr="009964D0">
        <w:t xml:space="preserve"> </w:t>
      </w:r>
      <w:r>
        <w:t xml:space="preserve">IFREMER Délégation Océan Indien, Rue Jean </w:t>
      </w:r>
      <w:proofErr w:type="spellStart"/>
      <w:r>
        <w:t>Bertho</w:t>
      </w:r>
      <w:proofErr w:type="spellEnd"/>
      <w:r>
        <w:t>, 97822, Le Port, La Réunion, France</w:t>
      </w:r>
    </w:p>
    <w:p w:rsidR="000A59E6" w:rsidRPr="009964D0" w:rsidRDefault="000A59E6" w:rsidP="000A59E6">
      <w:pPr>
        <w:jc w:val="both"/>
      </w:pPr>
      <w:r>
        <w:rPr>
          <w:vertAlign w:val="superscript"/>
        </w:rPr>
        <w:t>3</w:t>
      </w:r>
      <w:r w:rsidRPr="005B10BA">
        <w:t xml:space="preserve"> </w:t>
      </w:r>
      <w:r>
        <w:t>UMR 9220 ENTROPIE, Université de La Réunion, IRD, CNRS, Laboratoire d’Excellence CORAIL, BP 7151, 97715 Saint-Denis Cedex 9, La Réunion, France</w:t>
      </w:r>
    </w:p>
    <w:p w:rsidR="000A59E6" w:rsidRPr="009964D0" w:rsidRDefault="000A59E6" w:rsidP="000A59E6">
      <w:r>
        <w:rPr>
          <w:vertAlign w:val="superscript"/>
        </w:rPr>
        <w:t>4</w:t>
      </w:r>
      <w:r>
        <w:t xml:space="preserve"> Espace-Dev, IRD, Université de Montpellier, Université de Guyane, Université de La Réunion, Université des Antilles, Université de la Nouvelle Calédonie, Saint-Denis, La Réunion, France</w:t>
      </w:r>
    </w:p>
    <w:p w:rsidR="000A59E6" w:rsidRDefault="000A59E6" w:rsidP="000A59E6">
      <w:pPr>
        <w:jc w:val="both"/>
      </w:pPr>
      <w:r>
        <w:rPr>
          <w:vertAlign w:val="superscript"/>
        </w:rPr>
        <w:t>5</w:t>
      </w:r>
      <w:r w:rsidRPr="007F4045">
        <w:rPr>
          <w:rFonts w:ascii="Helvetica" w:hAnsi="Helvetica"/>
        </w:rPr>
        <w:t xml:space="preserve"> </w:t>
      </w:r>
      <w:r>
        <w:t>IFREMER</w:t>
      </w:r>
      <w:r w:rsidRPr="007F4045">
        <w:t xml:space="preserve"> LER/N,</w:t>
      </w:r>
      <w:r>
        <w:t xml:space="preserve"> </w:t>
      </w:r>
      <w:r w:rsidRPr="007F4045">
        <w:t>Av</w:t>
      </w:r>
      <w:r>
        <w:t>enue</w:t>
      </w:r>
      <w:r w:rsidRPr="007F4045">
        <w:t xml:space="preserve"> du Général de Gaulle - BP 32 - 14520 Port en Bessin</w:t>
      </w:r>
      <w:r>
        <w:t>, France</w:t>
      </w:r>
    </w:p>
    <w:p w:rsidR="000A59E6" w:rsidRDefault="000A59E6" w:rsidP="000A59E6">
      <w:pPr>
        <w:jc w:val="both"/>
      </w:pPr>
      <w:r w:rsidRPr="005B10BA">
        <w:rPr>
          <w:vertAlign w:val="superscript"/>
        </w:rPr>
        <w:t>6</w:t>
      </w:r>
      <w:r>
        <w:t xml:space="preserve"> IRD La Réunion, CS 41095, 2 rue Joseph </w:t>
      </w:r>
      <w:proofErr w:type="spellStart"/>
      <w:r>
        <w:t>Wetzell</w:t>
      </w:r>
      <w:proofErr w:type="spellEnd"/>
      <w:r>
        <w:t>, Parc Technologique Universitaire, 97435 Sainte-Clotilde, La Réunion, France</w:t>
      </w:r>
    </w:p>
    <w:p w:rsidR="000A59E6" w:rsidRPr="007F4045" w:rsidRDefault="000A59E6" w:rsidP="000A59E6">
      <w:pPr>
        <w:jc w:val="both"/>
      </w:pPr>
      <w:r>
        <w:rPr>
          <w:vertAlign w:val="superscript"/>
        </w:rPr>
        <w:t>7</w:t>
      </w:r>
      <w:r w:rsidRPr="007F4045">
        <w:t xml:space="preserve"> GIP Réserve Nationale Marine de La Réunion</w:t>
      </w:r>
      <w:r>
        <w:t xml:space="preserve">, 39 Rue du Lagon, </w:t>
      </w:r>
      <w:proofErr w:type="spellStart"/>
      <w:r>
        <w:t>Dayot</w:t>
      </w:r>
      <w:proofErr w:type="spellEnd"/>
      <w:r>
        <w:t xml:space="preserve"> 1, 97434 La </w:t>
      </w:r>
      <w:proofErr w:type="spellStart"/>
      <w:r>
        <w:t>Saline-les-Bains</w:t>
      </w:r>
      <w:proofErr w:type="spellEnd"/>
      <w:r>
        <w:t>, La Réunion, France</w:t>
      </w:r>
    </w:p>
    <w:p w:rsidR="000A59E6" w:rsidRPr="007F4045" w:rsidRDefault="000A59E6" w:rsidP="000A59E6">
      <w:pPr>
        <w:jc w:val="both"/>
      </w:pPr>
      <w:r>
        <w:rPr>
          <w:vertAlign w:val="superscript"/>
        </w:rPr>
        <w:t>8</w:t>
      </w:r>
      <w:r>
        <w:t xml:space="preserve"> IFREMER Centre de Brest, DYNECO/LEBCO, BP 70, 29280 Plouzané, France</w:t>
      </w:r>
    </w:p>
    <w:p w:rsidR="000A59E6" w:rsidRPr="007F4045" w:rsidRDefault="000A59E6" w:rsidP="000A59E6"/>
    <w:p w:rsidR="000A59E6" w:rsidRDefault="000A59E6" w:rsidP="000A59E6">
      <w:pPr>
        <w:rPr>
          <w:lang w:val="en-US"/>
        </w:rPr>
      </w:pPr>
      <w:r w:rsidRPr="00630842">
        <w:rPr>
          <w:b/>
          <w:lang w:val="en-US"/>
        </w:rPr>
        <w:t xml:space="preserve">Email address </w:t>
      </w:r>
      <w:r w:rsidRPr="00851E20">
        <w:rPr>
          <w:b/>
          <w:lang w:val="en-US"/>
        </w:rPr>
        <w:t xml:space="preserve">and telephone </w:t>
      </w:r>
      <w:r w:rsidRPr="00BD628C">
        <w:rPr>
          <w:b/>
          <w:lang w:val="en-US"/>
        </w:rPr>
        <w:t xml:space="preserve">number </w:t>
      </w:r>
      <w:r w:rsidRPr="00851E20">
        <w:rPr>
          <w:b/>
          <w:lang w:val="en-US"/>
        </w:rPr>
        <w:t>of communicating author:</w:t>
      </w:r>
      <w:r w:rsidRPr="00630842">
        <w:rPr>
          <w:b/>
          <w:lang w:val="en-US"/>
        </w:rPr>
        <w:t xml:space="preserve"> </w:t>
      </w:r>
      <w:hyperlink r:id="rId8" w:history="1">
        <w:r w:rsidRPr="006E25BB">
          <w:rPr>
            <w:rStyle w:val="Lienhypertexte"/>
            <w:lang w:val="en-US"/>
          </w:rPr>
          <w:t>ludovic.remy.hoarau@gmail.com</w:t>
        </w:r>
      </w:hyperlink>
      <w:r>
        <w:rPr>
          <w:lang w:val="en-US"/>
        </w:rPr>
        <w:t xml:space="preserve"> or </w:t>
      </w:r>
      <w:hyperlink r:id="rId9" w:history="1">
        <w:r w:rsidR="0056203B" w:rsidRPr="00656678">
          <w:rPr>
            <w:rStyle w:val="Lienhypertexte"/>
            <w:lang w:val="en-US"/>
          </w:rPr>
          <w:t>ludovic.hoarau@univ-reunion.fr</w:t>
        </w:r>
      </w:hyperlink>
      <w:r>
        <w:rPr>
          <w:lang w:val="en-US"/>
        </w:rPr>
        <w:t xml:space="preserve"> </w:t>
      </w:r>
    </w:p>
    <w:p w:rsidR="000A59E6" w:rsidRPr="00A72B1C" w:rsidRDefault="000A59E6" w:rsidP="000A59E6">
      <w:pPr>
        <w:rPr>
          <w:lang w:val="en-US"/>
        </w:rPr>
      </w:pPr>
      <w:r w:rsidRPr="00A72B1C">
        <w:rPr>
          <w:lang w:val="en-US"/>
        </w:rPr>
        <w:t xml:space="preserve">* Both authors contributed equally to this research </w:t>
      </w:r>
    </w:p>
    <w:p w:rsidR="009479FD" w:rsidRPr="00F8225B" w:rsidRDefault="009479FD" w:rsidP="009479FD">
      <w:pPr>
        <w:spacing w:line="480" w:lineRule="auto"/>
        <w:jc w:val="both"/>
        <w:rPr>
          <w:b/>
          <w:bCs/>
          <w:lang w:val="en-US"/>
        </w:rPr>
      </w:pPr>
    </w:p>
    <w:p w:rsidR="009479FD" w:rsidRPr="00B24002" w:rsidRDefault="009479FD" w:rsidP="009479FD">
      <w:pPr>
        <w:spacing w:line="480" w:lineRule="auto"/>
        <w:jc w:val="both"/>
        <w:rPr>
          <w:lang w:val="en-US"/>
        </w:rPr>
      </w:pPr>
      <w:r w:rsidRPr="00B24002">
        <w:rPr>
          <w:b/>
          <w:bCs/>
          <w:sz w:val="36"/>
          <w:szCs w:val="36"/>
          <w:lang w:val="en-US"/>
        </w:rPr>
        <w:t xml:space="preserve">Electronic </w:t>
      </w:r>
      <w:r>
        <w:rPr>
          <w:b/>
          <w:bCs/>
          <w:sz w:val="36"/>
          <w:szCs w:val="36"/>
          <w:lang w:val="en-US"/>
        </w:rPr>
        <w:t>S</w:t>
      </w:r>
      <w:r w:rsidRPr="00B24002">
        <w:rPr>
          <w:b/>
          <w:bCs/>
          <w:sz w:val="36"/>
          <w:szCs w:val="36"/>
          <w:lang w:val="en-US"/>
        </w:rPr>
        <w:t xml:space="preserve">upplementary </w:t>
      </w:r>
      <w:r>
        <w:rPr>
          <w:b/>
          <w:bCs/>
          <w:sz w:val="36"/>
          <w:szCs w:val="36"/>
          <w:lang w:val="en-US"/>
        </w:rPr>
        <w:t>M</w:t>
      </w:r>
      <w:r w:rsidRPr="00B24002">
        <w:rPr>
          <w:b/>
          <w:bCs/>
          <w:sz w:val="36"/>
          <w:szCs w:val="36"/>
          <w:lang w:val="en-US"/>
        </w:rPr>
        <w:t>aterial (ESM)</w:t>
      </w:r>
    </w:p>
    <w:p w:rsidR="009479FD" w:rsidRPr="00AC098B" w:rsidRDefault="009479FD" w:rsidP="00427B94">
      <w:pPr>
        <w:keepNext/>
        <w:keepLines/>
        <w:jc w:val="both"/>
        <w:rPr>
          <w:lang w:val="en-US"/>
        </w:rPr>
      </w:pPr>
      <w:r w:rsidRPr="00AC098B">
        <w:rPr>
          <w:b/>
          <w:bCs/>
          <w:lang w:val="en-US"/>
        </w:rPr>
        <w:lastRenderedPageBreak/>
        <w:t xml:space="preserve">Table </w:t>
      </w:r>
      <w:r w:rsidR="002F7DE2" w:rsidRPr="00AC098B">
        <w:rPr>
          <w:b/>
          <w:bCs/>
          <w:lang w:val="en-US"/>
        </w:rPr>
        <w:t>S</w:t>
      </w:r>
      <w:r w:rsidRPr="00AC098B">
        <w:rPr>
          <w:b/>
          <w:bCs/>
          <w:lang w:val="en-US"/>
        </w:rPr>
        <w:t>1</w:t>
      </w:r>
      <w:r w:rsidRPr="00AC098B">
        <w:rPr>
          <w:lang w:val="en-US"/>
        </w:rPr>
        <w:t xml:space="preserve">: </w:t>
      </w:r>
      <w:r w:rsidR="00050B55" w:rsidRPr="00AC098B">
        <w:rPr>
          <w:lang w:val="en-US"/>
        </w:rPr>
        <w:t>Mean Depth</w:t>
      </w:r>
      <w:r w:rsidRPr="00AC098B">
        <w:rPr>
          <w:lang w:val="en-US"/>
        </w:rPr>
        <w:t xml:space="preserve"> and coral cover</w:t>
      </w:r>
      <w:r w:rsidR="00443B3E" w:rsidRPr="00AC098B">
        <w:rPr>
          <w:lang w:val="en-US"/>
        </w:rPr>
        <w:t xml:space="preserve"> (%) ± Standard Deviations (±SD)</w:t>
      </w:r>
      <w:r w:rsidRPr="00AC098B">
        <w:rPr>
          <w:lang w:val="en-US"/>
        </w:rPr>
        <w:t xml:space="preserve"> before and after the 2015 nSLA event </w:t>
      </w:r>
      <w:r w:rsidR="00050B55" w:rsidRPr="00AC098B">
        <w:rPr>
          <w:lang w:val="en-US"/>
        </w:rPr>
        <w:t>at</w:t>
      </w:r>
      <w:r w:rsidRPr="00AC098B">
        <w:rPr>
          <w:lang w:val="en-US"/>
        </w:rPr>
        <w:t xml:space="preserve"> ten </w:t>
      </w:r>
      <w:r w:rsidR="00050B55" w:rsidRPr="00AC098B">
        <w:rPr>
          <w:lang w:val="en-US"/>
        </w:rPr>
        <w:t>shallow coral reef</w:t>
      </w:r>
      <w:r w:rsidRPr="00AC098B">
        <w:rPr>
          <w:lang w:val="en-US"/>
        </w:rPr>
        <w:t xml:space="preserve"> sites. </w:t>
      </w:r>
    </w:p>
    <w:p w:rsidR="00F8225B" w:rsidRPr="00B24002" w:rsidRDefault="00F8225B" w:rsidP="00427B94">
      <w:pPr>
        <w:keepNext/>
        <w:keepLines/>
        <w:jc w:val="both"/>
        <w:rPr>
          <w:lang w:val="en-US"/>
        </w:rPr>
      </w:pP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18"/>
        <w:gridCol w:w="1383"/>
        <w:gridCol w:w="1391"/>
        <w:gridCol w:w="1931"/>
        <w:gridCol w:w="1922"/>
      </w:tblGrid>
      <w:tr w:rsidR="009479FD" w:rsidRPr="0056203B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proofErr w:type="spellStart"/>
            <w:r w:rsidRPr="00B24002">
              <w:rPr>
                <w:sz w:val="22"/>
                <w:szCs w:val="22"/>
              </w:rPr>
              <w:t>Study</w:t>
            </w:r>
            <w:proofErr w:type="spellEnd"/>
            <w:r w:rsidRPr="00B24002">
              <w:rPr>
                <w:sz w:val="22"/>
                <w:szCs w:val="22"/>
              </w:rPr>
              <w:t xml:space="preserve"> site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 xml:space="preserve"> </w:t>
            </w:r>
            <w:proofErr w:type="spellStart"/>
            <w:r w:rsidRPr="00B24002">
              <w:rPr>
                <w:sz w:val="22"/>
                <w:szCs w:val="22"/>
              </w:rPr>
              <w:t>Mean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depth</w:t>
            </w:r>
            <w:proofErr w:type="spellEnd"/>
            <w:r>
              <w:rPr>
                <w:sz w:val="22"/>
                <w:szCs w:val="22"/>
              </w:rPr>
              <w:t xml:space="preserve"> (m</w:t>
            </w:r>
            <w:r w:rsidRPr="00B24002">
              <w:rPr>
                <w:sz w:val="22"/>
                <w:szCs w:val="22"/>
              </w:rPr>
              <w:t xml:space="preserve"> ±SD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814C4A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814C4A">
              <w:rPr>
                <w:sz w:val="22"/>
                <w:szCs w:val="22"/>
                <w:lang w:val="en-US"/>
              </w:rPr>
              <w:t>Coral cover before nSLA (%</w:t>
            </w:r>
            <w:r w:rsidR="00814C4A">
              <w:rPr>
                <w:sz w:val="22"/>
                <w:szCs w:val="22"/>
                <w:lang w:val="en-US"/>
              </w:rPr>
              <w:t xml:space="preserve"> </w:t>
            </w:r>
            <w:r w:rsidR="00814C4A" w:rsidRPr="00814C4A">
              <w:rPr>
                <w:sz w:val="22"/>
                <w:szCs w:val="22"/>
                <w:lang w:val="en-US"/>
              </w:rPr>
              <w:t>±</w:t>
            </w:r>
            <w:r w:rsidR="006A073F">
              <w:rPr>
                <w:sz w:val="22"/>
                <w:szCs w:val="22"/>
                <w:lang w:val="en-US"/>
              </w:rPr>
              <w:t xml:space="preserve"> </w:t>
            </w:r>
            <w:r w:rsidR="00814C4A" w:rsidRPr="00814C4A">
              <w:rPr>
                <w:sz w:val="22"/>
                <w:szCs w:val="22"/>
                <w:lang w:val="en-US"/>
              </w:rPr>
              <w:t>SD</w:t>
            </w:r>
            <w:r w:rsidRPr="00814C4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814C4A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814C4A">
              <w:rPr>
                <w:sz w:val="22"/>
                <w:szCs w:val="22"/>
                <w:lang w:val="en-US"/>
              </w:rPr>
              <w:t>Coral cover after nSLA (%</w:t>
            </w:r>
            <w:r w:rsidR="00814C4A">
              <w:rPr>
                <w:sz w:val="22"/>
                <w:szCs w:val="22"/>
                <w:lang w:val="en-US"/>
              </w:rPr>
              <w:t xml:space="preserve"> </w:t>
            </w:r>
            <w:r w:rsidR="00814C4A" w:rsidRPr="00814C4A">
              <w:rPr>
                <w:sz w:val="22"/>
                <w:szCs w:val="22"/>
                <w:lang w:val="en-US"/>
              </w:rPr>
              <w:t>±</w:t>
            </w:r>
            <w:r w:rsidR="006A073F">
              <w:rPr>
                <w:sz w:val="22"/>
                <w:szCs w:val="22"/>
                <w:lang w:val="en-US"/>
              </w:rPr>
              <w:t xml:space="preserve"> </w:t>
            </w:r>
            <w:r w:rsidR="00814C4A" w:rsidRPr="00814C4A">
              <w:rPr>
                <w:sz w:val="22"/>
                <w:szCs w:val="22"/>
                <w:lang w:val="en-US"/>
              </w:rPr>
              <w:t>SD</w:t>
            </w:r>
            <w:r w:rsidRPr="00814C4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B24002">
              <w:rPr>
                <w:sz w:val="22"/>
                <w:szCs w:val="22"/>
                <w:lang w:val="en-US"/>
              </w:rPr>
              <w:t>Absolute coral cover variation ACCV (%</w:t>
            </w:r>
            <w:r w:rsidR="00AA3D82">
              <w:rPr>
                <w:sz w:val="22"/>
                <w:szCs w:val="22"/>
                <w:lang w:val="en-US"/>
              </w:rPr>
              <w:t xml:space="preserve"> </w:t>
            </w:r>
            <w:r w:rsidR="00AA3D82" w:rsidRPr="00814C4A">
              <w:rPr>
                <w:sz w:val="22"/>
                <w:szCs w:val="22"/>
                <w:lang w:val="en-US"/>
              </w:rPr>
              <w:t>±</w:t>
            </w:r>
            <w:r w:rsidR="006A073F">
              <w:rPr>
                <w:sz w:val="22"/>
                <w:szCs w:val="22"/>
                <w:lang w:val="en-US"/>
              </w:rPr>
              <w:t xml:space="preserve"> </w:t>
            </w:r>
            <w:r w:rsidR="00AA3D82" w:rsidRPr="00814C4A">
              <w:rPr>
                <w:sz w:val="22"/>
                <w:szCs w:val="22"/>
                <w:lang w:val="en-US"/>
              </w:rPr>
              <w:t>SD</w:t>
            </w:r>
            <w:r w:rsidRPr="00B2400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B24002">
              <w:rPr>
                <w:sz w:val="22"/>
                <w:szCs w:val="22"/>
                <w:lang w:val="en-US"/>
              </w:rPr>
              <w:t>Relative coral cover variation RCCV (</w:t>
            </w:r>
            <w:r w:rsidR="006A073F" w:rsidRPr="00B24002">
              <w:rPr>
                <w:sz w:val="22"/>
                <w:szCs w:val="22"/>
                <w:lang w:val="en-US"/>
              </w:rPr>
              <w:t>(%</w:t>
            </w:r>
            <w:r w:rsidR="006A073F">
              <w:rPr>
                <w:sz w:val="22"/>
                <w:szCs w:val="22"/>
                <w:lang w:val="en-US"/>
              </w:rPr>
              <w:t xml:space="preserve"> </w:t>
            </w:r>
            <w:r w:rsidR="006A073F" w:rsidRPr="00814C4A">
              <w:rPr>
                <w:sz w:val="22"/>
                <w:szCs w:val="22"/>
                <w:lang w:val="en-US"/>
              </w:rPr>
              <w:t>±</w:t>
            </w:r>
            <w:r w:rsidR="006A073F">
              <w:rPr>
                <w:sz w:val="22"/>
                <w:szCs w:val="22"/>
                <w:lang w:val="en-US"/>
              </w:rPr>
              <w:t xml:space="preserve"> </w:t>
            </w:r>
            <w:r w:rsidR="006A073F" w:rsidRPr="00814C4A">
              <w:rPr>
                <w:sz w:val="22"/>
                <w:szCs w:val="22"/>
                <w:lang w:val="en-US"/>
              </w:rPr>
              <w:t>SD</w:t>
            </w:r>
            <w:r w:rsidRPr="00B24002">
              <w:rPr>
                <w:sz w:val="22"/>
                <w:szCs w:val="22"/>
                <w:lang w:val="en-US"/>
              </w:rPr>
              <w:t>)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r w:rsidRPr="00B24002">
              <w:rPr>
                <w:sz w:val="22"/>
                <w:szCs w:val="22"/>
              </w:rPr>
              <w:t>PAP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806889" w:rsidP="00427B94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-</w:t>
            </w:r>
            <w:r w:rsidR="009479FD" w:rsidRPr="00B24002">
              <w:rPr>
                <w:sz w:val="22"/>
                <w:szCs w:val="22"/>
              </w:rPr>
              <w:t>0.36 ± 0.2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69.2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B51769">
              <w:rPr>
                <w:sz w:val="22"/>
                <w:szCs w:val="22"/>
              </w:rPr>
              <w:t xml:space="preserve"> </w:t>
            </w:r>
            <w:r w:rsidR="00443B3E">
              <w:rPr>
                <w:sz w:val="22"/>
                <w:szCs w:val="22"/>
              </w:rPr>
              <w:t>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36.3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16.6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-32.8</w:t>
            </w:r>
            <w:r w:rsidR="00392AB9">
              <w:rPr>
                <w:sz w:val="22"/>
                <w:szCs w:val="22"/>
              </w:rPr>
              <w:t xml:space="preserve"> </w:t>
            </w:r>
            <w:r w:rsidR="00392AB9" w:rsidRPr="00B24002">
              <w:rPr>
                <w:sz w:val="22"/>
                <w:szCs w:val="22"/>
              </w:rPr>
              <w:t>±</w:t>
            </w:r>
            <w:r w:rsidR="00AA3D82">
              <w:rPr>
                <w:sz w:val="22"/>
                <w:szCs w:val="22"/>
              </w:rPr>
              <w:t xml:space="preserve"> 9.6</w:t>
            </w:r>
            <w:r w:rsidR="005E748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</w:pPr>
            <w:r w:rsidRPr="004369E8">
              <w:rPr>
                <w:sz w:val="22"/>
                <w:szCs w:val="22"/>
              </w:rPr>
              <w:t>-47.5</w:t>
            </w:r>
            <w:r w:rsidR="00392AB9" w:rsidRPr="004369E8">
              <w:rPr>
                <w:sz w:val="22"/>
                <w:szCs w:val="22"/>
              </w:rPr>
              <w:t xml:space="preserve"> ±</w:t>
            </w:r>
            <w:r w:rsidR="005E7486" w:rsidRPr="004369E8">
              <w:rPr>
                <w:sz w:val="22"/>
                <w:szCs w:val="22"/>
              </w:rPr>
              <w:t xml:space="preserve"> 9.33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r w:rsidRPr="00B24002">
              <w:rPr>
                <w:sz w:val="22"/>
                <w:szCs w:val="22"/>
              </w:rPr>
              <w:t>3CP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806889" w:rsidP="00427B94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-</w:t>
            </w:r>
            <w:r w:rsidR="009479FD" w:rsidRPr="00B24002">
              <w:rPr>
                <w:sz w:val="22"/>
                <w:szCs w:val="22"/>
              </w:rPr>
              <w:t>0.40 ± 0.16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48.1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18.8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2.27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-29.3</w:t>
            </w:r>
            <w:r w:rsidR="00392AB9">
              <w:rPr>
                <w:sz w:val="22"/>
                <w:szCs w:val="22"/>
              </w:rPr>
              <w:t xml:space="preserve"> </w:t>
            </w:r>
            <w:r w:rsidR="00392AB9" w:rsidRPr="00B24002">
              <w:rPr>
                <w:sz w:val="22"/>
                <w:szCs w:val="22"/>
              </w:rPr>
              <w:t>±</w:t>
            </w:r>
            <w:r w:rsidR="00AA3D82">
              <w:rPr>
                <w:sz w:val="22"/>
                <w:szCs w:val="22"/>
              </w:rPr>
              <w:t xml:space="preserve"> 8.91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</w:pPr>
            <w:r w:rsidRPr="004369E8">
              <w:rPr>
                <w:sz w:val="22"/>
                <w:szCs w:val="22"/>
              </w:rPr>
              <w:t>-60.9</w:t>
            </w:r>
            <w:r w:rsidR="00392AB9" w:rsidRPr="004369E8">
              <w:rPr>
                <w:sz w:val="22"/>
                <w:szCs w:val="22"/>
              </w:rPr>
              <w:t xml:space="preserve"> ±</w:t>
            </w:r>
            <w:r w:rsidR="00586E62" w:rsidRPr="004369E8">
              <w:rPr>
                <w:sz w:val="22"/>
                <w:szCs w:val="22"/>
              </w:rPr>
              <w:t xml:space="preserve"> 13.3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r w:rsidRPr="00B24002">
              <w:rPr>
                <w:sz w:val="22"/>
                <w:szCs w:val="22"/>
              </w:rPr>
              <w:t>LCP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806889" w:rsidP="00427B94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-</w:t>
            </w:r>
            <w:r w:rsidR="009479FD" w:rsidRPr="00B24002">
              <w:rPr>
                <w:sz w:val="22"/>
                <w:szCs w:val="22"/>
              </w:rPr>
              <w:t>0.64 ± 0.15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35.6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17.4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30.2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F60A3B">
              <w:rPr>
                <w:sz w:val="22"/>
                <w:szCs w:val="22"/>
              </w:rPr>
              <w:t xml:space="preserve"> 9.21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-5.4</w:t>
            </w:r>
            <w:r w:rsidR="00392AB9">
              <w:rPr>
                <w:sz w:val="22"/>
                <w:szCs w:val="22"/>
              </w:rPr>
              <w:t xml:space="preserve"> </w:t>
            </w:r>
            <w:r w:rsidR="00392AB9" w:rsidRPr="00B24002">
              <w:rPr>
                <w:sz w:val="22"/>
                <w:szCs w:val="22"/>
              </w:rPr>
              <w:t>±</w:t>
            </w:r>
            <w:r w:rsidR="00AA3D82">
              <w:rPr>
                <w:sz w:val="22"/>
                <w:szCs w:val="22"/>
              </w:rPr>
              <w:t xml:space="preserve"> 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</w:pPr>
            <w:r w:rsidRPr="004369E8">
              <w:rPr>
                <w:sz w:val="22"/>
                <w:szCs w:val="22"/>
              </w:rPr>
              <w:t>-15.2</w:t>
            </w:r>
            <w:r w:rsidR="00392AB9" w:rsidRPr="004369E8">
              <w:rPr>
                <w:sz w:val="22"/>
                <w:szCs w:val="22"/>
              </w:rPr>
              <w:t xml:space="preserve"> ±</w:t>
            </w:r>
            <w:r w:rsidR="005B1C67" w:rsidRPr="004369E8">
              <w:rPr>
                <w:sz w:val="22"/>
                <w:szCs w:val="22"/>
              </w:rPr>
              <w:t xml:space="preserve"> 10.6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r w:rsidRPr="00B24002">
              <w:rPr>
                <w:sz w:val="22"/>
                <w:szCs w:val="22"/>
              </w:rPr>
              <w:t>LVP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806889" w:rsidP="00427B94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-</w:t>
            </w:r>
            <w:r w:rsidR="009479FD" w:rsidRPr="00B24002">
              <w:rPr>
                <w:sz w:val="22"/>
                <w:szCs w:val="22"/>
              </w:rPr>
              <w:t>0.58 ± 0.10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48.8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35.3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F60A3B">
              <w:rPr>
                <w:sz w:val="22"/>
                <w:szCs w:val="22"/>
              </w:rPr>
              <w:t xml:space="preserve"> 4.78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-13.5</w:t>
            </w:r>
            <w:r w:rsidR="00392AB9">
              <w:rPr>
                <w:sz w:val="22"/>
                <w:szCs w:val="22"/>
              </w:rPr>
              <w:t xml:space="preserve"> </w:t>
            </w:r>
            <w:r w:rsidR="00392AB9" w:rsidRPr="00B24002">
              <w:rPr>
                <w:sz w:val="22"/>
                <w:szCs w:val="22"/>
              </w:rPr>
              <w:t>±</w:t>
            </w:r>
            <w:r w:rsidR="00AA3D82">
              <w:rPr>
                <w:sz w:val="22"/>
                <w:szCs w:val="22"/>
              </w:rPr>
              <w:t xml:space="preserve"> 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</w:pPr>
            <w:r w:rsidRPr="004369E8">
              <w:rPr>
                <w:sz w:val="22"/>
                <w:szCs w:val="22"/>
              </w:rPr>
              <w:t>-27.7</w:t>
            </w:r>
            <w:r w:rsidR="00392AB9" w:rsidRPr="004369E8">
              <w:rPr>
                <w:sz w:val="22"/>
                <w:szCs w:val="22"/>
              </w:rPr>
              <w:t xml:space="preserve"> ±</w:t>
            </w:r>
            <w:r w:rsidR="005B1C67" w:rsidRPr="004369E8">
              <w:rPr>
                <w:sz w:val="22"/>
                <w:szCs w:val="22"/>
              </w:rPr>
              <w:t xml:space="preserve"> </w:t>
            </w:r>
            <w:r w:rsidR="00A80439" w:rsidRPr="004369E8">
              <w:rPr>
                <w:sz w:val="22"/>
                <w:szCs w:val="22"/>
              </w:rPr>
              <w:t>7.02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rPr>
                <w:i/>
              </w:rPr>
            </w:pPr>
            <w:r w:rsidRPr="005F1A42">
              <w:rPr>
                <w:i/>
                <w:sz w:val="22"/>
                <w:szCs w:val="22"/>
              </w:rPr>
              <w:t>ESP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806889" w:rsidP="00427B94">
            <w:pPr>
              <w:keepNext/>
              <w:keepLines/>
              <w:jc w:val="center"/>
              <w:rPr>
                <w:i/>
              </w:rPr>
            </w:pPr>
            <w:r w:rsidRPr="005F1A42">
              <w:rPr>
                <w:i/>
                <w:sz w:val="22"/>
                <w:szCs w:val="22"/>
              </w:rPr>
              <w:t>-</w:t>
            </w:r>
            <w:r w:rsidR="009479FD" w:rsidRPr="005F1A42">
              <w:rPr>
                <w:i/>
                <w:sz w:val="22"/>
                <w:szCs w:val="22"/>
              </w:rPr>
              <w:t>1.05 ± 0.20</w:t>
            </w:r>
            <w:r w:rsidR="00427B94" w:rsidRPr="005F1A4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i/>
              </w:rPr>
            </w:pPr>
            <w:r w:rsidRPr="005F1A42">
              <w:rPr>
                <w:i/>
                <w:sz w:val="22"/>
                <w:szCs w:val="22"/>
              </w:rPr>
              <w:t>50.0</w:t>
            </w:r>
            <w:r w:rsidR="009966B8" w:rsidRPr="005F1A42">
              <w:rPr>
                <w:i/>
                <w:sz w:val="22"/>
                <w:szCs w:val="22"/>
              </w:rPr>
              <w:t xml:space="preserve"> ±</w:t>
            </w:r>
            <w:r w:rsidR="00443B3E" w:rsidRPr="005F1A42">
              <w:rPr>
                <w:i/>
                <w:sz w:val="22"/>
                <w:szCs w:val="22"/>
              </w:rPr>
              <w:t xml:space="preserve"> 7.28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5F1A42" w:rsidRDefault="009479FD" w:rsidP="00427B94">
            <w:pPr>
              <w:keepNext/>
              <w:keepLines/>
              <w:jc w:val="center"/>
              <w:rPr>
                <w:i/>
              </w:rPr>
            </w:pPr>
            <w:r w:rsidRPr="005F1A42">
              <w:rPr>
                <w:i/>
                <w:sz w:val="22"/>
                <w:szCs w:val="22"/>
              </w:rPr>
              <w:t>23.9</w:t>
            </w:r>
            <w:r w:rsidR="009966B8" w:rsidRPr="005F1A42">
              <w:rPr>
                <w:i/>
                <w:sz w:val="22"/>
                <w:szCs w:val="22"/>
              </w:rPr>
              <w:t xml:space="preserve"> ±</w:t>
            </w:r>
            <w:r w:rsidR="00F60A3B" w:rsidRPr="005F1A42">
              <w:rPr>
                <w:i/>
                <w:sz w:val="22"/>
                <w:szCs w:val="22"/>
              </w:rPr>
              <w:t xml:space="preserve"> 3.39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5F1A42" w:rsidRDefault="009479FD" w:rsidP="00427B94">
            <w:pPr>
              <w:keepNext/>
              <w:keepLines/>
              <w:jc w:val="center"/>
              <w:rPr>
                <w:i/>
              </w:rPr>
            </w:pPr>
            <w:r w:rsidRPr="005F1A42">
              <w:rPr>
                <w:i/>
                <w:sz w:val="22"/>
                <w:szCs w:val="22"/>
              </w:rPr>
              <w:t>-26.1</w:t>
            </w:r>
            <w:r w:rsidR="00392AB9" w:rsidRPr="005F1A42">
              <w:rPr>
                <w:i/>
                <w:sz w:val="22"/>
                <w:szCs w:val="22"/>
              </w:rPr>
              <w:t xml:space="preserve"> ±</w:t>
            </w:r>
            <w:r w:rsidR="00AA3D82" w:rsidRPr="005F1A42">
              <w:rPr>
                <w:i/>
                <w:sz w:val="22"/>
                <w:szCs w:val="22"/>
              </w:rPr>
              <w:t xml:space="preserve"> 4.64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  <w:rPr>
                <w:i/>
              </w:rPr>
            </w:pPr>
            <w:r w:rsidRPr="004369E8">
              <w:rPr>
                <w:i/>
                <w:sz w:val="22"/>
                <w:szCs w:val="22"/>
              </w:rPr>
              <w:t>-52.2</w:t>
            </w:r>
            <w:r w:rsidR="00392AB9" w:rsidRPr="004369E8">
              <w:rPr>
                <w:i/>
                <w:sz w:val="22"/>
                <w:szCs w:val="22"/>
              </w:rPr>
              <w:t xml:space="preserve"> ±</w:t>
            </w:r>
            <w:r w:rsidR="00A80439" w:rsidRPr="004369E8">
              <w:rPr>
                <w:i/>
                <w:sz w:val="22"/>
                <w:szCs w:val="22"/>
              </w:rPr>
              <w:t xml:space="preserve"> 4.38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r w:rsidRPr="00B24002">
              <w:rPr>
                <w:sz w:val="22"/>
                <w:szCs w:val="22"/>
              </w:rPr>
              <w:t>RBP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0.01 ± 0.14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71.5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20.3</w:t>
            </w:r>
            <w:r w:rsidR="009966B8" w:rsidRPr="00B24002">
              <w:rPr>
                <w:sz w:val="22"/>
                <w:szCs w:val="22"/>
              </w:rPr>
              <w:t xml:space="preserve"> </w:t>
            </w:r>
            <w:r w:rsidR="00F60A3B">
              <w:rPr>
                <w:sz w:val="22"/>
                <w:szCs w:val="22"/>
              </w:rPr>
              <w:t>± 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-51.3</w:t>
            </w:r>
            <w:r w:rsidR="00392AB9">
              <w:rPr>
                <w:sz w:val="22"/>
                <w:szCs w:val="22"/>
              </w:rPr>
              <w:t xml:space="preserve"> </w:t>
            </w:r>
            <w:r w:rsidR="00392AB9" w:rsidRPr="00B24002">
              <w:rPr>
                <w:sz w:val="22"/>
                <w:szCs w:val="22"/>
              </w:rPr>
              <w:t>±</w:t>
            </w:r>
            <w:r w:rsidR="00AA3D82">
              <w:rPr>
                <w:sz w:val="22"/>
                <w:szCs w:val="22"/>
              </w:rPr>
              <w:t xml:space="preserve"> 9.05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</w:pPr>
            <w:r w:rsidRPr="004369E8">
              <w:rPr>
                <w:sz w:val="22"/>
                <w:szCs w:val="22"/>
              </w:rPr>
              <w:t>-71.6</w:t>
            </w:r>
            <w:r w:rsidR="00392AB9" w:rsidRPr="004369E8">
              <w:rPr>
                <w:sz w:val="22"/>
                <w:szCs w:val="22"/>
              </w:rPr>
              <w:t xml:space="preserve"> ±</w:t>
            </w:r>
            <w:r w:rsidR="006A073F" w:rsidRPr="004369E8">
              <w:rPr>
                <w:sz w:val="22"/>
                <w:szCs w:val="22"/>
              </w:rPr>
              <w:t xml:space="preserve"> 6.85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</w:pPr>
            <w:r w:rsidRPr="00B24002">
              <w:rPr>
                <w:sz w:val="22"/>
                <w:szCs w:val="22"/>
              </w:rPr>
              <w:t>APP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806889" w:rsidP="00427B94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-</w:t>
            </w:r>
            <w:r w:rsidR="009479FD" w:rsidRPr="00B24002">
              <w:rPr>
                <w:sz w:val="22"/>
                <w:szCs w:val="22"/>
              </w:rPr>
              <w:t>0.16 ± 0.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58.1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443B3E">
              <w:rPr>
                <w:sz w:val="22"/>
                <w:szCs w:val="22"/>
              </w:rPr>
              <w:t xml:space="preserve"> 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26.7</w:t>
            </w:r>
            <w:r w:rsidR="009966B8" w:rsidRPr="00B24002">
              <w:rPr>
                <w:sz w:val="22"/>
                <w:szCs w:val="22"/>
              </w:rPr>
              <w:t xml:space="preserve"> ±</w:t>
            </w:r>
            <w:r w:rsidR="00F60A3B">
              <w:rPr>
                <w:sz w:val="22"/>
                <w:szCs w:val="22"/>
              </w:rPr>
              <w:t xml:space="preserve"> 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B24002" w:rsidRDefault="009479FD" w:rsidP="00427B94">
            <w:pPr>
              <w:keepNext/>
              <w:keepLines/>
              <w:jc w:val="center"/>
            </w:pPr>
            <w:r w:rsidRPr="00B24002">
              <w:rPr>
                <w:sz w:val="22"/>
                <w:szCs w:val="22"/>
              </w:rPr>
              <w:t>-31.4</w:t>
            </w:r>
            <w:r w:rsidR="00392AB9">
              <w:rPr>
                <w:sz w:val="22"/>
                <w:szCs w:val="22"/>
              </w:rPr>
              <w:t xml:space="preserve"> </w:t>
            </w:r>
            <w:r w:rsidR="00392AB9" w:rsidRPr="00B24002">
              <w:rPr>
                <w:sz w:val="22"/>
                <w:szCs w:val="22"/>
              </w:rPr>
              <w:t>±</w:t>
            </w:r>
            <w:r w:rsidR="005D1EAE">
              <w:rPr>
                <w:sz w:val="22"/>
                <w:szCs w:val="22"/>
              </w:rPr>
              <w:t xml:space="preserve"> 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FD" w:rsidRPr="004369E8" w:rsidRDefault="009479FD" w:rsidP="00427B94">
            <w:pPr>
              <w:keepNext/>
              <w:keepLines/>
              <w:jc w:val="center"/>
            </w:pPr>
            <w:r w:rsidRPr="004369E8">
              <w:rPr>
                <w:sz w:val="22"/>
                <w:szCs w:val="22"/>
              </w:rPr>
              <w:t>-54.0</w:t>
            </w:r>
            <w:r w:rsidR="00392AB9" w:rsidRPr="004369E8">
              <w:rPr>
                <w:sz w:val="22"/>
                <w:szCs w:val="22"/>
              </w:rPr>
              <w:t xml:space="preserve"> ±</w:t>
            </w:r>
            <w:r w:rsidR="006A073F" w:rsidRPr="004369E8">
              <w:rPr>
                <w:sz w:val="22"/>
                <w:szCs w:val="22"/>
              </w:rPr>
              <w:t xml:space="preserve"> 5.69</w:t>
            </w:r>
          </w:p>
        </w:tc>
      </w:tr>
      <w:tr w:rsidR="009479FD" w:rsidRPr="005F1A4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5F1A42">
            <w:pPr>
              <w:keepNext/>
              <w:keepLines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Tr1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806889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9479FD" w:rsidRPr="005F1A42">
              <w:rPr>
                <w:sz w:val="22"/>
                <w:szCs w:val="22"/>
                <w:lang w:val="en-US"/>
              </w:rPr>
              <w:t>0.</w:t>
            </w:r>
            <w:r w:rsidRPr="005F1A42">
              <w:rPr>
                <w:sz w:val="22"/>
                <w:szCs w:val="22"/>
                <w:lang w:val="en-US"/>
              </w:rPr>
              <w:t>27</w:t>
            </w:r>
            <w:r w:rsidR="009479FD" w:rsidRPr="005F1A42">
              <w:rPr>
                <w:sz w:val="22"/>
                <w:szCs w:val="22"/>
                <w:lang w:val="en-US"/>
              </w:rPr>
              <w:t xml:space="preserve"> ± 0.</w:t>
            </w:r>
            <w:r w:rsidRPr="005F1A4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4</w:t>
            </w:r>
            <w:r w:rsidR="00806889" w:rsidRPr="005F1A42">
              <w:rPr>
                <w:sz w:val="22"/>
                <w:szCs w:val="22"/>
                <w:lang w:val="en-US"/>
              </w:rPr>
              <w:t>0</w:t>
            </w:r>
            <w:r w:rsidRPr="005F1A42">
              <w:rPr>
                <w:sz w:val="22"/>
                <w:szCs w:val="22"/>
                <w:lang w:val="en-US"/>
              </w:rPr>
              <w:t>.</w:t>
            </w:r>
            <w:r w:rsidR="00806889" w:rsidRPr="005F1A42">
              <w:rPr>
                <w:sz w:val="22"/>
                <w:szCs w:val="22"/>
                <w:lang w:val="en-US"/>
              </w:rPr>
              <w:t>0</w:t>
            </w:r>
            <w:r w:rsidR="009966B8" w:rsidRPr="005F1A42">
              <w:rPr>
                <w:sz w:val="22"/>
                <w:szCs w:val="22"/>
                <w:lang w:val="en-US"/>
              </w:rPr>
              <w:t xml:space="preserve"> 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="00806889" w:rsidRPr="005F1A42">
              <w:rPr>
                <w:sz w:val="22"/>
                <w:szCs w:val="22"/>
                <w:lang w:val="en-US"/>
              </w:rPr>
              <w:t>17.3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806889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16.2</w:t>
            </w:r>
            <w:r w:rsidR="009966B8" w:rsidRPr="005F1A42">
              <w:rPr>
                <w:sz w:val="22"/>
                <w:szCs w:val="22"/>
                <w:lang w:val="en-US"/>
              </w:rPr>
              <w:t xml:space="preserve"> 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Pr="005F1A42">
              <w:rPr>
                <w:sz w:val="22"/>
                <w:szCs w:val="22"/>
                <w:lang w:val="en-US"/>
              </w:rPr>
              <w:t>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A01F4F" w:rsidRPr="005F1A42">
              <w:rPr>
                <w:sz w:val="22"/>
                <w:szCs w:val="22"/>
                <w:lang w:val="en-US"/>
              </w:rPr>
              <w:t>23.8</w:t>
            </w:r>
            <w:r w:rsidR="00392AB9" w:rsidRPr="005F1A42">
              <w:rPr>
                <w:sz w:val="22"/>
                <w:szCs w:val="22"/>
                <w:lang w:val="en-US"/>
              </w:rPr>
              <w:t xml:space="preserve"> ±</w:t>
            </w:r>
            <w:r w:rsidR="00632FCA">
              <w:rPr>
                <w:sz w:val="22"/>
                <w:szCs w:val="22"/>
                <w:lang w:val="en-US"/>
              </w:rPr>
              <w:t xml:space="preserve"> </w:t>
            </w:r>
            <w:r w:rsidR="00A01F4F" w:rsidRPr="005F1A42">
              <w:rPr>
                <w:sz w:val="22"/>
                <w:szCs w:val="22"/>
                <w:lang w:val="en-US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A01F4F" w:rsidRPr="005F1A42">
              <w:rPr>
                <w:sz w:val="22"/>
                <w:szCs w:val="22"/>
                <w:lang w:val="en-US"/>
              </w:rPr>
              <w:t>62.9</w:t>
            </w:r>
            <w:r w:rsidR="00632FCA">
              <w:rPr>
                <w:sz w:val="22"/>
                <w:szCs w:val="22"/>
                <w:lang w:val="en-US"/>
              </w:rPr>
              <w:t xml:space="preserve"> </w:t>
            </w:r>
            <w:r w:rsidR="00392AB9" w:rsidRPr="005F1A42">
              <w:rPr>
                <w:sz w:val="22"/>
                <w:szCs w:val="22"/>
                <w:lang w:val="en-US"/>
              </w:rPr>
              <w:t>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="00A01F4F" w:rsidRPr="005F1A42">
              <w:rPr>
                <w:sz w:val="22"/>
                <w:szCs w:val="22"/>
                <w:lang w:val="en-US"/>
              </w:rPr>
              <w:t>21.3</w:t>
            </w:r>
          </w:p>
        </w:tc>
      </w:tr>
      <w:tr w:rsidR="009479FD" w:rsidRPr="00B2400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5F1A42">
            <w:pPr>
              <w:keepNext/>
              <w:keepLines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Tr2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806889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9479FD" w:rsidRPr="005F1A42">
              <w:rPr>
                <w:sz w:val="22"/>
                <w:szCs w:val="22"/>
                <w:lang w:val="en-US"/>
              </w:rPr>
              <w:t>0.7</w:t>
            </w:r>
            <w:r w:rsidRPr="005F1A42">
              <w:rPr>
                <w:sz w:val="22"/>
                <w:szCs w:val="22"/>
                <w:lang w:val="en-US"/>
              </w:rPr>
              <w:t>3</w:t>
            </w:r>
            <w:r w:rsidR="009479FD" w:rsidRPr="005F1A42">
              <w:rPr>
                <w:sz w:val="22"/>
                <w:szCs w:val="22"/>
                <w:lang w:val="en-US"/>
              </w:rPr>
              <w:t xml:space="preserve"> ± 0.</w:t>
            </w:r>
            <w:r w:rsidRPr="005F1A4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806889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51</w:t>
            </w:r>
            <w:r w:rsidR="009479FD" w:rsidRPr="005F1A42">
              <w:rPr>
                <w:sz w:val="22"/>
                <w:szCs w:val="22"/>
                <w:lang w:val="en-US"/>
              </w:rPr>
              <w:t>.</w:t>
            </w:r>
            <w:r w:rsidRPr="005F1A42">
              <w:rPr>
                <w:sz w:val="22"/>
                <w:szCs w:val="22"/>
                <w:lang w:val="en-US"/>
              </w:rPr>
              <w:t>1</w:t>
            </w:r>
            <w:r w:rsidR="009966B8" w:rsidRPr="005F1A42">
              <w:rPr>
                <w:sz w:val="22"/>
                <w:szCs w:val="22"/>
                <w:lang w:val="en-US"/>
              </w:rPr>
              <w:t xml:space="preserve"> 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Pr="005F1A42">
              <w:rPr>
                <w:sz w:val="22"/>
                <w:szCs w:val="22"/>
                <w:lang w:val="en-US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4</w:t>
            </w:r>
            <w:r w:rsidR="00806889" w:rsidRPr="005F1A42">
              <w:rPr>
                <w:sz w:val="22"/>
                <w:szCs w:val="22"/>
                <w:lang w:val="en-US"/>
              </w:rPr>
              <w:t>6</w:t>
            </w:r>
            <w:r w:rsidRPr="005F1A42">
              <w:rPr>
                <w:sz w:val="22"/>
                <w:szCs w:val="22"/>
                <w:lang w:val="en-US"/>
              </w:rPr>
              <w:t>.</w:t>
            </w:r>
            <w:r w:rsidR="00806889" w:rsidRPr="005F1A42">
              <w:rPr>
                <w:sz w:val="22"/>
                <w:szCs w:val="22"/>
                <w:lang w:val="en-US"/>
              </w:rPr>
              <w:t>5</w:t>
            </w:r>
            <w:r w:rsidR="009966B8" w:rsidRPr="005F1A42">
              <w:rPr>
                <w:sz w:val="22"/>
                <w:szCs w:val="22"/>
                <w:lang w:val="en-US"/>
              </w:rPr>
              <w:t xml:space="preserve"> 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="00806889" w:rsidRPr="005F1A42">
              <w:rPr>
                <w:sz w:val="22"/>
                <w:szCs w:val="22"/>
                <w:lang w:val="en-US"/>
              </w:rPr>
              <w:t>29.5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A01F4F" w:rsidRPr="005F1A42">
              <w:rPr>
                <w:sz w:val="22"/>
                <w:szCs w:val="22"/>
                <w:lang w:val="en-US"/>
              </w:rPr>
              <w:t>4.6</w:t>
            </w:r>
            <w:r w:rsidR="00392AB9" w:rsidRPr="005F1A42">
              <w:rPr>
                <w:sz w:val="22"/>
                <w:szCs w:val="22"/>
                <w:lang w:val="en-US"/>
              </w:rPr>
              <w:t xml:space="preserve"> ±</w:t>
            </w:r>
            <w:r w:rsidR="00632FCA">
              <w:rPr>
                <w:sz w:val="22"/>
                <w:szCs w:val="22"/>
                <w:lang w:val="en-US"/>
              </w:rPr>
              <w:t xml:space="preserve"> </w:t>
            </w:r>
            <w:r w:rsidR="00A01F4F" w:rsidRPr="005F1A42">
              <w:rPr>
                <w:sz w:val="22"/>
                <w:szCs w:val="22"/>
                <w:lang w:val="en-US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A01F4F" w:rsidRPr="005F1A42">
              <w:rPr>
                <w:sz w:val="22"/>
                <w:szCs w:val="22"/>
              </w:rPr>
              <w:t>3.4</w:t>
            </w:r>
            <w:r w:rsidR="00392AB9" w:rsidRPr="005F1A42">
              <w:rPr>
                <w:sz w:val="22"/>
                <w:szCs w:val="22"/>
              </w:rPr>
              <w:t xml:space="preserve"> ±</w:t>
            </w:r>
            <w:r w:rsidR="00F415EF">
              <w:rPr>
                <w:sz w:val="22"/>
                <w:szCs w:val="22"/>
              </w:rPr>
              <w:t xml:space="preserve"> </w:t>
            </w:r>
            <w:r w:rsidR="00A01F4F" w:rsidRPr="005F1A42">
              <w:rPr>
                <w:sz w:val="22"/>
                <w:szCs w:val="22"/>
              </w:rPr>
              <w:t>54.5</w:t>
            </w:r>
          </w:p>
        </w:tc>
      </w:tr>
      <w:tr w:rsidR="009479FD" w:rsidRPr="005F1A42">
        <w:trPr>
          <w:trHeight w:val="2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5F1A42">
            <w:pPr>
              <w:keepNext/>
              <w:keepLines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Tr3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806889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</w:t>
            </w:r>
            <w:r w:rsidR="009479FD" w:rsidRPr="005F1A42">
              <w:rPr>
                <w:sz w:val="22"/>
                <w:szCs w:val="22"/>
                <w:lang w:val="en-US"/>
              </w:rPr>
              <w:t>0.28 ± 0.0</w:t>
            </w:r>
            <w:r w:rsidRPr="005F1A4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52.0</w:t>
            </w:r>
            <w:r w:rsidR="009966B8" w:rsidRPr="005F1A42">
              <w:rPr>
                <w:sz w:val="22"/>
                <w:szCs w:val="22"/>
                <w:lang w:val="en-US"/>
              </w:rPr>
              <w:t xml:space="preserve"> 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="00806889" w:rsidRPr="005F1A42">
              <w:rPr>
                <w:sz w:val="22"/>
                <w:szCs w:val="22"/>
                <w:lang w:val="en-US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2.5</w:t>
            </w:r>
            <w:r w:rsidR="009966B8" w:rsidRPr="005F1A42">
              <w:rPr>
                <w:sz w:val="22"/>
                <w:szCs w:val="22"/>
                <w:lang w:val="en-US"/>
              </w:rPr>
              <w:t xml:space="preserve"> ±</w:t>
            </w:r>
            <w:r w:rsidR="00806889" w:rsidRPr="005F1A42">
              <w:rPr>
                <w:sz w:val="22"/>
                <w:szCs w:val="22"/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-49.5</w:t>
            </w:r>
            <w:r w:rsidR="00392AB9" w:rsidRPr="005F1A42">
              <w:rPr>
                <w:sz w:val="22"/>
                <w:szCs w:val="22"/>
                <w:lang w:val="en-US"/>
              </w:rPr>
              <w:t xml:space="preserve"> ±</w:t>
            </w:r>
            <w:r w:rsidR="00632FCA">
              <w:rPr>
                <w:sz w:val="22"/>
                <w:szCs w:val="22"/>
                <w:lang w:val="en-US"/>
              </w:rPr>
              <w:t xml:space="preserve"> </w:t>
            </w:r>
            <w:r w:rsidR="00A01F4F" w:rsidRPr="005F1A42">
              <w:rPr>
                <w:sz w:val="22"/>
                <w:szCs w:val="22"/>
                <w:lang w:val="en-US"/>
              </w:rPr>
              <w:t>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9FD" w:rsidRPr="005F1A42" w:rsidRDefault="009479FD" w:rsidP="00427B94">
            <w:pPr>
              <w:keepNext/>
              <w:keepLines/>
              <w:jc w:val="center"/>
              <w:rPr>
                <w:lang w:val="en-US"/>
              </w:rPr>
            </w:pPr>
            <w:r w:rsidRPr="005F1A42">
              <w:rPr>
                <w:sz w:val="22"/>
                <w:szCs w:val="22"/>
                <w:lang w:val="en-US"/>
              </w:rPr>
              <w:t>-95.</w:t>
            </w:r>
            <w:r w:rsidR="00A01F4F" w:rsidRPr="005F1A42">
              <w:rPr>
                <w:sz w:val="22"/>
                <w:szCs w:val="22"/>
                <w:lang w:val="en-US"/>
              </w:rPr>
              <w:t>0</w:t>
            </w:r>
            <w:r w:rsidR="00392AB9" w:rsidRPr="005F1A42">
              <w:rPr>
                <w:sz w:val="22"/>
                <w:szCs w:val="22"/>
                <w:lang w:val="en-US"/>
              </w:rPr>
              <w:t xml:space="preserve"> ±</w:t>
            </w:r>
            <w:r w:rsidR="00F415EF">
              <w:rPr>
                <w:sz w:val="22"/>
                <w:szCs w:val="22"/>
                <w:lang w:val="en-US"/>
              </w:rPr>
              <w:t xml:space="preserve"> </w:t>
            </w:r>
            <w:r w:rsidR="00A01F4F" w:rsidRPr="005F1A42">
              <w:rPr>
                <w:sz w:val="22"/>
                <w:szCs w:val="22"/>
                <w:lang w:val="en-US"/>
              </w:rPr>
              <w:t>10.0</w:t>
            </w:r>
          </w:p>
        </w:tc>
      </w:tr>
    </w:tbl>
    <w:p w:rsidR="009479FD" w:rsidRPr="00BB657C" w:rsidRDefault="00050B55" w:rsidP="00427B94">
      <w:pPr>
        <w:ind w:right="-6"/>
        <w:jc w:val="both"/>
        <w:rPr>
          <w:lang w:val="en-US"/>
        </w:rPr>
      </w:pPr>
      <w:r w:rsidRPr="00427B94">
        <w:rPr>
          <w:lang w:val="en-US"/>
        </w:rPr>
        <w:t xml:space="preserve">* </w:t>
      </w:r>
      <w:r w:rsidR="00F97725">
        <w:rPr>
          <w:lang w:val="en-US"/>
        </w:rPr>
        <w:t>B</w:t>
      </w:r>
      <w:r w:rsidRPr="00427B94">
        <w:rPr>
          <w:lang w:val="en-US"/>
        </w:rPr>
        <w:t xml:space="preserve">athymetry </w:t>
      </w:r>
      <w:r w:rsidR="00F97725">
        <w:rPr>
          <w:lang w:val="en-US"/>
        </w:rPr>
        <w:t xml:space="preserve">calculated </w:t>
      </w:r>
      <w:r w:rsidRPr="00427B94">
        <w:rPr>
          <w:lang w:val="en-US"/>
        </w:rPr>
        <w:t xml:space="preserve">from </w:t>
      </w:r>
      <w:r w:rsidR="00F97725">
        <w:rPr>
          <w:lang w:val="en-US"/>
        </w:rPr>
        <w:t>L</w:t>
      </w:r>
      <w:r w:rsidRPr="00427B94">
        <w:rPr>
          <w:lang w:val="en-US"/>
        </w:rPr>
        <w:t xml:space="preserve">idar </w:t>
      </w:r>
      <w:r w:rsidR="00427B94" w:rsidRPr="00427B94">
        <w:rPr>
          <w:lang w:val="en-US"/>
        </w:rPr>
        <w:t xml:space="preserve">and hyperspectral data </w:t>
      </w:r>
      <w:r w:rsidRPr="00427B94">
        <w:rPr>
          <w:lang w:val="en-US"/>
        </w:rPr>
        <w:t xml:space="preserve">at site ESP </w:t>
      </w:r>
      <w:r w:rsidR="00427B94">
        <w:rPr>
          <w:lang w:val="en-US"/>
        </w:rPr>
        <w:t xml:space="preserve">should be </w:t>
      </w:r>
      <w:r w:rsidRPr="00427B94">
        <w:rPr>
          <w:lang w:val="en-US"/>
        </w:rPr>
        <w:t xml:space="preserve">considered </w:t>
      </w:r>
      <w:r w:rsidR="00427B94">
        <w:rPr>
          <w:lang w:val="en-US"/>
        </w:rPr>
        <w:t xml:space="preserve">with caution because of its low accuracy </w:t>
      </w:r>
      <w:r w:rsidRPr="00427B94">
        <w:rPr>
          <w:lang w:val="en-US"/>
        </w:rPr>
        <w:t xml:space="preserve">due to </w:t>
      </w:r>
      <w:r w:rsidR="00427B94">
        <w:rPr>
          <w:lang w:val="en-US"/>
        </w:rPr>
        <w:t>the presence of dark sand material</w:t>
      </w:r>
      <w:r w:rsidR="00F97725">
        <w:rPr>
          <w:lang w:val="en-US"/>
        </w:rPr>
        <w:t xml:space="preserve"> disturbing the estimation methodology</w:t>
      </w:r>
      <w:r w:rsidR="00427B94">
        <w:rPr>
          <w:lang w:val="en-US"/>
        </w:rPr>
        <w:t xml:space="preserve">. </w:t>
      </w:r>
    </w:p>
    <w:p w:rsidR="009479FD" w:rsidRDefault="009479FD" w:rsidP="009479FD">
      <w:pPr>
        <w:rPr>
          <w:lang w:val="en-US"/>
        </w:rPr>
      </w:pPr>
    </w:p>
    <w:p w:rsidR="009E559D" w:rsidRDefault="009E559D" w:rsidP="009479FD">
      <w:pPr>
        <w:rPr>
          <w:lang w:val="en-US"/>
        </w:rPr>
      </w:pPr>
    </w:p>
    <w:p w:rsidR="00BB657C" w:rsidRDefault="00BB657C" w:rsidP="008D2ABA">
      <w:pPr>
        <w:jc w:val="both"/>
        <w:rPr>
          <w:lang w:val="en-US"/>
        </w:rPr>
      </w:pPr>
      <w:r w:rsidRPr="00E053E2">
        <w:rPr>
          <w:b/>
          <w:lang w:val="en-US"/>
        </w:rPr>
        <w:t>Fig.</w:t>
      </w:r>
      <w:r w:rsidR="00E053E2" w:rsidRPr="00E053E2">
        <w:rPr>
          <w:b/>
          <w:lang w:val="en-US"/>
        </w:rPr>
        <w:t xml:space="preserve"> </w:t>
      </w:r>
      <w:r w:rsidRPr="00E053E2">
        <w:rPr>
          <w:b/>
          <w:lang w:val="en-US"/>
        </w:rPr>
        <w:t>S1</w:t>
      </w:r>
      <w:r w:rsidRPr="00BB657C">
        <w:rPr>
          <w:lang w:val="en-US"/>
        </w:rPr>
        <w:t xml:space="preserve">: </w:t>
      </w:r>
      <w:r w:rsidR="00E053E2">
        <w:rPr>
          <w:lang w:val="en-US"/>
        </w:rPr>
        <w:t xml:space="preserve">Assessment of </w:t>
      </w:r>
      <w:r w:rsidRPr="00BB657C">
        <w:rPr>
          <w:lang w:val="en-US"/>
        </w:rPr>
        <w:t xml:space="preserve">live coral cover </w:t>
      </w:r>
      <w:r w:rsidR="00E053E2">
        <w:rPr>
          <w:lang w:val="en-US"/>
        </w:rPr>
        <w:t xml:space="preserve">changes </w:t>
      </w:r>
      <w:r w:rsidRPr="00BB657C">
        <w:rPr>
          <w:lang w:val="en-US"/>
        </w:rPr>
        <w:t>at Saint-Gilles reef flat of Reunion Island</w:t>
      </w:r>
      <w:r w:rsidR="00E053E2">
        <w:rPr>
          <w:lang w:val="en-US"/>
        </w:rPr>
        <w:t>.</w:t>
      </w:r>
      <w:r w:rsidRPr="00BB657C">
        <w:rPr>
          <w:lang w:val="en-US"/>
        </w:rPr>
        <w:t xml:space="preserve"> </w:t>
      </w:r>
      <w:r w:rsidRPr="00E053E2">
        <w:rPr>
          <w:b/>
          <w:lang w:val="en-US"/>
        </w:rPr>
        <w:t>A.</w:t>
      </w:r>
      <w:r w:rsidRPr="00BB657C">
        <w:rPr>
          <w:lang w:val="en-US"/>
        </w:rPr>
        <w:t xml:space="preserve"> before and </w:t>
      </w:r>
      <w:r w:rsidRPr="00E053E2">
        <w:rPr>
          <w:b/>
          <w:lang w:val="en-US"/>
        </w:rPr>
        <w:t>B.</w:t>
      </w:r>
      <w:r w:rsidRPr="00BB657C">
        <w:rPr>
          <w:lang w:val="en-US"/>
        </w:rPr>
        <w:t xml:space="preserve"> after the peak of nSLA (</w:t>
      </w:r>
      <w:r w:rsidR="00E053E2" w:rsidRPr="00BB657C">
        <w:rPr>
          <w:lang w:val="en-US"/>
        </w:rPr>
        <w:t>15 June</w:t>
      </w:r>
      <w:r w:rsidR="00E053E2">
        <w:rPr>
          <w:lang w:val="en-US"/>
        </w:rPr>
        <w:t xml:space="preserve"> and </w:t>
      </w:r>
      <w:r w:rsidRPr="00BB657C">
        <w:rPr>
          <w:lang w:val="en-US"/>
        </w:rPr>
        <w:t>25 September 2015</w:t>
      </w:r>
      <w:r w:rsidR="00E053E2">
        <w:rPr>
          <w:lang w:val="en-US"/>
        </w:rPr>
        <w:t xml:space="preserve"> respectively</w:t>
      </w:r>
      <w:r w:rsidRPr="00BB657C">
        <w:rPr>
          <w:lang w:val="en-US"/>
        </w:rPr>
        <w:t xml:space="preserve">). Transects were positioned over areas of homogenous and dense coral thickets at different bathymetry: </w:t>
      </w:r>
      <w:r w:rsidR="00E053E2">
        <w:rPr>
          <w:lang w:val="en-US"/>
        </w:rPr>
        <w:t xml:space="preserve">Tr1 </w:t>
      </w:r>
      <w:r w:rsidR="00E053E2" w:rsidRPr="00BB657C">
        <w:rPr>
          <w:lang w:val="en-US"/>
        </w:rPr>
        <w:t>(-0.32m ± 0.21)</w:t>
      </w:r>
      <w:r w:rsidR="00E053E2">
        <w:rPr>
          <w:lang w:val="en-US"/>
        </w:rPr>
        <w:t xml:space="preserve"> and Tr3 </w:t>
      </w:r>
      <w:r w:rsidR="00E053E2" w:rsidRPr="00BB657C">
        <w:rPr>
          <w:lang w:val="en-US"/>
        </w:rPr>
        <w:t>(-0.28m ± 0.09)</w:t>
      </w:r>
      <w:r w:rsidR="00E053E2">
        <w:rPr>
          <w:lang w:val="en-US"/>
        </w:rPr>
        <w:t xml:space="preserve"> are </w:t>
      </w:r>
      <w:r w:rsidRPr="00BB657C">
        <w:rPr>
          <w:lang w:val="en-US"/>
        </w:rPr>
        <w:t>shallow</w:t>
      </w:r>
      <w:r w:rsidR="00E053E2">
        <w:rPr>
          <w:lang w:val="en-US"/>
        </w:rPr>
        <w:t xml:space="preserve">er than </w:t>
      </w:r>
      <w:r w:rsidRPr="00BB657C">
        <w:rPr>
          <w:lang w:val="en-US"/>
        </w:rPr>
        <w:t>Tr2 (-0.75m ± 0.26)</w:t>
      </w:r>
      <w:r w:rsidR="00E053E2">
        <w:rPr>
          <w:lang w:val="en-US"/>
        </w:rPr>
        <w:t>. A</w:t>
      </w:r>
      <w:r w:rsidRPr="00BB657C">
        <w:rPr>
          <w:lang w:val="en-US"/>
        </w:rPr>
        <w:t xml:space="preserve">dapted from </w:t>
      </w:r>
      <w:proofErr w:type="spellStart"/>
      <w:r w:rsidRPr="00BB657C">
        <w:rPr>
          <w:lang w:val="en-US"/>
        </w:rPr>
        <w:t>Bajjouk</w:t>
      </w:r>
      <w:proofErr w:type="spellEnd"/>
      <w:r w:rsidRPr="00BB657C">
        <w:rPr>
          <w:lang w:val="en-US"/>
        </w:rPr>
        <w:t xml:space="preserve"> et al. (2019).  </w:t>
      </w:r>
    </w:p>
    <w:p w:rsidR="009E559D" w:rsidRDefault="009E559D" w:rsidP="00AC098B">
      <w:pPr>
        <w:jc w:val="both"/>
        <w:rPr>
          <w:lang w:val="en-US"/>
        </w:rPr>
      </w:pPr>
    </w:p>
    <w:p w:rsidR="000B29FD" w:rsidRDefault="000B29FD" w:rsidP="00AC098B">
      <w:pPr>
        <w:jc w:val="both"/>
        <w:rPr>
          <w:lang w:val="en-US"/>
        </w:rPr>
      </w:pPr>
    </w:p>
    <w:p w:rsidR="00E720D0" w:rsidRDefault="0081292B" w:rsidP="00AC098B">
      <w:pPr>
        <w:jc w:val="both"/>
        <w:rPr>
          <w:lang w:val="en-US"/>
        </w:rPr>
      </w:pPr>
      <w:r w:rsidRPr="00E053E2">
        <w:rPr>
          <w:b/>
          <w:lang w:val="en-US"/>
        </w:rPr>
        <w:t>Fig.</w:t>
      </w:r>
      <w:r w:rsidR="00E053E2" w:rsidRPr="00E053E2">
        <w:rPr>
          <w:b/>
          <w:lang w:val="en-US"/>
        </w:rPr>
        <w:t xml:space="preserve"> </w:t>
      </w:r>
      <w:r w:rsidRPr="00E053E2">
        <w:rPr>
          <w:b/>
          <w:lang w:val="en-US"/>
        </w:rPr>
        <w:t>S2</w:t>
      </w:r>
      <w:r w:rsidR="00594F57">
        <w:rPr>
          <w:lang w:val="en-US"/>
        </w:rPr>
        <w:t xml:space="preserve">: </w:t>
      </w:r>
      <w:r w:rsidR="004B4E4C">
        <w:rPr>
          <w:lang w:val="en-US"/>
        </w:rPr>
        <w:t xml:space="preserve">Boxplots of the estimated Relative Coral Cover Variation (RCCV) </w:t>
      </w:r>
      <w:r w:rsidR="00E053E2">
        <w:rPr>
          <w:lang w:val="en-US"/>
        </w:rPr>
        <w:t xml:space="preserve">of </w:t>
      </w:r>
      <w:r w:rsidR="004B4E4C">
        <w:rPr>
          <w:lang w:val="en-US"/>
        </w:rPr>
        <w:t>validation point</w:t>
      </w:r>
      <w:r w:rsidR="00AF244E">
        <w:rPr>
          <w:lang w:val="en-US"/>
        </w:rPr>
        <w:t>s</w:t>
      </w:r>
      <w:r w:rsidR="004B4E4C">
        <w:rPr>
          <w:lang w:val="en-US"/>
        </w:rPr>
        <w:t>, depending on whether Recent Dead Coral</w:t>
      </w:r>
      <w:r w:rsidR="00AF244E">
        <w:rPr>
          <w:lang w:val="en-US"/>
        </w:rPr>
        <w:t>s</w:t>
      </w:r>
      <w:r w:rsidR="004B4E4C">
        <w:rPr>
          <w:lang w:val="en-US"/>
        </w:rPr>
        <w:t xml:space="preserve"> </w:t>
      </w:r>
      <w:r w:rsidR="00AF244E">
        <w:rPr>
          <w:lang w:val="en-US"/>
        </w:rPr>
        <w:t xml:space="preserve">are observed on the </w:t>
      </w:r>
      <w:r w:rsidR="00E053E2">
        <w:rPr>
          <w:lang w:val="en-US"/>
        </w:rPr>
        <w:t xml:space="preserve">reef flat (RDC) </w:t>
      </w:r>
      <w:r w:rsidR="004B4E4C">
        <w:rPr>
          <w:lang w:val="en-US"/>
        </w:rPr>
        <w:t xml:space="preserve">or not (NO RDC). </w:t>
      </w:r>
    </w:p>
    <w:p w:rsidR="009E559D" w:rsidRPr="00BB657C" w:rsidRDefault="009E559D" w:rsidP="009479FD">
      <w:pPr>
        <w:rPr>
          <w:lang w:val="en-US"/>
        </w:rPr>
      </w:pPr>
    </w:p>
    <w:p w:rsidR="00A82F85" w:rsidRDefault="00A82F85">
      <w:pPr>
        <w:rPr>
          <w:lang w:val="en-US"/>
        </w:rPr>
      </w:pPr>
    </w:p>
    <w:p w:rsidR="00432942" w:rsidRPr="00F64911" w:rsidRDefault="00594F57" w:rsidP="00432942">
      <w:pPr>
        <w:jc w:val="both"/>
        <w:rPr>
          <w:lang w:val="en-US"/>
        </w:rPr>
      </w:pPr>
      <w:r>
        <w:rPr>
          <w:b/>
          <w:lang w:val="en-US"/>
        </w:rPr>
        <w:t>Fig. S3</w:t>
      </w:r>
      <w:r>
        <w:rPr>
          <w:lang w:val="en-US"/>
        </w:rPr>
        <w:t xml:space="preserve">: </w:t>
      </w:r>
      <w:r w:rsidR="00432942">
        <w:rPr>
          <w:lang w:val="en-US"/>
        </w:rPr>
        <w:t xml:space="preserve">Emersion times </w:t>
      </w:r>
      <w:r w:rsidR="00CB7A4C">
        <w:rPr>
          <w:lang w:val="en-US"/>
        </w:rPr>
        <w:t>according to</w:t>
      </w:r>
      <w:r w:rsidR="00432942">
        <w:rPr>
          <w:lang w:val="en-US"/>
        </w:rPr>
        <w:t xml:space="preserve"> date and bathymetry. </w:t>
      </w:r>
      <w:r w:rsidR="00432942" w:rsidRPr="006B3CBD">
        <w:rPr>
          <w:b/>
          <w:lang w:val="en-US"/>
        </w:rPr>
        <w:t>A.</w:t>
      </w:r>
      <w:r w:rsidR="00432942">
        <w:rPr>
          <w:lang w:val="en-US"/>
        </w:rPr>
        <w:t xml:space="preserve"> Daily values computed from tide gauge high frequency sea levels. The color</w:t>
      </w:r>
      <w:r w:rsidR="00A40829">
        <w:rPr>
          <w:lang w:val="en-US"/>
        </w:rPr>
        <w:t xml:space="preserve"> </w:t>
      </w:r>
      <w:r w:rsidR="00432942">
        <w:rPr>
          <w:lang w:val="en-US"/>
        </w:rPr>
        <w:t xml:space="preserve">bar represents the bathymetry gradient, </w:t>
      </w:r>
      <w:r w:rsidR="002C4B6E">
        <w:rPr>
          <w:lang w:val="en-US"/>
        </w:rPr>
        <w:t xml:space="preserve">and the </w:t>
      </w:r>
      <w:r w:rsidR="00432942">
        <w:rPr>
          <w:lang w:val="en-US"/>
        </w:rPr>
        <w:t xml:space="preserve">black line </w:t>
      </w:r>
      <w:r w:rsidR="002C4B6E">
        <w:rPr>
          <w:lang w:val="en-US"/>
        </w:rPr>
        <w:t xml:space="preserve">indicates </w:t>
      </w:r>
      <w:r w:rsidR="00432942">
        <w:rPr>
          <w:lang w:val="en-US"/>
        </w:rPr>
        <w:t xml:space="preserve">the historic mean sea level. </w:t>
      </w:r>
      <w:r w:rsidR="00432942" w:rsidRPr="006B3CBD">
        <w:rPr>
          <w:b/>
          <w:lang w:val="en-US"/>
        </w:rPr>
        <w:t>B.</w:t>
      </w:r>
      <w:r w:rsidR="00432942">
        <w:rPr>
          <w:lang w:val="en-US"/>
        </w:rPr>
        <w:t xml:space="preserve"> Curves of the cumulative emersion times for the </w:t>
      </w:r>
      <w:r w:rsidR="005051F3">
        <w:rPr>
          <w:lang w:val="en-US"/>
        </w:rPr>
        <w:t xml:space="preserve">year </w:t>
      </w:r>
      <w:r w:rsidR="00432942">
        <w:rPr>
          <w:lang w:val="en-US"/>
        </w:rPr>
        <w:t xml:space="preserve">2015, by </w:t>
      </w:r>
      <w:r w:rsidR="00455535">
        <w:rPr>
          <w:lang w:val="en-US"/>
        </w:rPr>
        <w:t xml:space="preserve">bathymetry increments of </w:t>
      </w:r>
      <w:r w:rsidR="00432942">
        <w:rPr>
          <w:lang w:val="en-US"/>
        </w:rPr>
        <w:t>0.05</w:t>
      </w:r>
      <w:r w:rsidR="00455535">
        <w:rPr>
          <w:lang w:val="en-US"/>
        </w:rPr>
        <w:t xml:space="preserve"> </w:t>
      </w:r>
      <w:r w:rsidR="00432942">
        <w:rPr>
          <w:lang w:val="en-US"/>
        </w:rPr>
        <w:t xml:space="preserve">m. Time length on vertical axis is logarithmic for better representation of critical short deeper emersion times. </w:t>
      </w:r>
    </w:p>
    <w:p w:rsidR="009E559D" w:rsidRDefault="009E559D">
      <w:pPr>
        <w:rPr>
          <w:lang w:val="en-US"/>
        </w:rPr>
      </w:pPr>
    </w:p>
    <w:p w:rsidR="00F8225B" w:rsidRDefault="00F8225B" w:rsidP="00AC098B">
      <w:pPr>
        <w:jc w:val="both"/>
        <w:rPr>
          <w:lang w:val="en-US"/>
        </w:rPr>
      </w:pPr>
    </w:p>
    <w:p w:rsidR="009E559D" w:rsidRDefault="00E60EFC" w:rsidP="00AC098B">
      <w:pPr>
        <w:jc w:val="both"/>
        <w:rPr>
          <w:lang w:val="en-US"/>
        </w:rPr>
      </w:pPr>
      <w:r w:rsidRPr="009549CD">
        <w:rPr>
          <w:b/>
          <w:lang w:val="en-US"/>
        </w:rPr>
        <w:t>Table S2</w:t>
      </w:r>
      <w:r w:rsidRPr="009549CD">
        <w:rPr>
          <w:lang w:val="en-US"/>
        </w:rPr>
        <w:t xml:space="preserve">: </w:t>
      </w:r>
      <w:r w:rsidR="00805684" w:rsidRPr="009549CD">
        <w:rPr>
          <w:lang w:val="en-US"/>
        </w:rPr>
        <w:t xml:space="preserve">Mean sea levels (MSL) and tidal ranges (MTR) in </w:t>
      </w:r>
      <w:r w:rsidR="009549CD" w:rsidRPr="009549CD">
        <w:rPr>
          <w:lang w:val="en-US"/>
        </w:rPr>
        <w:t xml:space="preserve">meters </w:t>
      </w:r>
      <w:r w:rsidR="00805684" w:rsidRPr="009549CD">
        <w:rPr>
          <w:lang w:val="en-US"/>
        </w:rPr>
        <w:t xml:space="preserve">± </w:t>
      </w:r>
      <w:r w:rsidR="009549CD" w:rsidRPr="009549CD">
        <w:rPr>
          <w:lang w:val="en-US"/>
        </w:rPr>
        <w:t>s</w:t>
      </w:r>
      <w:r w:rsidR="00805684" w:rsidRPr="009549CD">
        <w:rPr>
          <w:lang w:val="en-US"/>
        </w:rPr>
        <w:t xml:space="preserve">tandard </w:t>
      </w:r>
      <w:r w:rsidR="009549CD" w:rsidRPr="009549CD">
        <w:rPr>
          <w:lang w:val="en-US"/>
        </w:rPr>
        <w:t xml:space="preserve">deviations for </w:t>
      </w:r>
      <w:r w:rsidR="00977785">
        <w:rPr>
          <w:lang w:val="en-US"/>
        </w:rPr>
        <w:t>three</w:t>
      </w:r>
      <w:r w:rsidR="009549CD" w:rsidRPr="009549CD">
        <w:rPr>
          <w:lang w:val="en-US"/>
        </w:rPr>
        <w:t xml:space="preserve"> configurations of daily sea levels (</w:t>
      </w:r>
      <w:proofErr w:type="spellStart"/>
      <w:r w:rsidR="009549CD" w:rsidRPr="009549CD">
        <w:rPr>
          <w:lang w:val="en-US"/>
        </w:rPr>
        <w:t>dMSL</w:t>
      </w:r>
      <w:proofErr w:type="spellEnd"/>
      <w:r w:rsidR="009549CD" w:rsidRPr="009549CD">
        <w:rPr>
          <w:lang w:val="en-US"/>
        </w:rPr>
        <w:t>): negative (nSLA), positive (</w:t>
      </w:r>
      <w:proofErr w:type="spellStart"/>
      <w:r w:rsidR="009549CD" w:rsidRPr="009549CD">
        <w:rPr>
          <w:lang w:val="en-US"/>
        </w:rPr>
        <w:t>pSLA</w:t>
      </w:r>
      <w:proofErr w:type="spellEnd"/>
      <w:r w:rsidR="009549CD" w:rsidRPr="009549CD">
        <w:rPr>
          <w:lang w:val="en-US"/>
        </w:rPr>
        <w:t xml:space="preserve">) and neutral (MSL), and </w:t>
      </w:r>
      <w:r w:rsidR="002B526D">
        <w:rPr>
          <w:lang w:val="en-US"/>
        </w:rPr>
        <w:t>three</w:t>
      </w:r>
      <w:r w:rsidR="009549CD" w:rsidRPr="009549CD">
        <w:rPr>
          <w:lang w:val="en-US"/>
        </w:rPr>
        <w:t xml:space="preserve"> configurations of tidal ranges (TR): average, spring and neap tides. </w:t>
      </w:r>
    </w:p>
    <w:p w:rsidR="00F8225B" w:rsidRPr="009549CD" w:rsidRDefault="00F8225B" w:rsidP="00AC098B">
      <w:pPr>
        <w:jc w:val="both"/>
        <w:rPr>
          <w:lang w:val="en-US"/>
        </w:rPr>
      </w:pPr>
    </w:p>
    <w:tbl>
      <w:tblPr>
        <w:tblStyle w:val="Grilledutableau"/>
        <w:tblW w:w="9098" w:type="dxa"/>
        <w:tblLook w:val="04A0" w:firstRow="1" w:lastRow="0" w:firstColumn="1" w:lastColumn="0" w:noHBand="0" w:noVBand="1"/>
      </w:tblPr>
      <w:tblGrid>
        <w:gridCol w:w="1326"/>
        <w:gridCol w:w="1326"/>
        <w:gridCol w:w="1456"/>
        <w:gridCol w:w="1456"/>
        <w:gridCol w:w="696"/>
        <w:gridCol w:w="1511"/>
        <w:gridCol w:w="1327"/>
      </w:tblGrid>
      <w:tr w:rsidR="00F476E0" w:rsidRPr="00F476E0">
        <w:tc>
          <w:tcPr>
            <w:tcW w:w="1326" w:type="dxa"/>
          </w:tcPr>
          <w:p w:rsidR="00E60EFC" w:rsidRPr="00F476E0" w:rsidRDefault="009549C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dM</w:t>
            </w:r>
            <w:r w:rsidR="00E60EFC" w:rsidRPr="00F476E0">
              <w:rPr>
                <w:sz w:val="22"/>
                <w:szCs w:val="22"/>
                <w:lang w:val="en-US"/>
              </w:rPr>
              <w:t>SL</w:t>
            </w:r>
            <w:proofErr w:type="spellEnd"/>
          </w:p>
        </w:tc>
        <w:tc>
          <w:tcPr>
            <w:tcW w:w="132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Tide</w:t>
            </w:r>
          </w:p>
        </w:tc>
        <w:tc>
          <w:tcPr>
            <w:tcW w:w="145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Begin</w:t>
            </w:r>
            <w:r w:rsidR="004B5BDA">
              <w:rPr>
                <w:sz w:val="22"/>
                <w:szCs w:val="22"/>
                <w:lang w:val="en-US"/>
              </w:rPr>
              <w:t>ning</w:t>
            </w:r>
          </w:p>
        </w:tc>
        <w:tc>
          <w:tcPr>
            <w:tcW w:w="145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511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MSL</w:t>
            </w:r>
            <w:r w:rsidR="00DE3B44">
              <w:rPr>
                <w:sz w:val="22"/>
                <w:szCs w:val="22"/>
                <w:lang w:val="en-US"/>
              </w:rPr>
              <w:t xml:space="preserve">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SD</w:t>
            </w:r>
          </w:p>
        </w:tc>
        <w:tc>
          <w:tcPr>
            <w:tcW w:w="1327" w:type="dxa"/>
          </w:tcPr>
          <w:p w:rsidR="00E60EFC" w:rsidRPr="00F476E0" w:rsidRDefault="00DE3B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E60EFC" w:rsidRPr="00F476E0">
              <w:rPr>
                <w:sz w:val="22"/>
                <w:szCs w:val="22"/>
                <w:lang w:val="en-US"/>
              </w:rPr>
              <w:t>TR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SD</w:t>
            </w:r>
          </w:p>
        </w:tc>
      </w:tr>
      <w:tr w:rsidR="00F476E0" w:rsidRPr="00F476E0">
        <w:tc>
          <w:tcPr>
            <w:tcW w:w="1326" w:type="dxa"/>
            <w:vMerge w:val="restart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nSLA</w:t>
            </w:r>
          </w:p>
        </w:tc>
        <w:tc>
          <w:tcPr>
            <w:tcW w:w="132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45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2015-07-13</w:t>
            </w:r>
          </w:p>
        </w:tc>
        <w:tc>
          <w:tcPr>
            <w:tcW w:w="145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2015-07-28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11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-0.20 ± 0.016</w:t>
            </w:r>
          </w:p>
        </w:tc>
        <w:tc>
          <w:tcPr>
            <w:tcW w:w="1327" w:type="dxa"/>
          </w:tcPr>
          <w:p w:rsidR="00E60EFC" w:rsidRPr="00F476E0" w:rsidRDefault="00E60EFC" w:rsidP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0.46</w:t>
            </w:r>
            <w:r w:rsidR="00F476E0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±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0.10</w:t>
            </w:r>
          </w:p>
        </w:tc>
      </w:tr>
      <w:tr w:rsidR="00F476E0" w:rsidRPr="00F476E0">
        <w:tc>
          <w:tcPr>
            <w:tcW w:w="1326" w:type="dxa"/>
            <w:vMerge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56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2015-07-15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2015-07-18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11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-0.20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0.01</w:t>
            </w:r>
          </w:p>
        </w:tc>
        <w:tc>
          <w:tcPr>
            <w:tcW w:w="1327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0.57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0.04</w:t>
            </w:r>
          </w:p>
        </w:tc>
      </w:tr>
      <w:tr w:rsidR="00F476E0" w:rsidRPr="00F476E0">
        <w:tc>
          <w:tcPr>
            <w:tcW w:w="1326" w:type="dxa"/>
            <w:vMerge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Neap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2015-07-23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2015-07-26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11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-0.21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327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0.33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0.03</w:t>
            </w:r>
          </w:p>
        </w:tc>
      </w:tr>
      <w:tr w:rsidR="00F476E0" w:rsidRPr="00F476E0">
        <w:tc>
          <w:tcPr>
            <w:tcW w:w="1326" w:type="dxa"/>
            <w:vMerge w:val="restart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proofErr w:type="spellStart"/>
            <w:r w:rsidRPr="00F476E0">
              <w:rPr>
                <w:sz w:val="22"/>
                <w:szCs w:val="22"/>
                <w:lang w:val="en-US"/>
              </w:rPr>
              <w:t>pSLA</w:t>
            </w:r>
            <w:proofErr w:type="spellEnd"/>
          </w:p>
        </w:tc>
        <w:tc>
          <w:tcPr>
            <w:tcW w:w="1326" w:type="dxa"/>
          </w:tcPr>
          <w:p w:rsidR="00E60EFC" w:rsidRPr="00F476E0" w:rsidRDefault="00E60EFC" w:rsidP="005051F3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2015-11-16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2015-11-30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11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0.18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0.02</w:t>
            </w:r>
          </w:p>
        </w:tc>
        <w:tc>
          <w:tcPr>
            <w:tcW w:w="1327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0.53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0.15</w:t>
            </w:r>
          </w:p>
        </w:tc>
      </w:tr>
      <w:tr w:rsidR="00F476E0" w:rsidRPr="00F476E0">
        <w:tc>
          <w:tcPr>
            <w:tcW w:w="1326" w:type="dxa"/>
            <w:vMerge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</w:tcPr>
          <w:p w:rsidR="00E60EFC" w:rsidRPr="00F476E0" w:rsidRDefault="00E60EFC" w:rsidP="005051F3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2015-11-24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2015-11-27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11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0.20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0.01</w:t>
            </w:r>
          </w:p>
        </w:tc>
        <w:tc>
          <w:tcPr>
            <w:tcW w:w="1327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0.72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0.04</w:t>
            </w:r>
          </w:p>
        </w:tc>
      </w:tr>
      <w:tr w:rsidR="00F476E0" w:rsidRPr="00F476E0">
        <w:tc>
          <w:tcPr>
            <w:tcW w:w="1326" w:type="dxa"/>
            <w:vMerge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</w:tcPr>
          <w:p w:rsidR="00E60EFC" w:rsidRPr="00F476E0" w:rsidRDefault="00E60EFC" w:rsidP="005051F3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Neap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2015-11-18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2015-11-20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11" w:type="dxa"/>
          </w:tcPr>
          <w:p w:rsidR="00E60EFC" w:rsidRPr="00F476E0" w:rsidRDefault="00F476E0" w:rsidP="00DE3B44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0.17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0.01</w:t>
            </w:r>
          </w:p>
        </w:tc>
        <w:tc>
          <w:tcPr>
            <w:tcW w:w="1327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0.35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</w:tr>
      <w:tr w:rsidR="00F476E0" w:rsidRPr="00F476E0">
        <w:tc>
          <w:tcPr>
            <w:tcW w:w="1326" w:type="dxa"/>
            <w:vMerge w:val="restart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MSL</w:t>
            </w:r>
          </w:p>
        </w:tc>
        <w:tc>
          <w:tcPr>
            <w:tcW w:w="1326" w:type="dxa"/>
          </w:tcPr>
          <w:p w:rsidR="00E60EFC" w:rsidRPr="00F476E0" w:rsidRDefault="00E60EFC" w:rsidP="005051F3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2015-01-05</w:t>
            </w:r>
          </w:p>
        </w:tc>
        <w:tc>
          <w:tcPr>
            <w:tcW w:w="1456" w:type="dxa"/>
          </w:tcPr>
          <w:p w:rsidR="00E60EFC" w:rsidRPr="00F476E0" w:rsidRDefault="00F4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2015-12-30</w:t>
            </w:r>
          </w:p>
        </w:tc>
        <w:tc>
          <w:tcPr>
            <w:tcW w:w="696" w:type="dxa"/>
          </w:tcPr>
          <w:p w:rsidR="00E60EFC" w:rsidRPr="00F476E0" w:rsidRDefault="00E60EFC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222</w:t>
            </w:r>
          </w:p>
        </w:tc>
        <w:tc>
          <w:tcPr>
            <w:tcW w:w="1511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0.00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0.13</w:t>
            </w:r>
          </w:p>
        </w:tc>
        <w:tc>
          <w:tcPr>
            <w:tcW w:w="1327" w:type="dxa"/>
          </w:tcPr>
          <w:p w:rsidR="00E60EFC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0.51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0.08</w:t>
            </w:r>
          </w:p>
        </w:tc>
      </w:tr>
      <w:tr w:rsidR="00F476E0" w:rsidRPr="00F476E0">
        <w:tc>
          <w:tcPr>
            <w:tcW w:w="1326" w:type="dxa"/>
            <w:vMerge/>
          </w:tcPr>
          <w:p w:rsidR="00F476E0" w:rsidRPr="00F476E0" w:rsidRDefault="00F476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</w:tcPr>
          <w:p w:rsidR="00F476E0" w:rsidRPr="00F476E0" w:rsidRDefault="00F476E0" w:rsidP="005051F3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56" w:type="dxa"/>
          </w:tcPr>
          <w:p w:rsidR="00F476E0" w:rsidRPr="00F476E0" w:rsidRDefault="00F476E0" w:rsidP="005051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2015-01-05</w:t>
            </w:r>
          </w:p>
        </w:tc>
        <w:tc>
          <w:tcPr>
            <w:tcW w:w="1456" w:type="dxa"/>
          </w:tcPr>
          <w:p w:rsidR="00F476E0" w:rsidRPr="00F476E0" w:rsidRDefault="00F476E0" w:rsidP="005051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2015-12-30</w:t>
            </w:r>
          </w:p>
        </w:tc>
        <w:tc>
          <w:tcPr>
            <w:tcW w:w="696" w:type="dxa"/>
          </w:tcPr>
          <w:p w:rsidR="00F476E0" w:rsidRPr="00F476E0" w:rsidRDefault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511" w:type="dxa"/>
          </w:tcPr>
          <w:p w:rsidR="00F476E0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0.03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0.13</w:t>
            </w:r>
          </w:p>
        </w:tc>
        <w:tc>
          <w:tcPr>
            <w:tcW w:w="1327" w:type="dxa"/>
          </w:tcPr>
          <w:p w:rsidR="00F476E0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0.71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0.05</w:t>
            </w:r>
          </w:p>
        </w:tc>
      </w:tr>
      <w:tr w:rsidR="00F476E0" w:rsidRPr="00F476E0">
        <w:tc>
          <w:tcPr>
            <w:tcW w:w="1326" w:type="dxa"/>
            <w:vMerge/>
          </w:tcPr>
          <w:p w:rsidR="00F476E0" w:rsidRPr="00F476E0" w:rsidRDefault="00F476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</w:tcPr>
          <w:p w:rsidR="00F476E0" w:rsidRPr="00F476E0" w:rsidRDefault="00F476E0" w:rsidP="005051F3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Neap</w:t>
            </w:r>
          </w:p>
        </w:tc>
        <w:tc>
          <w:tcPr>
            <w:tcW w:w="1456" w:type="dxa"/>
          </w:tcPr>
          <w:p w:rsidR="00F476E0" w:rsidRPr="00F476E0" w:rsidRDefault="00F476E0" w:rsidP="005051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2015-01-05</w:t>
            </w:r>
          </w:p>
        </w:tc>
        <w:tc>
          <w:tcPr>
            <w:tcW w:w="1456" w:type="dxa"/>
          </w:tcPr>
          <w:p w:rsidR="00F476E0" w:rsidRPr="00F476E0" w:rsidRDefault="00F476E0" w:rsidP="005051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2015-12-30</w:t>
            </w:r>
          </w:p>
        </w:tc>
        <w:tc>
          <w:tcPr>
            <w:tcW w:w="696" w:type="dxa"/>
          </w:tcPr>
          <w:p w:rsidR="00F476E0" w:rsidRPr="00F476E0" w:rsidRDefault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11" w:type="dxa"/>
          </w:tcPr>
          <w:p w:rsidR="00F476E0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0.03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B807EC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0.13</w:t>
            </w:r>
          </w:p>
        </w:tc>
        <w:tc>
          <w:tcPr>
            <w:tcW w:w="1327" w:type="dxa"/>
          </w:tcPr>
          <w:p w:rsidR="00F476E0" w:rsidRPr="00F476E0" w:rsidRDefault="00F476E0" w:rsidP="00F476E0">
            <w:pPr>
              <w:rPr>
                <w:sz w:val="22"/>
                <w:szCs w:val="22"/>
                <w:lang w:val="en-US"/>
              </w:rPr>
            </w:pP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0.28 </w:t>
            </w:r>
            <w:r w:rsidR="00DE3B44"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±</w:t>
            </w:r>
            <w:r w:rsidR="00DE3B4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476E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0.05</w:t>
            </w:r>
          </w:p>
        </w:tc>
      </w:tr>
    </w:tbl>
    <w:p w:rsidR="009E559D" w:rsidRDefault="009E559D">
      <w:pPr>
        <w:rPr>
          <w:lang w:val="en-US"/>
        </w:rPr>
      </w:pPr>
    </w:p>
    <w:p w:rsidR="00E73E09" w:rsidRDefault="00E73E09" w:rsidP="00E73E09">
      <w:pPr>
        <w:jc w:val="both"/>
        <w:rPr>
          <w:b/>
          <w:bCs/>
          <w:sz w:val="22"/>
          <w:szCs w:val="22"/>
          <w:lang w:val="en-US"/>
        </w:rPr>
      </w:pPr>
    </w:p>
    <w:p w:rsidR="009D6B23" w:rsidRPr="009D6B23" w:rsidRDefault="009D6B23" w:rsidP="00E73E09">
      <w:pPr>
        <w:jc w:val="both"/>
        <w:rPr>
          <w:bCs/>
          <w:szCs w:val="22"/>
          <w:lang w:val="en-US"/>
        </w:rPr>
      </w:pPr>
      <w:r>
        <w:rPr>
          <w:b/>
          <w:bCs/>
          <w:szCs w:val="22"/>
          <w:lang w:val="en-US"/>
        </w:rPr>
        <w:t>Fig. S4</w:t>
      </w:r>
      <w:r>
        <w:rPr>
          <w:bCs/>
          <w:szCs w:val="22"/>
          <w:lang w:val="en-US"/>
        </w:rPr>
        <w:t xml:space="preserve">: Pearson correlations and associated p values significance between </w:t>
      </w:r>
      <w:proofErr w:type="spellStart"/>
      <w:r>
        <w:rPr>
          <w:bCs/>
          <w:szCs w:val="22"/>
          <w:lang w:val="en-US"/>
        </w:rPr>
        <w:t>trimestrial</w:t>
      </w:r>
      <w:proofErr w:type="spellEnd"/>
      <w:r>
        <w:rPr>
          <w:bCs/>
          <w:szCs w:val="22"/>
          <w:lang w:val="en-US"/>
        </w:rPr>
        <w:t xml:space="preserve"> means of Coral Cover (CC), Coral Cover derivative (</w:t>
      </w:r>
      <w:proofErr w:type="spellStart"/>
      <w:r>
        <w:rPr>
          <w:bCs/>
          <w:szCs w:val="22"/>
          <w:lang w:val="en-US"/>
        </w:rPr>
        <w:t>CCd</w:t>
      </w:r>
      <w:proofErr w:type="spellEnd"/>
      <w:r>
        <w:rPr>
          <w:bCs/>
          <w:szCs w:val="22"/>
          <w:lang w:val="en-US"/>
        </w:rPr>
        <w:t xml:space="preserve">), Seal Level Anomaly (SLA), Multivariate ENSO Index (MEI), Indian Ocean Dipole (IOD) and Degree Heating Week (DHW). </w:t>
      </w:r>
    </w:p>
    <w:p w:rsidR="009D6B23" w:rsidRDefault="009D6B23" w:rsidP="00E73E09">
      <w:pPr>
        <w:jc w:val="both"/>
        <w:rPr>
          <w:bCs/>
          <w:szCs w:val="22"/>
          <w:lang w:val="en-US"/>
        </w:rPr>
      </w:pPr>
    </w:p>
    <w:p w:rsidR="009D6B23" w:rsidRPr="009D6B23" w:rsidRDefault="009D6B23" w:rsidP="00E73E09">
      <w:pPr>
        <w:jc w:val="both"/>
        <w:rPr>
          <w:bCs/>
          <w:szCs w:val="22"/>
          <w:lang w:val="en-US"/>
        </w:rPr>
      </w:pPr>
    </w:p>
    <w:p w:rsidR="00E73E09" w:rsidRPr="00594F57" w:rsidRDefault="00E73E09" w:rsidP="00E73E09">
      <w:pPr>
        <w:jc w:val="both"/>
        <w:rPr>
          <w:sz w:val="28"/>
          <w:lang w:val="en-US"/>
        </w:rPr>
      </w:pPr>
      <w:r w:rsidRPr="00594F57">
        <w:rPr>
          <w:b/>
          <w:bCs/>
          <w:szCs w:val="22"/>
          <w:lang w:val="en-US"/>
        </w:rPr>
        <w:t>Fig. S</w:t>
      </w:r>
      <w:r w:rsidR="009D6B23">
        <w:rPr>
          <w:b/>
          <w:bCs/>
          <w:szCs w:val="22"/>
          <w:lang w:val="en-US"/>
        </w:rPr>
        <w:t>5</w:t>
      </w:r>
      <w:r w:rsidR="00594F57" w:rsidRPr="00594F57">
        <w:rPr>
          <w:szCs w:val="22"/>
          <w:lang w:val="en-US"/>
        </w:rPr>
        <w:t xml:space="preserve">: </w:t>
      </w:r>
      <w:r w:rsidRPr="00594F57">
        <w:rPr>
          <w:szCs w:val="22"/>
          <w:lang w:val="en-US"/>
        </w:rPr>
        <w:t xml:space="preserve">Daily Sea Level Anomalies in Reunion Island for the 1993-2015 period. This 2D representation shows no particular monthly or seasonal patterns. The 2015 SLA is </w:t>
      </w:r>
      <w:r w:rsidR="00E1324A">
        <w:rPr>
          <w:szCs w:val="22"/>
          <w:lang w:val="en-US"/>
        </w:rPr>
        <w:t xml:space="preserve">illustrated by </w:t>
      </w:r>
      <w:r w:rsidRPr="00594F57">
        <w:rPr>
          <w:szCs w:val="22"/>
          <w:lang w:val="en-US"/>
        </w:rPr>
        <w:t>the large deep blue patch at the top center</w:t>
      </w:r>
      <w:r w:rsidR="00E1324A">
        <w:rPr>
          <w:szCs w:val="22"/>
          <w:lang w:val="en-US"/>
        </w:rPr>
        <w:t xml:space="preserve"> of the figure</w:t>
      </w:r>
      <w:r w:rsidRPr="00594F57">
        <w:rPr>
          <w:szCs w:val="22"/>
          <w:lang w:val="en-US"/>
        </w:rPr>
        <w:t>.</w:t>
      </w:r>
    </w:p>
    <w:p w:rsidR="00E73E09" w:rsidRPr="009479FD" w:rsidRDefault="00E73E09">
      <w:pPr>
        <w:rPr>
          <w:lang w:val="en-US"/>
        </w:rPr>
      </w:pPr>
    </w:p>
    <w:sectPr w:rsidR="00E73E09" w:rsidRPr="009479FD" w:rsidSect="005051F3">
      <w:footerReference w:type="even" r:id="rId10"/>
      <w:footerReference w:type="default" r:id="rId11"/>
      <w:pgSz w:w="11900" w:h="16840"/>
      <w:pgMar w:top="1179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3F" w:rsidRDefault="000F723F">
      <w:r>
        <w:separator/>
      </w:r>
    </w:p>
  </w:endnote>
  <w:endnote w:type="continuationSeparator" w:id="0">
    <w:p w:rsidR="000F723F" w:rsidRDefault="000F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366366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40829" w:rsidRDefault="00A40829" w:rsidP="00505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40829" w:rsidRDefault="00A40829" w:rsidP="005051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084002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40829" w:rsidRDefault="00A40829" w:rsidP="00505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11653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:rsidR="00A40829" w:rsidRDefault="00A40829" w:rsidP="005051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3F" w:rsidRDefault="000F723F">
      <w:r>
        <w:separator/>
      </w:r>
    </w:p>
  </w:footnote>
  <w:footnote w:type="continuationSeparator" w:id="0">
    <w:p w:rsidR="000F723F" w:rsidRDefault="000F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C18"/>
    <w:multiLevelType w:val="hybridMultilevel"/>
    <w:tmpl w:val="99D4F8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FD"/>
    <w:rsid w:val="0004715B"/>
    <w:rsid w:val="00050B55"/>
    <w:rsid w:val="00067F5F"/>
    <w:rsid w:val="000A59E6"/>
    <w:rsid w:val="000B29E5"/>
    <w:rsid w:val="000B29FD"/>
    <w:rsid w:val="000F723F"/>
    <w:rsid w:val="0011422D"/>
    <w:rsid w:val="00122657"/>
    <w:rsid w:val="0016139F"/>
    <w:rsid w:val="001D080F"/>
    <w:rsid w:val="001D7998"/>
    <w:rsid w:val="001F0079"/>
    <w:rsid w:val="00240322"/>
    <w:rsid w:val="00241410"/>
    <w:rsid w:val="002B526D"/>
    <w:rsid w:val="002C4B6E"/>
    <w:rsid w:val="002D1791"/>
    <w:rsid w:val="002F7DE2"/>
    <w:rsid w:val="00311653"/>
    <w:rsid w:val="003272FC"/>
    <w:rsid w:val="00356265"/>
    <w:rsid w:val="00375E21"/>
    <w:rsid w:val="00387541"/>
    <w:rsid w:val="00392AB9"/>
    <w:rsid w:val="003A27D1"/>
    <w:rsid w:val="00403D3D"/>
    <w:rsid w:val="00405397"/>
    <w:rsid w:val="004253A1"/>
    <w:rsid w:val="00427B94"/>
    <w:rsid w:val="00432942"/>
    <w:rsid w:val="004369E8"/>
    <w:rsid w:val="00443B3E"/>
    <w:rsid w:val="00455535"/>
    <w:rsid w:val="004A38B6"/>
    <w:rsid w:val="004B4E4C"/>
    <w:rsid w:val="004B5BDA"/>
    <w:rsid w:val="004B7061"/>
    <w:rsid w:val="004E045B"/>
    <w:rsid w:val="005028A9"/>
    <w:rsid w:val="005051F3"/>
    <w:rsid w:val="0056203B"/>
    <w:rsid w:val="0058519B"/>
    <w:rsid w:val="005858AE"/>
    <w:rsid w:val="00586E62"/>
    <w:rsid w:val="0059396C"/>
    <w:rsid w:val="00594F57"/>
    <w:rsid w:val="005B0519"/>
    <w:rsid w:val="005B1C67"/>
    <w:rsid w:val="005B5381"/>
    <w:rsid w:val="005B66DC"/>
    <w:rsid w:val="005D1EAE"/>
    <w:rsid w:val="005E7486"/>
    <w:rsid w:val="005F0FD6"/>
    <w:rsid w:val="005F1A42"/>
    <w:rsid w:val="006163AF"/>
    <w:rsid w:val="00632A36"/>
    <w:rsid w:val="00632FCA"/>
    <w:rsid w:val="006A073F"/>
    <w:rsid w:val="006E5710"/>
    <w:rsid w:val="006F6D04"/>
    <w:rsid w:val="0070363C"/>
    <w:rsid w:val="007468B7"/>
    <w:rsid w:val="00753D1D"/>
    <w:rsid w:val="007A6DCB"/>
    <w:rsid w:val="007D1726"/>
    <w:rsid w:val="007F2C51"/>
    <w:rsid w:val="00802144"/>
    <w:rsid w:val="00802972"/>
    <w:rsid w:val="00805684"/>
    <w:rsid w:val="00806889"/>
    <w:rsid w:val="0081292B"/>
    <w:rsid w:val="00814C4A"/>
    <w:rsid w:val="00836492"/>
    <w:rsid w:val="00844BEC"/>
    <w:rsid w:val="008D2ABA"/>
    <w:rsid w:val="008F2905"/>
    <w:rsid w:val="0091605F"/>
    <w:rsid w:val="009479FD"/>
    <w:rsid w:val="009549CD"/>
    <w:rsid w:val="009568EE"/>
    <w:rsid w:val="009663B6"/>
    <w:rsid w:val="00977785"/>
    <w:rsid w:val="0099084E"/>
    <w:rsid w:val="009966B8"/>
    <w:rsid w:val="009D6B23"/>
    <w:rsid w:val="009E559D"/>
    <w:rsid w:val="009E7221"/>
    <w:rsid w:val="009F5116"/>
    <w:rsid w:val="00A01F4F"/>
    <w:rsid w:val="00A13CD4"/>
    <w:rsid w:val="00A17B11"/>
    <w:rsid w:val="00A27253"/>
    <w:rsid w:val="00A31426"/>
    <w:rsid w:val="00A40829"/>
    <w:rsid w:val="00A73B38"/>
    <w:rsid w:val="00A74B84"/>
    <w:rsid w:val="00A80439"/>
    <w:rsid w:val="00A82F85"/>
    <w:rsid w:val="00A94B06"/>
    <w:rsid w:val="00AA3AD5"/>
    <w:rsid w:val="00AA3D82"/>
    <w:rsid w:val="00AC098B"/>
    <w:rsid w:val="00AC1E07"/>
    <w:rsid w:val="00AF244E"/>
    <w:rsid w:val="00B16E89"/>
    <w:rsid w:val="00B51769"/>
    <w:rsid w:val="00B57634"/>
    <w:rsid w:val="00B807EC"/>
    <w:rsid w:val="00BB657C"/>
    <w:rsid w:val="00BC096D"/>
    <w:rsid w:val="00CB2D11"/>
    <w:rsid w:val="00CB7A4C"/>
    <w:rsid w:val="00CE3FCF"/>
    <w:rsid w:val="00D94733"/>
    <w:rsid w:val="00D9489E"/>
    <w:rsid w:val="00DE3B44"/>
    <w:rsid w:val="00E053E2"/>
    <w:rsid w:val="00E1324A"/>
    <w:rsid w:val="00E60EFC"/>
    <w:rsid w:val="00E720D0"/>
    <w:rsid w:val="00E73E09"/>
    <w:rsid w:val="00EB3A80"/>
    <w:rsid w:val="00ED5416"/>
    <w:rsid w:val="00F177B3"/>
    <w:rsid w:val="00F415EF"/>
    <w:rsid w:val="00F47347"/>
    <w:rsid w:val="00F476E0"/>
    <w:rsid w:val="00F5328A"/>
    <w:rsid w:val="00F60A3B"/>
    <w:rsid w:val="00F8225B"/>
    <w:rsid w:val="00F97725"/>
    <w:rsid w:val="00FE3F77"/>
    <w:rsid w:val="00FE5741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9C8C"/>
  <w15:docId w15:val="{B983F257-5B08-E543-BB8F-0C4B922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9F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7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9F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479FD"/>
  </w:style>
  <w:style w:type="character" w:styleId="Numrodeligne">
    <w:name w:val="line number"/>
    <w:basedOn w:val="Policepardfaut"/>
    <w:uiPriority w:val="99"/>
    <w:semiHidden/>
    <w:unhideWhenUsed/>
    <w:rsid w:val="009479FD"/>
  </w:style>
  <w:style w:type="character" w:styleId="Lienhypertexte">
    <w:name w:val="Hyperlink"/>
    <w:basedOn w:val="Policepardfaut"/>
    <w:uiPriority w:val="99"/>
    <w:unhideWhenUsed/>
    <w:rsid w:val="009479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8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8A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028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8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8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8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8A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B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7B1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7B11"/>
    <w:rPr>
      <w:vertAlign w:val="superscript"/>
    </w:rPr>
  </w:style>
  <w:style w:type="table" w:styleId="Grilledutableau">
    <w:name w:val="Table Grid"/>
    <w:basedOn w:val="TableauNormal"/>
    <w:uiPriority w:val="39"/>
    <w:rsid w:val="00E6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62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vic.remy.hoar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ovic.hoarau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2A54-0739-F541-86FD-0F3ABB21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Hoarau</dc:creator>
  <cp:keywords/>
  <dc:description/>
  <cp:lastModifiedBy>Ludovic Hoarau</cp:lastModifiedBy>
  <cp:revision>3</cp:revision>
  <dcterms:created xsi:type="dcterms:W3CDTF">2022-10-15T10:14:00Z</dcterms:created>
  <dcterms:modified xsi:type="dcterms:W3CDTF">2023-03-14T11:14:00Z</dcterms:modified>
</cp:coreProperties>
</file>