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4A" w:rsidRPr="00CE3DC0" w:rsidRDefault="00C52E4A" w:rsidP="00C52E4A">
      <w:pPr>
        <w:pStyle w:val="NormalWeb"/>
        <w:shd w:val="clear" w:color="auto" w:fill="FFFFFF"/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Significance statement </w:t>
      </w:r>
    </w:p>
    <w:p w:rsidR="00C52E4A" w:rsidRPr="00CE3DC0" w:rsidRDefault="00C52E4A" w:rsidP="00E02E23">
      <w:pPr>
        <w:jc w:val="both"/>
        <w:rPr>
          <w:rFonts w:asciiTheme="majorHAnsi" w:hAnsiTheme="majorHAnsi" w:cstheme="minorHAnsi"/>
          <w:sz w:val="20"/>
          <w:szCs w:val="20"/>
          <w:lang w:val="en-GB"/>
        </w:rPr>
      </w:pPr>
      <w:r w:rsidRPr="00CE3DC0">
        <w:rPr>
          <w:rFonts w:asciiTheme="majorHAnsi" w:hAnsiTheme="majorHAnsi" w:cstheme="minorHAnsi"/>
          <w:sz w:val="20"/>
          <w:szCs w:val="20"/>
          <w:lang w:val="en-GB"/>
        </w:rPr>
        <w:t>In this study, we investigated global biogeographical regions extending from shallow marine waters to the largest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, 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yet least explored habitat on Earth, the deep sea. Our objective was twofold. First, delineate for the first time the global bioregions of </w:t>
      </w:r>
      <w:proofErr w:type="spellStart"/>
      <w:r w:rsidRPr="00CE3DC0">
        <w:rPr>
          <w:rFonts w:asciiTheme="majorHAnsi" w:hAnsiTheme="majorHAnsi" w:cstheme="minorHAnsi"/>
          <w:sz w:val="20"/>
          <w:szCs w:val="20"/>
          <w:lang w:val="en-GB"/>
        </w:rPr>
        <w:t>ophiuroids</w:t>
      </w:r>
      <w:proofErr w:type="spell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using a biogeographical network approach. Second, test with models how region boundaries </w:t>
      </w:r>
      <w:proofErr w:type="gramStart"/>
      <w:r w:rsidRPr="00CE3DC0">
        <w:rPr>
          <w:rFonts w:asciiTheme="majorHAnsi" w:hAnsiTheme="majorHAnsi" w:cstheme="minorHAnsi"/>
          <w:sz w:val="20"/>
          <w:szCs w:val="20"/>
          <w:lang w:val="en-GB"/>
        </w:rPr>
        <w:t>are predicted</w:t>
      </w:r>
      <w:proofErr w:type="gram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by tectonic plates and contemporary environmental variables in order to derive hypotheses on the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processes that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shaped these regions from shallow water to the deep sea. These findings push forward the field of </w:t>
      </w:r>
      <w:proofErr w:type="spellStart"/>
      <w:r w:rsidRPr="00CE3DC0">
        <w:rPr>
          <w:rFonts w:asciiTheme="majorHAnsi" w:hAnsiTheme="majorHAnsi" w:cstheme="minorHAnsi"/>
          <w:sz w:val="20"/>
          <w:szCs w:val="20"/>
          <w:lang w:val="en-GB"/>
        </w:rPr>
        <w:t>macroecology</w:t>
      </w:r>
      <w:proofErr w:type="spellEnd"/>
      <w:r w:rsidRPr="00CE3DC0">
        <w:rPr>
          <w:rFonts w:asciiTheme="majorHAnsi" w:hAnsiTheme="majorHAnsi" w:cstheme="minorHAnsi"/>
          <w:sz w:val="20"/>
          <w:szCs w:val="20"/>
          <w:lang w:val="en-GB"/>
        </w:rPr>
        <w:t>, because we are able to characterise biogeographical patterns and test mecha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nisms that generate them in 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the deep ocean, using distribution data </w:t>
      </w:r>
      <w:r w:rsidR="00CE3DC0" w:rsidRPr="00CE3DC0">
        <w:rPr>
          <w:rFonts w:asciiTheme="majorHAnsi" w:hAnsiTheme="majorHAnsi" w:cstheme="minorHAnsi"/>
          <w:sz w:val="20"/>
          <w:szCs w:val="20"/>
          <w:lang w:val="en-GB"/>
        </w:rPr>
        <w:t>of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a less </w:t>
      </w:r>
      <w:proofErr w:type="gramStart"/>
      <w:r w:rsidRPr="00CE3DC0">
        <w:rPr>
          <w:rFonts w:asciiTheme="majorHAnsi" w:hAnsiTheme="majorHAnsi" w:cstheme="minorHAnsi"/>
          <w:sz w:val="20"/>
          <w:szCs w:val="20"/>
          <w:lang w:val="en-GB"/>
        </w:rPr>
        <w:t>well known</w:t>
      </w:r>
      <w:proofErr w:type="gram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taxon. </w:t>
      </w:r>
      <w:r w:rsidR="00CE3DC0" w:rsidRPr="00CE3DC0">
        <w:rPr>
          <w:rFonts w:asciiTheme="majorHAnsi" w:hAnsiTheme="majorHAnsi" w:cstheme="minorHAnsi"/>
          <w:sz w:val="20"/>
          <w:szCs w:val="20"/>
          <w:lang w:val="en-GB"/>
        </w:rPr>
        <w:t>This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study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will be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of interest for a wide audience since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it addresses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multiple aspects of biogeography and </w:t>
      </w:r>
      <w:proofErr w:type="spellStart"/>
      <w:r w:rsidRPr="00CE3DC0">
        <w:rPr>
          <w:rFonts w:asciiTheme="majorHAnsi" w:hAnsiTheme="majorHAnsi" w:cstheme="minorHAnsi"/>
          <w:sz w:val="20"/>
          <w:szCs w:val="20"/>
          <w:lang w:val="en-GB"/>
        </w:rPr>
        <w:t>macroecology</w:t>
      </w:r>
      <w:proofErr w:type="spell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at the global scale (</w:t>
      </w:r>
      <w:proofErr w:type="spellStart"/>
      <w:r w:rsidRPr="00CE3DC0">
        <w:rPr>
          <w:rFonts w:asciiTheme="majorHAnsi" w:hAnsiTheme="majorHAnsi" w:cstheme="minorHAnsi"/>
          <w:sz w:val="20"/>
          <w:szCs w:val="20"/>
          <w:lang w:val="en-GB"/>
        </w:rPr>
        <w:t>bioregionalisation</w:t>
      </w:r>
      <w:proofErr w:type="spell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, drivers of distinctiveness among faunas) and applies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methods, which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proofErr w:type="gramStart"/>
      <w:r w:rsidRPr="00CE3DC0">
        <w:rPr>
          <w:rFonts w:asciiTheme="majorHAnsi" w:hAnsiTheme="majorHAnsi" w:cstheme="minorHAnsi"/>
          <w:sz w:val="20"/>
          <w:szCs w:val="20"/>
          <w:lang w:val="en-GB"/>
        </w:rPr>
        <w:t>can be transferred</w:t>
      </w:r>
      <w:proofErr w:type="gramEnd"/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to all types of ecosystems. The current study builds upon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previous biogeographical 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work by Tim O’Hara in the deep-sea.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Our study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utilises novel analyses (networks) to generate </w:t>
      </w:r>
      <w:r w:rsidR="00CE3DC0" w:rsidRPr="00CE3DC0">
        <w:rPr>
          <w:rFonts w:asciiTheme="majorHAnsi" w:hAnsiTheme="majorHAnsi" w:cstheme="minorHAnsi"/>
          <w:sz w:val="20"/>
          <w:szCs w:val="20"/>
          <w:lang w:val="en-GB"/>
        </w:rPr>
        <w:t>larger benthic bioregions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,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but also illustrating 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transition regions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and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displaying the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faunal connections</w:t>
      </w:r>
      <w:r w:rsidR="00CE3DC0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between the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bioregions. Fu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r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>thermore, in this study we e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>xpand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quantitatively </w:t>
      </w:r>
      <w:r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our understanding </w:t>
      </w:r>
      <w:r w:rsidR="00E02E23" w:rsidRPr="00CE3DC0">
        <w:rPr>
          <w:rFonts w:asciiTheme="majorHAnsi" w:hAnsiTheme="majorHAnsi" w:cstheme="minorHAnsi"/>
          <w:sz w:val="20"/>
          <w:szCs w:val="20"/>
          <w:lang w:val="en-GB"/>
        </w:rPr>
        <w:t xml:space="preserve">of processes that have created benthic bioregions extending from coastal waters to the deep-ocean. </w:t>
      </w:r>
    </w:p>
    <w:p w:rsidR="00C52E4A" w:rsidRPr="00CE3DC0" w:rsidRDefault="00C52E4A" w:rsidP="00C52E4A">
      <w:pPr>
        <w:pStyle w:val="NormalWeb"/>
        <w:shd w:val="clear" w:color="auto" w:fill="FFFFFF"/>
        <w:tabs>
          <w:tab w:val="center" w:pos="4536"/>
        </w:tabs>
        <w:rPr>
          <w:rFonts w:asciiTheme="majorHAnsi" w:hAnsiTheme="majorHAnsi" w:cs="Arial"/>
          <w:b/>
          <w:bCs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Data archiving statement </w:t>
      </w: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ab/>
      </w:r>
    </w:p>
    <w:p w:rsidR="00C817DE" w:rsidRPr="00C817DE" w:rsidRDefault="00C817DE" w:rsidP="00C817DE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C817DE">
        <w:rPr>
          <w:rFonts w:asciiTheme="majorHAnsi" w:hAnsiTheme="majorHAnsi" w:cstheme="majorHAnsi"/>
          <w:color w:val="1C1D1E"/>
          <w:sz w:val="20"/>
          <w:szCs w:val="20"/>
          <w:shd w:val="clear" w:color="auto" w:fill="FFFFFF"/>
          <w:lang w:val="en-GB"/>
        </w:rPr>
        <w:t xml:space="preserve">The </w:t>
      </w:r>
      <w:proofErr w:type="spellStart"/>
      <w:r w:rsidRPr="00C817DE">
        <w:rPr>
          <w:rFonts w:asciiTheme="majorHAnsi" w:hAnsiTheme="majorHAnsi" w:cstheme="majorHAnsi"/>
          <w:color w:val="1C1D1E"/>
          <w:sz w:val="20"/>
          <w:szCs w:val="20"/>
          <w:shd w:val="clear" w:color="auto" w:fill="FFFFFF"/>
          <w:lang w:val="en-GB"/>
        </w:rPr>
        <w:t>ophiuroid</w:t>
      </w:r>
      <w:proofErr w:type="spellEnd"/>
      <w:r w:rsidRPr="00C817DE">
        <w:rPr>
          <w:rFonts w:asciiTheme="majorHAnsi" w:hAnsiTheme="majorHAnsi" w:cstheme="majorHAnsi"/>
          <w:color w:val="1C1D1E"/>
          <w:sz w:val="20"/>
          <w:szCs w:val="20"/>
          <w:shd w:val="clear" w:color="auto" w:fill="FFFFFF"/>
          <w:lang w:val="en-GB"/>
        </w:rPr>
        <w:t xml:space="preserve"> distribution dataset and scripts used in this study are available at DOI:</w:t>
      </w:r>
      <w:r w:rsidRPr="00C817DE">
        <w:rPr>
          <w:rFonts w:asciiTheme="majorHAnsi" w:hAnsiTheme="majorHAnsi" w:cstheme="majorHAnsi"/>
          <w:sz w:val="20"/>
          <w:szCs w:val="20"/>
          <w:lang w:val="en-GB"/>
        </w:rPr>
        <w:t>10.5281/zenodo.7656699.</w:t>
      </w:r>
    </w:p>
    <w:p w:rsidR="00C52E4A" w:rsidRPr="00CE3DC0" w:rsidRDefault="00C52E4A" w:rsidP="00C52E4A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Conflict of interest statement </w:t>
      </w:r>
      <w:r w:rsidRPr="00CE3DC0">
        <w:rPr>
          <w:rFonts w:asciiTheme="majorHAnsi" w:hAnsiTheme="majorHAnsi" w:cs="Arial"/>
          <w:color w:val="222222"/>
          <w:sz w:val="20"/>
          <w:szCs w:val="20"/>
          <w:lang w:val="en-GB"/>
        </w:rPr>
        <w:br/>
      </w:r>
      <w:proofErr w:type="gramStart"/>
      <w:r w:rsidRPr="00CE3DC0">
        <w:rPr>
          <w:rFonts w:asciiTheme="majorHAnsi" w:hAnsiTheme="majorHAnsi" w:cs="Arial"/>
          <w:color w:val="222222"/>
          <w:sz w:val="20"/>
          <w:szCs w:val="20"/>
          <w:lang w:val="en-GB"/>
        </w:rPr>
        <w:t>There</w:t>
      </w:r>
      <w:proofErr w:type="gramEnd"/>
      <w:r w:rsidRPr="00CE3DC0">
        <w:rPr>
          <w:rFonts w:asciiTheme="majorHAnsi" w:hAnsiTheme="majorHAnsi" w:cs="Arial"/>
          <w:color w:val="222222"/>
          <w:sz w:val="20"/>
          <w:szCs w:val="20"/>
          <w:lang w:val="en-GB"/>
        </w:rPr>
        <w:t xml:space="preserve"> is no conflict of interest.</w:t>
      </w:r>
    </w:p>
    <w:p w:rsidR="00C52E4A" w:rsidRPr="00CE3DC0" w:rsidRDefault="00C52E4A" w:rsidP="00C52E4A">
      <w:pPr>
        <w:pStyle w:val="NormalWeb"/>
        <w:shd w:val="clear" w:color="auto" w:fill="FFFFFF"/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Ethics statement </w:t>
      </w:r>
    </w:p>
    <w:p w:rsidR="00C817DE" w:rsidRPr="00C817DE" w:rsidRDefault="00C52E4A" w:rsidP="00C817DE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b w:val="0"/>
          <w:color w:val="222222"/>
          <w:sz w:val="20"/>
          <w:szCs w:val="20"/>
          <w:lang w:val="en-GB"/>
        </w:rPr>
        <w:t xml:space="preserve">Details of </w:t>
      </w:r>
      <w:proofErr w:type="spellStart"/>
      <w:r w:rsidRPr="00CE3DC0">
        <w:rPr>
          <w:rStyle w:val="Strong"/>
          <w:rFonts w:asciiTheme="majorHAnsi" w:hAnsiTheme="majorHAnsi" w:cs="Arial"/>
          <w:b w:val="0"/>
          <w:color w:val="222222"/>
          <w:sz w:val="20"/>
          <w:szCs w:val="20"/>
          <w:lang w:val="en-GB"/>
        </w:rPr>
        <w:t>ophiur</w:t>
      </w:r>
      <w:r w:rsidR="00C817DE">
        <w:rPr>
          <w:rStyle w:val="Strong"/>
          <w:rFonts w:asciiTheme="majorHAnsi" w:hAnsiTheme="majorHAnsi" w:cs="Arial"/>
          <w:b w:val="0"/>
          <w:color w:val="222222"/>
          <w:sz w:val="20"/>
          <w:szCs w:val="20"/>
          <w:lang w:val="en-GB"/>
        </w:rPr>
        <w:t>oid</w:t>
      </w:r>
      <w:proofErr w:type="spellEnd"/>
      <w:r w:rsidR="00C817DE">
        <w:rPr>
          <w:rStyle w:val="Strong"/>
          <w:rFonts w:asciiTheme="majorHAnsi" w:hAnsiTheme="majorHAnsi" w:cs="Arial"/>
          <w:b w:val="0"/>
          <w:color w:val="222222"/>
          <w:sz w:val="20"/>
          <w:szCs w:val="20"/>
          <w:lang w:val="en-GB"/>
        </w:rPr>
        <w:t xml:space="preserve"> voucher </w:t>
      </w:r>
      <w:r w:rsidR="00C817DE" w:rsidRPr="00C817DE">
        <w:rPr>
          <w:rStyle w:val="Strong"/>
          <w:rFonts w:asciiTheme="majorHAnsi" w:hAnsiTheme="majorHAnsi" w:cs="Arial"/>
          <w:b w:val="0"/>
          <w:color w:val="000000" w:themeColor="text1"/>
          <w:sz w:val="20"/>
          <w:szCs w:val="20"/>
          <w:lang w:val="en-GB"/>
        </w:rPr>
        <w:t xml:space="preserve">specimens located </w:t>
      </w:r>
      <w:r w:rsidR="00C817DE" w:rsidRPr="00C817DE">
        <w:rPr>
          <w:rStyle w:val="Strong"/>
          <w:rFonts w:asciiTheme="majorHAnsi" w:hAnsiTheme="majorHAnsi" w:cstheme="majorHAnsi"/>
          <w:b w:val="0"/>
          <w:color w:val="000000" w:themeColor="text1"/>
          <w:sz w:val="20"/>
          <w:szCs w:val="20"/>
          <w:lang w:val="en-GB"/>
        </w:rPr>
        <w:t xml:space="preserve">at the </w:t>
      </w:r>
      <w:proofErr w:type="spellStart"/>
      <w:r w:rsidR="00C817DE" w:rsidRPr="00C817DE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en-GB"/>
        </w:rPr>
        <w:t>Muséum</w:t>
      </w:r>
      <w:proofErr w:type="spellEnd"/>
      <w:r w:rsidR="00C817DE" w:rsidRPr="00C817DE">
        <w:rPr>
          <w:rStyle w:val="Emphasis"/>
          <w:rFonts w:asciiTheme="majorHAnsi" w:hAnsiTheme="majorHAnsi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en-GB"/>
        </w:rPr>
        <w:t xml:space="preserve"> national</w:t>
      </w:r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> </w:t>
      </w:r>
      <w:proofErr w:type="spellStart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>d'Histoire</w:t>
      </w:r>
      <w:proofErr w:type="spellEnd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>naturelle</w:t>
      </w:r>
      <w:proofErr w:type="spellEnd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C817DE">
        <w:rPr>
          <w:rStyle w:val="Strong"/>
          <w:rFonts w:asciiTheme="majorHAnsi" w:hAnsiTheme="majorHAnsi" w:cstheme="majorHAnsi"/>
          <w:b w:val="0"/>
          <w:color w:val="000000" w:themeColor="text1"/>
          <w:sz w:val="20"/>
          <w:szCs w:val="20"/>
          <w:lang w:val="en-GB"/>
        </w:rPr>
        <w:t>are available in the</w:t>
      </w:r>
      <w:r w:rsidR="00C817DE" w:rsidRPr="00C817DE">
        <w:rPr>
          <w:rStyle w:val="Strong"/>
          <w:rFonts w:asciiTheme="majorHAnsi" w:hAnsiTheme="majorHAnsi" w:cstheme="majorHAnsi"/>
          <w:b w:val="0"/>
          <w:color w:val="000000" w:themeColor="text1"/>
          <w:sz w:val="20"/>
          <w:szCs w:val="20"/>
          <w:lang w:val="en-GB"/>
        </w:rPr>
        <w:t xml:space="preserve"> sup</w:t>
      </w:r>
      <w:r w:rsidR="00C817DE">
        <w:rPr>
          <w:rStyle w:val="Strong"/>
          <w:rFonts w:asciiTheme="majorHAnsi" w:hAnsiTheme="majorHAnsi" w:cstheme="majorHAnsi"/>
          <w:b w:val="0"/>
          <w:color w:val="000000" w:themeColor="text1"/>
          <w:sz w:val="20"/>
          <w:szCs w:val="20"/>
          <w:lang w:val="en-GB"/>
        </w:rPr>
        <w:t xml:space="preserve">plementary material in Table 3. </w:t>
      </w:r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 xml:space="preserve">The </w:t>
      </w:r>
      <w:proofErr w:type="spellStart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>ophiuroid</w:t>
      </w:r>
      <w:proofErr w:type="spellEnd"/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en-GB"/>
        </w:rPr>
        <w:t xml:space="preserve"> distribution dataset and scripts used in this study are available at DOI:</w:t>
      </w:r>
      <w:r w:rsidR="00C817DE" w:rsidRPr="00C817DE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10.5281/zenodo.7656699.</w:t>
      </w:r>
    </w:p>
    <w:p w:rsidR="00C52E4A" w:rsidRPr="00C817DE" w:rsidRDefault="00C52E4A" w:rsidP="00C52E4A">
      <w:pPr>
        <w:pStyle w:val="NormalWeb"/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  <w:lang w:val="en-GB"/>
        </w:rPr>
      </w:pPr>
    </w:p>
    <w:p w:rsidR="00C52E4A" w:rsidRPr="00CE3DC0" w:rsidRDefault="00C52E4A" w:rsidP="00C52E4A">
      <w:pPr>
        <w:pStyle w:val="NormalWeb"/>
        <w:shd w:val="clear" w:color="auto" w:fill="FFFFFF"/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Funding statement </w:t>
      </w:r>
    </w:p>
    <w:p w:rsidR="00C52E4A" w:rsidRPr="00CE3DC0" w:rsidRDefault="00C52E4A" w:rsidP="00C52E4A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CE3DC0">
        <w:rPr>
          <w:rFonts w:asciiTheme="majorHAnsi" w:hAnsiTheme="majorHAnsi" w:cstheme="majorHAnsi"/>
          <w:sz w:val="20"/>
          <w:szCs w:val="20"/>
          <w:lang w:val="en-GB"/>
        </w:rPr>
        <w:t xml:space="preserve">The Census of Marine Life provided funds to TOH to complete the </w:t>
      </w:r>
      <w:proofErr w:type="spellStart"/>
      <w:r w:rsidRPr="00CE3DC0">
        <w:rPr>
          <w:rFonts w:asciiTheme="majorHAnsi" w:hAnsiTheme="majorHAnsi" w:cstheme="majorHAnsi"/>
          <w:sz w:val="20"/>
          <w:szCs w:val="20"/>
          <w:lang w:val="en-GB"/>
        </w:rPr>
        <w:t>ophiuroid</w:t>
      </w:r>
      <w:proofErr w:type="spellEnd"/>
      <w:r w:rsidRPr="00CE3DC0">
        <w:rPr>
          <w:rFonts w:asciiTheme="majorHAnsi" w:hAnsiTheme="majorHAnsi" w:cstheme="majorHAnsi"/>
          <w:sz w:val="20"/>
          <w:szCs w:val="20"/>
          <w:lang w:val="en-GB"/>
        </w:rPr>
        <w:t xml:space="preserve"> dataset. LV and JD were funded by the LABEX </w:t>
      </w:r>
      <w:proofErr w:type="spellStart"/>
      <w:r w:rsidRPr="00CE3DC0">
        <w:rPr>
          <w:rFonts w:asciiTheme="majorHAnsi" w:hAnsiTheme="majorHAnsi" w:cstheme="majorHAnsi"/>
          <w:sz w:val="20"/>
          <w:szCs w:val="20"/>
          <w:lang w:val="en-GB"/>
        </w:rPr>
        <w:t>BCDiv</w:t>
      </w:r>
      <w:proofErr w:type="spellEnd"/>
      <w:r w:rsidRPr="00CE3DC0">
        <w:rPr>
          <w:rFonts w:asciiTheme="majorHAnsi" w:hAnsiTheme="majorHAnsi" w:cstheme="majorHAnsi"/>
          <w:sz w:val="20"/>
          <w:szCs w:val="20"/>
          <w:lang w:val="en-GB"/>
        </w:rPr>
        <w:t xml:space="preserve"> (ANR-10-LABX-03) grant, which also supported the latest cruises of the Tropical Deep-Sea Benthos program namely KANACONO (</w:t>
      </w:r>
      <w:r w:rsidRPr="00CE3DC0">
        <w:rPr>
          <w:rFonts w:asciiTheme="majorHAnsi" w:eastAsia="Times New Roman" w:hAnsiTheme="majorHAnsi" w:cs="Calibri"/>
          <w:color w:val="000000"/>
          <w:sz w:val="20"/>
          <w:szCs w:val="20"/>
          <w:lang w:val="en-GB"/>
        </w:rPr>
        <w:t>10.17600/16003900)</w:t>
      </w:r>
      <w:r w:rsidRPr="00CE3DC0">
        <w:rPr>
          <w:rFonts w:asciiTheme="majorHAnsi" w:hAnsiTheme="majorHAnsi" w:cstheme="majorHAnsi"/>
          <w:sz w:val="20"/>
          <w:szCs w:val="20"/>
          <w:lang w:val="en-GB"/>
        </w:rPr>
        <w:t>, KANADEEP1 (10.17600/17003800) and PAPUA NIUGINI</w:t>
      </w:r>
      <w:r w:rsidRPr="00CE3DC0" w:rsidDel="00922985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CE3DC0">
        <w:rPr>
          <w:rFonts w:asciiTheme="majorHAnsi" w:hAnsiTheme="majorHAnsi" w:cstheme="majorHAnsi"/>
          <w:sz w:val="20"/>
          <w:szCs w:val="20"/>
          <w:lang w:val="en-GB"/>
        </w:rPr>
        <w:t xml:space="preserve">(10.17600/18000841)) that enriched the dataset. </w:t>
      </w:r>
      <w:proofErr w:type="gramStart"/>
      <w:r w:rsidRPr="00CE3DC0">
        <w:rPr>
          <w:rFonts w:asciiTheme="majorHAnsi" w:hAnsiTheme="majorHAnsi" w:cstheme="majorHAnsi"/>
          <w:sz w:val="20"/>
          <w:szCs w:val="20"/>
          <w:lang w:val="en-GB"/>
        </w:rPr>
        <w:t>LV was also further funded by the Norwegian Research Council project number 287934</w:t>
      </w:r>
      <w:proofErr w:type="gramEnd"/>
      <w:r w:rsidRPr="00CE3DC0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:rsidR="00C52E4A" w:rsidRPr="00580947" w:rsidRDefault="00C52E4A" w:rsidP="00C52E4A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0"/>
          <w:szCs w:val="20"/>
          <w:lang w:val="en-GB"/>
        </w:rPr>
      </w:pPr>
      <w:r w:rsidRPr="00CE3DC0">
        <w:rPr>
          <w:rStyle w:val="Strong"/>
          <w:rFonts w:asciiTheme="majorHAnsi" w:hAnsiTheme="majorHAnsi" w:cs="Arial"/>
          <w:color w:val="222222"/>
          <w:sz w:val="20"/>
          <w:szCs w:val="20"/>
          <w:lang w:val="en-GB"/>
        </w:rPr>
        <w:t>Acknowledgements </w:t>
      </w:r>
      <w:bookmarkStart w:id="0" w:name="_GoBack"/>
    </w:p>
    <w:p w:rsidR="00580947" w:rsidRPr="00580947" w:rsidRDefault="00C52E4A" w:rsidP="00580947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The authors would like to express their gratitude towards the Tropical Deep-Sea Benthos exploration program and the associated cruises and taxonomists, which have been instrumental in gathering biodiversity data (https://expeditions.mnhn.fr/program/tropicaldeep-seabenthos). LV would like to thank </w:t>
      </w:r>
      <w:proofErr w:type="spellStart"/>
      <w:r w:rsidRPr="00580947">
        <w:rPr>
          <w:rFonts w:asciiTheme="majorHAnsi" w:hAnsiTheme="majorHAnsi" w:cstheme="majorHAnsi"/>
          <w:sz w:val="20"/>
          <w:szCs w:val="20"/>
          <w:lang w:val="en-GB"/>
        </w:rPr>
        <w:t>Dr.</w:t>
      </w:r>
      <w:proofErr w:type="spellEnd"/>
      <w:r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 Marine </w:t>
      </w:r>
      <w:proofErr w:type="spellStart"/>
      <w:r w:rsidRPr="00580947">
        <w:rPr>
          <w:rFonts w:asciiTheme="majorHAnsi" w:hAnsiTheme="majorHAnsi" w:cstheme="majorHAnsi"/>
          <w:sz w:val="20"/>
          <w:szCs w:val="20"/>
          <w:lang w:val="en-GB"/>
        </w:rPr>
        <w:t>Robuchon</w:t>
      </w:r>
      <w:proofErr w:type="spellEnd"/>
      <w:r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 and </w:t>
      </w:r>
      <w:proofErr w:type="spellStart"/>
      <w:r w:rsidRPr="00580947">
        <w:rPr>
          <w:rFonts w:asciiTheme="majorHAnsi" w:hAnsiTheme="majorHAnsi" w:cstheme="majorHAnsi"/>
          <w:sz w:val="20"/>
          <w:szCs w:val="20"/>
          <w:lang w:val="en-GB"/>
        </w:rPr>
        <w:t>Dr.</w:t>
      </w:r>
      <w:proofErr w:type="spellEnd"/>
      <w:r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 Eric </w:t>
      </w:r>
      <w:proofErr w:type="spellStart"/>
      <w:r w:rsidRPr="00580947">
        <w:rPr>
          <w:rFonts w:asciiTheme="majorHAnsi" w:hAnsiTheme="majorHAnsi" w:cstheme="majorHAnsi"/>
          <w:sz w:val="20"/>
          <w:szCs w:val="20"/>
          <w:lang w:val="en-GB"/>
        </w:rPr>
        <w:t>Pante</w:t>
      </w:r>
      <w:proofErr w:type="spellEnd"/>
      <w:r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 for useful discussions, which contributed towards the manuscript.</w:t>
      </w:r>
      <w:r w:rsidR="00580947"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580947" w:rsidRPr="00580947">
        <w:rPr>
          <w:rFonts w:asciiTheme="majorHAnsi" w:hAnsiTheme="majorHAnsi" w:cstheme="majorHAnsi"/>
          <w:sz w:val="20"/>
          <w:szCs w:val="20"/>
          <w:lang w:val="en-GB"/>
        </w:rPr>
        <w:t xml:space="preserve">All authors thank the three anonymous reviewers whose comments improved the manuscript significantly. </w:t>
      </w:r>
    </w:p>
    <w:bookmarkEnd w:id="0"/>
    <w:p w:rsidR="00C52E4A" w:rsidRPr="00CE3DC0" w:rsidRDefault="00C52E4A" w:rsidP="00C52E4A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C52E4A" w:rsidRPr="00CE3DC0" w:rsidRDefault="00C52E4A" w:rsidP="00C52E4A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:rsidR="00C52E4A" w:rsidRPr="00CE3DC0" w:rsidRDefault="00C52E4A" w:rsidP="00C52E4A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0"/>
          <w:szCs w:val="20"/>
          <w:lang w:val="en-GB"/>
        </w:rPr>
      </w:pPr>
    </w:p>
    <w:p w:rsidR="00DB34B4" w:rsidRPr="00CE3DC0" w:rsidRDefault="00580947">
      <w:pPr>
        <w:rPr>
          <w:rFonts w:asciiTheme="majorHAnsi" w:hAnsiTheme="majorHAnsi"/>
          <w:sz w:val="20"/>
          <w:szCs w:val="20"/>
          <w:lang w:val="en-GB"/>
        </w:rPr>
      </w:pPr>
    </w:p>
    <w:sectPr w:rsidR="00DB34B4" w:rsidRPr="00CE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4A"/>
    <w:rsid w:val="00580947"/>
    <w:rsid w:val="00C52E4A"/>
    <w:rsid w:val="00C817DE"/>
    <w:rsid w:val="00CE3DC0"/>
    <w:rsid w:val="00D30922"/>
    <w:rsid w:val="00D811DD"/>
    <w:rsid w:val="00E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4FB2"/>
  <w15:chartTrackingRefBased/>
  <w15:docId w15:val="{6E8EE6FE-036B-42C3-BD76-240A97F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C52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2E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Victorero</dc:creator>
  <cp:keywords/>
  <dc:description/>
  <cp:lastModifiedBy>Lissette Victorero</cp:lastModifiedBy>
  <cp:revision>3</cp:revision>
  <dcterms:created xsi:type="dcterms:W3CDTF">2022-10-04T18:45:00Z</dcterms:created>
  <dcterms:modified xsi:type="dcterms:W3CDTF">2023-02-20T22:15:00Z</dcterms:modified>
</cp:coreProperties>
</file>