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86B2C" w14:textId="77777777" w:rsidR="00E61DB8" w:rsidRDefault="00E61DB8" w:rsidP="00E61DB8">
      <w:pPr>
        <w:jc w:val="center"/>
        <w:rPr>
          <w:rFonts w:ascii="Times New Roman" w:hAnsi="Times New Roman" w:cs="Times New Roman"/>
          <w:b/>
          <w:bCs/>
          <w:sz w:val="40"/>
          <w:szCs w:val="40"/>
        </w:rPr>
      </w:pPr>
      <w:r w:rsidRPr="005A6E66">
        <w:rPr>
          <w:rFonts w:ascii="Times New Roman" w:hAnsi="Times New Roman" w:cs="Times New Roman"/>
          <w:b/>
          <w:bCs/>
          <w:sz w:val="40"/>
          <w:szCs w:val="40"/>
        </w:rPr>
        <w:t>Supplementary material</w:t>
      </w:r>
    </w:p>
    <w:p w14:paraId="0AA709D8" w14:textId="2B1B10AE" w:rsidR="0049190D" w:rsidRPr="0049190D" w:rsidRDefault="0049190D" w:rsidP="0049190D">
      <w:pPr>
        <w:jc w:val="center"/>
        <w:rPr>
          <w:rFonts w:ascii="Times New Roman" w:hAnsi="Times New Roman" w:cs="Times New Roman"/>
          <w:b/>
          <w:bCs/>
          <w:sz w:val="24"/>
          <w:szCs w:val="24"/>
        </w:rPr>
      </w:pPr>
      <w:bookmarkStart w:id="0" w:name="_Hlk129944423"/>
      <w:r w:rsidRPr="0049190D">
        <w:rPr>
          <w:rFonts w:ascii="Times New Roman" w:hAnsi="Times New Roman" w:cs="Times New Roman"/>
          <w:b/>
          <w:bCs/>
          <w:sz w:val="24"/>
          <w:szCs w:val="24"/>
        </w:rPr>
        <w:t>On the timing of megafaunal extinction and associated floristic consequences in Australia through the lens of functional palaeoecology.</w:t>
      </w:r>
      <w:bookmarkEnd w:id="0"/>
    </w:p>
    <w:p w14:paraId="45314DF4" w14:textId="77777777" w:rsidR="0049190D" w:rsidRDefault="0049190D" w:rsidP="0049190D">
      <w:pPr>
        <w:jc w:val="center"/>
        <w:rPr>
          <w:rFonts w:ascii="Times New Roman" w:hAnsi="Times New Roman" w:cs="Times New Roman"/>
          <w:b/>
          <w:bCs/>
          <w:sz w:val="24"/>
          <w:szCs w:val="24"/>
        </w:rPr>
      </w:pPr>
    </w:p>
    <w:p w14:paraId="0F88631C" w14:textId="77777777" w:rsidR="0049190D" w:rsidRPr="00EF64C8" w:rsidRDefault="0049190D" w:rsidP="0049190D">
      <w:pPr>
        <w:jc w:val="center"/>
        <w:rPr>
          <w:rFonts w:ascii="Times New Roman" w:hAnsi="Times New Roman" w:cs="Times New Roman"/>
          <w:sz w:val="24"/>
          <w:szCs w:val="24"/>
        </w:rPr>
      </w:pPr>
      <w:r>
        <w:rPr>
          <w:rFonts w:ascii="Times New Roman" w:hAnsi="Times New Roman" w:cs="Times New Roman"/>
          <w:b/>
          <w:bCs/>
          <w:sz w:val="24"/>
          <w:szCs w:val="24"/>
        </w:rPr>
        <w:t xml:space="preserve">Authors: </w:t>
      </w:r>
      <w:r>
        <w:rPr>
          <w:rFonts w:ascii="Times New Roman" w:hAnsi="Times New Roman" w:cs="Times New Roman"/>
          <w:sz w:val="24"/>
          <w:szCs w:val="24"/>
        </w:rPr>
        <w:t xml:space="preserve">Matthew Adesanya </w:t>
      </w:r>
      <w:proofErr w:type="spellStart"/>
      <w:r>
        <w:rPr>
          <w:rFonts w:ascii="Times New Roman" w:hAnsi="Times New Roman" w:cs="Times New Roman"/>
          <w:sz w:val="24"/>
          <w:szCs w:val="24"/>
        </w:rPr>
        <w:t>ADELEYE</w:t>
      </w:r>
      <w:r>
        <w:rPr>
          <w:rFonts w:ascii="Times New Roman" w:hAnsi="Times New Roman" w:cs="Times New Roman"/>
          <w:sz w:val="24"/>
          <w:szCs w:val="24"/>
          <w:vertAlign w:val="superscript"/>
        </w:rPr>
        <w:t>a,b,c</w:t>
      </w:r>
      <w:proofErr w:type="spellEnd"/>
      <w:r>
        <w:rPr>
          <w:rFonts w:ascii="Times New Roman" w:hAnsi="Times New Roman" w:cs="Times New Roman"/>
          <w:sz w:val="24"/>
          <w:szCs w:val="24"/>
        </w:rPr>
        <w:t xml:space="preserve">; Samuel Charles </w:t>
      </w:r>
      <w:proofErr w:type="spellStart"/>
      <w:r>
        <w:rPr>
          <w:rFonts w:ascii="Times New Roman" w:hAnsi="Times New Roman" w:cs="Times New Roman"/>
          <w:sz w:val="24"/>
          <w:szCs w:val="24"/>
        </w:rPr>
        <w:t>ANDREW</w:t>
      </w:r>
      <w:r>
        <w:rPr>
          <w:rFonts w:ascii="Times New Roman" w:hAnsi="Times New Roman" w:cs="Times New Roman"/>
          <w:sz w:val="24"/>
          <w:szCs w:val="24"/>
          <w:vertAlign w:val="superscript"/>
        </w:rPr>
        <w:t>d</w:t>
      </w:r>
      <w:proofErr w:type="spellEnd"/>
      <w:r>
        <w:rPr>
          <w:rFonts w:ascii="Times New Roman" w:hAnsi="Times New Roman" w:cs="Times New Roman"/>
          <w:sz w:val="24"/>
          <w:szCs w:val="24"/>
        </w:rPr>
        <w:t xml:space="preserve">; </w:t>
      </w:r>
      <w:r w:rsidRPr="000C46DD">
        <w:rPr>
          <w:rFonts w:ascii="Times New Roman" w:hAnsi="Times New Roman" w:cs="Times New Roman"/>
          <w:sz w:val="24"/>
          <w:szCs w:val="24"/>
        </w:rPr>
        <w:t>Rachael</w:t>
      </w:r>
      <w:r>
        <w:rPr>
          <w:rFonts w:ascii="Times New Roman" w:hAnsi="Times New Roman" w:cs="Times New Roman"/>
          <w:sz w:val="24"/>
          <w:szCs w:val="24"/>
        </w:rPr>
        <w:t xml:space="preserve"> </w:t>
      </w:r>
      <w:proofErr w:type="spellStart"/>
      <w:r w:rsidRPr="000C46DD">
        <w:rPr>
          <w:rFonts w:ascii="Times New Roman" w:hAnsi="Times New Roman" w:cs="Times New Roman"/>
          <w:sz w:val="24"/>
          <w:szCs w:val="24"/>
        </w:rPr>
        <w:t>GALLAGHER</w:t>
      </w:r>
      <w:r>
        <w:rPr>
          <w:rFonts w:ascii="Times New Roman" w:hAnsi="Times New Roman" w:cs="Times New Roman"/>
          <w:sz w:val="24"/>
          <w:szCs w:val="24"/>
          <w:vertAlign w:val="superscript"/>
        </w:rPr>
        <w:t>e</w:t>
      </w:r>
      <w:proofErr w:type="spellEnd"/>
      <w:r>
        <w:rPr>
          <w:rFonts w:ascii="Times New Roman" w:hAnsi="Times New Roman" w:cs="Times New Roman"/>
          <w:sz w:val="24"/>
          <w:szCs w:val="24"/>
        </w:rPr>
        <w:t>; S</w:t>
      </w:r>
      <w:r w:rsidRPr="00851996">
        <w:rPr>
          <w:rFonts w:ascii="Times New Roman" w:hAnsi="Times New Roman" w:cs="Times New Roman"/>
          <w:sz w:val="24"/>
          <w:szCs w:val="24"/>
        </w:rPr>
        <w:t>ander</w:t>
      </w:r>
      <w:r>
        <w:rPr>
          <w:rFonts w:ascii="Times New Roman" w:hAnsi="Times New Roman" w:cs="Times New Roman"/>
          <w:sz w:val="24"/>
          <w:szCs w:val="24"/>
        </w:rPr>
        <w:t xml:space="preserve"> V</w:t>
      </w:r>
      <w:r w:rsidRPr="00851996">
        <w:rPr>
          <w:rFonts w:ascii="Times New Roman" w:hAnsi="Times New Roman" w:cs="Times New Roman"/>
          <w:sz w:val="24"/>
          <w:szCs w:val="24"/>
        </w:rPr>
        <w:t>AN</w:t>
      </w:r>
      <w:r>
        <w:rPr>
          <w:rFonts w:ascii="Times New Roman" w:hAnsi="Times New Roman" w:cs="Times New Roman"/>
          <w:sz w:val="24"/>
          <w:szCs w:val="24"/>
        </w:rPr>
        <w:t xml:space="preserve"> D</w:t>
      </w:r>
      <w:r w:rsidRPr="00851996">
        <w:rPr>
          <w:rFonts w:ascii="Times New Roman" w:hAnsi="Times New Roman" w:cs="Times New Roman"/>
          <w:sz w:val="24"/>
          <w:szCs w:val="24"/>
        </w:rPr>
        <w:t>ER</w:t>
      </w:r>
      <w:r>
        <w:rPr>
          <w:rFonts w:ascii="Times New Roman" w:hAnsi="Times New Roman" w:cs="Times New Roman"/>
          <w:sz w:val="24"/>
          <w:szCs w:val="24"/>
        </w:rPr>
        <w:t xml:space="preserve"> </w:t>
      </w:r>
      <w:proofErr w:type="spellStart"/>
      <w:r w:rsidRPr="00851996">
        <w:rPr>
          <w:rFonts w:ascii="Times New Roman" w:hAnsi="Times New Roman" w:cs="Times New Roman"/>
          <w:sz w:val="24"/>
          <w:szCs w:val="24"/>
        </w:rPr>
        <w:t>KAARS</w:t>
      </w:r>
      <w:r>
        <w:rPr>
          <w:rFonts w:ascii="Times New Roman" w:hAnsi="Times New Roman" w:cs="Times New Roman"/>
          <w:sz w:val="24"/>
          <w:szCs w:val="24"/>
          <w:vertAlign w:val="superscript"/>
        </w:rPr>
        <w:t>f,g</w:t>
      </w:r>
      <w:proofErr w:type="spellEnd"/>
      <w:r>
        <w:rPr>
          <w:rFonts w:ascii="Times New Roman" w:hAnsi="Times New Roman" w:cs="Times New Roman"/>
          <w:sz w:val="24"/>
          <w:szCs w:val="24"/>
        </w:rPr>
        <w:t xml:space="preserve">; Patrick </w:t>
      </w:r>
      <w:r w:rsidRPr="00851996">
        <w:rPr>
          <w:rFonts w:ascii="Times New Roman" w:hAnsi="Times New Roman" w:cs="Times New Roman"/>
          <w:sz w:val="24"/>
          <w:szCs w:val="24"/>
        </w:rPr>
        <w:t xml:space="preserve">DE </w:t>
      </w:r>
      <w:proofErr w:type="spellStart"/>
      <w:r w:rsidRPr="00851996">
        <w:rPr>
          <w:rFonts w:ascii="Times New Roman" w:hAnsi="Times New Roman" w:cs="Times New Roman"/>
          <w:sz w:val="24"/>
          <w:szCs w:val="24"/>
        </w:rPr>
        <w:t>DECKKER</w:t>
      </w:r>
      <w:r>
        <w:rPr>
          <w:rFonts w:ascii="Times New Roman" w:hAnsi="Times New Roman" w:cs="Times New Roman"/>
          <w:sz w:val="24"/>
          <w:szCs w:val="24"/>
          <w:vertAlign w:val="superscript"/>
        </w:rPr>
        <w:t>h</w:t>
      </w:r>
      <w:proofErr w:type="spellEnd"/>
      <w:r>
        <w:rPr>
          <w:rFonts w:ascii="Times New Roman" w:hAnsi="Times New Roman" w:cs="Times New Roman"/>
          <w:sz w:val="24"/>
          <w:szCs w:val="24"/>
        </w:rPr>
        <w:t xml:space="preserve">; Quan </w:t>
      </w:r>
      <w:proofErr w:type="spellStart"/>
      <w:r>
        <w:rPr>
          <w:rFonts w:ascii="Times New Roman" w:hAnsi="Times New Roman" w:cs="Times New Roman"/>
          <w:sz w:val="24"/>
          <w:szCs w:val="24"/>
        </w:rPr>
        <w:t>HUA</w:t>
      </w:r>
      <w:r>
        <w:rPr>
          <w:rFonts w:ascii="Times New Roman" w:hAnsi="Times New Roman" w:cs="Times New Roman"/>
          <w:sz w:val="24"/>
          <w:szCs w:val="24"/>
          <w:vertAlign w:val="superscript"/>
        </w:rPr>
        <w:t>i</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Simon Graeme </w:t>
      </w:r>
      <w:proofErr w:type="spellStart"/>
      <w:r>
        <w:rPr>
          <w:rFonts w:ascii="Times New Roman" w:hAnsi="Times New Roman" w:cs="Times New Roman"/>
          <w:sz w:val="24"/>
          <w:szCs w:val="24"/>
        </w:rPr>
        <w:t>HABERLE</w:t>
      </w:r>
      <w:r>
        <w:rPr>
          <w:rFonts w:ascii="Times New Roman" w:hAnsi="Times New Roman" w:cs="Times New Roman"/>
          <w:sz w:val="24"/>
          <w:szCs w:val="24"/>
          <w:vertAlign w:val="superscript"/>
        </w:rPr>
        <w:t>b,c</w:t>
      </w:r>
      <w:proofErr w:type="spellEnd"/>
    </w:p>
    <w:p w14:paraId="7E4ED800" w14:textId="77777777" w:rsidR="0049190D" w:rsidRDefault="0049190D" w:rsidP="0049190D">
      <w:pPr>
        <w:rPr>
          <w:rFonts w:ascii="Times New Roman" w:hAnsi="Times New Roman" w:cs="Times New Roman"/>
          <w:sz w:val="24"/>
          <w:szCs w:val="24"/>
        </w:rPr>
      </w:pPr>
    </w:p>
    <w:p w14:paraId="31C165FF" w14:textId="77777777" w:rsidR="0049190D" w:rsidRDefault="0049190D" w:rsidP="0049190D">
      <w:pPr>
        <w:rPr>
          <w:rFonts w:ascii="Times New Roman" w:hAnsi="Times New Roman" w:cs="Times New Roman"/>
          <w:sz w:val="24"/>
          <w:szCs w:val="24"/>
        </w:rPr>
      </w:pPr>
      <w:r w:rsidRPr="000C46DD">
        <w:rPr>
          <w:rFonts w:ascii="Times New Roman" w:hAnsi="Times New Roman" w:cs="Times New Roman"/>
          <w:b/>
          <w:sz w:val="24"/>
          <w:szCs w:val="24"/>
        </w:rPr>
        <w:t xml:space="preserve">Corresponding author: </w:t>
      </w:r>
      <w:r w:rsidRPr="000C46DD">
        <w:rPr>
          <w:rFonts w:ascii="Times New Roman" w:hAnsi="Times New Roman" w:cs="Times New Roman"/>
          <w:sz w:val="24"/>
          <w:szCs w:val="24"/>
        </w:rPr>
        <w:t xml:space="preserve">Matthew Adeleye (ORCID: </w:t>
      </w:r>
      <w:hyperlink r:id="rId6" w:history="1">
        <w:r w:rsidRPr="000C46DD">
          <w:rPr>
            <w:rStyle w:val="Hyperlink"/>
            <w:rFonts w:ascii="Times New Roman" w:hAnsi="Times New Roman" w:cs="Times New Roman"/>
            <w:sz w:val="24"/>
            <w:szCs w:val="24"/>
          </w:rPr>
          <w:t>https://orcid.org/0000-0002-6034-5807</w:t>
        </w:r>
      </w:hyperlink>
      <w:r w:rsidRPr="000C46DD">
        <w:rPr>
          <w:rFonts w:ascii="Times New Roman" w:hAnsi="Times New Roman" w:cs="Times New Roman"/>
          <w:sz w:val="24"/>
          <w:szCs w:val="24"/>
        </w:rPr>
        <w:t xml:space="preserve">, Email: </w:t>
      </w:r>
      <w:hyperlink r:id="rId7" w:history="1">
        <w:r w:rsidRPr="000C46DD">
          <w:rPr>
            <w:rStyle w:val="Hyperlink"/>
            <w:rFonts w:ascii="Times New Roman" w:hAnsi="Times New Roman" w:cs="Times New Roman"/>
            <w:sz w:val="24"/>
            <w:szCs w:val="24"/>
          </w:rPr>
          <w:t>matthew.adeleye@anu.edu.au</w:t>
        </w:r>
      </w:hyperlink>
      <w:r w:rsidRPr="000C46DD">
        <w:rPr>
          <w:rFonts w:ascii="Times New Roman" w:hAnsi="Times New Roman" w:cs="Times New Roman"/>
          <w:sz w:val="24"/>
          <w:szCs w:val="24"/>
        </w:rPr>
        <w:t>)</w:t>
      </w:r>
    </w:p>
    <w:p w14:paraId="6372B3FD" w14:textId="77777777" w:rsidR="0049190D" w:rsidRPr="000C46DD" w:rsidRDefault="0049190D" w:rsidP="0049190D">
      <w:pPr>
        <w:rPr>
          <w:rFonts w:ascii="Times New Roman" w:hAnsi="Times New Roman" w:cs="Times New Roman"/>
          <w:b/>
          <w:sz w:val="24"/>
          <w:szCs w:val="24"/>
        </w:rPr>
      </w:pPr>
    </w:p>
    <w:p w14:paraId="426FCE45" w14:textId="77777777" w:rsidR="0049190D" w:rsidRPr="000C46DD" w:rsidRDefault="0049190D" w:rsidP="0049190D">
      <w:pPr>
        <w:rPr>
          <w:rFonts w:ascii="Times New Roman" w:hAnsi="Times New Roman" w:cs="Times New Roman"/>
          <w:b/>
          <w:bCs/>
          <w:sz w:val="24"/>
          <w:szCs w:val="24"/>
        </w:rPr>
      </w:pPr>
      <w:r w:rsidRPr="000C46DD">
        <w:rPr>
          <w:rFonts w:ascii="Times New Roman" w:hAnsi="Times New Roman" w:cs="Times New Roman"/>
          <w:b/>
          <w:sz w:val="24"/>
          <w:szCs w:val="24"/>
        </w:rPr>
        <w:t xml:space="preserve">Institutional affiliations and address: </w:t>
      </w:r>
      <w:r w:rsidRPr="000C46DD">
        <w:rPr>
          <w:rFonts w:ascii="Times New Roman" w:hAnsi="Times New Roman" w:cs="Times New Roman"/>
          <w:b/>
          <w:sz w:val="24"/>
          <w:szCs w:val="24"/>
        </w:rPr>
        <w:tab/>
      </w:r>
    </w:p>
    <w:p w14:paraId="56491358" w14:textId="77777777" w:rsidR="0049190D" w:rsidRDefault="0049190D" w:rsidP="0049190D">
      <w:pPr>
        <w:ind w:left="142" w:hanging="142"/>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a </w:t>
      </w:r>
      <w:r>
        <w:rPr>
          <w:rFonts w:ascii="Times New Roman" w:hAnsi="Times New Roman" w:cs="Times New Roman"/>
          <w:sz w:val="24"/>
          <w:szCs w:val="24"/>
        </w:rPr>
        <w:t xml:space="preserve">Department of Geography, University of Cambridge, 20 Downing Pl. </w:t>
      </w:r>
      <w:r w:rsidRPr="00E41DDA">
        <w:rPr>
          <w:rFonts w:ascii="Times New Roman" w:hAnsi="Times New Roman" w:cs="Times New Roman"/>
          <w:sz w:val="24"/>
          <w:szCs w:val="24"/>
        </w:rPr>
        <w:t>CB2 3EL</w:t>
      </w:r>
      <w:r>
        <w:rPr>
          <w:rFonts w:ascii="Times New Roman" w:hAnsi="Times New Roman" w:cs="Times New Roman"/>
          <w:sz w:val="24"/>
          <w:szCs w:val="24"/>
        </w:rPr>
        <w:t>,</w:t>
      </w:r>
      <w:r w:rsidRPr="00E41DDA">
        <w:rPr>
          <w:rFonts w:ascii="Times New Roman" w:hAnsi="Times New Roman" w:cs="Times New Roman"/>
          <w:sz w:val="24"/>
          <w:szCs w:val="24"/>
        </w:rPr>
        <w:t xml:space="preserve"> </w:t>
      </w:r>
      <w:r>
        <w:rPr>
          <w:rFonts w:ascii="Times New Roman" w:hAnsi="Times New Roman" w:cs="Times New Roman"/>
          <w:sz w:val="24"/>
          <w:szCs w:val="24"/>
        </w:rPr>
        <w:t>Cambridgeshire, United Kingdom.</w:t>
      </w:r>
      <w:r>
        <w:rPr>
          <w:rFonts w:ascii="Times New Roman" w:hAnsi="Times New Roman" w:cs="Times New Roman"/>
          <w:sz w:val="24"/>
          <w:szCs w:val="24"/>
          <w:vertAlign w:val="superscript"/>
        </w:rPr>
        <w:t xml:space="preserve"> </w:t>
      </w:r>
    </w:p>
    <w:p w14:paraId="4C77EE7C" w14:textId="77777777" w:rsidR="0049190D" w:rsidRPr="000C46DD" w:rsidRDefault="0049190D" w:rsidP="0049190D">
      <w:pPr>
        <w:ind w:left="142" w:hanging="142"/>
        <w:rPr>
          <w:rFonts w:ascii="Times New Roman" w:hAnsi="Times New Roman" w:cs="Times New Roman"/>
          <w:sz w:val="24"/>
          <w:szCs w:val="24"/>
        </w:rPr>
      </w:pPr>
      <w:r>
        <w:rPr>
          <w:rFonts w:ascii="Times New Roman" w:hAnsi="Times New Roman" w:cs="Times New Roman"/>
          <w:sz w:val="24"/>
          <w:szCs w:val="24"/>
          <w:vertAlign w:val="superscript"/>
        </w:rPr>
        <w:t xml:space="preserve">b </w:t>
      </w:r>
      <w:r w:rsidRPr="000C46DD">
        <w:rPr>
          <w:rFonts w:ascii="Times New Roman" w:hAnsi="Times New Roman" w:cs="Times New Roman"/>
          <w:sz w:val="24"/>
          <w:szCs w:val="24"/>
        </w:rPr>
        <w:t xml:space="preserve">School of Culture, History and Language, </w:t>
      </w:r>
      <w:r>
        <w:rPr>
          <w:rFonts w:ascii="Times New Roman" w:hAnsi="Times New Roman" w:cs="Times New Roman"/>
          <w:sz w:val="24"/>
          <w:szCs w:val="24"/>
        </w:rPr>
        <w:t xml:space="preserve">9 Fellows Rd, HC Coombs, </w:t>
      </w:r>
      <w:r w:rsidRPr="000C46DD">
        <w:rPr>
          <w:rFonts w:ascii="Times New Roman" w:hAnsi="Times New Roman" w:cs="Times New Roman"/>
          <w:sz w:val="24"/>
          <w:szCs w:val="24"/>
        </w:rPr>
        <w:t xml:space="preserve">The Australian National University, </w:t>
      </w:r>
      <w:r>
        <w:rPr>
          <w:rFonts w:ascii="Times New Roman" w:hAnsi="Times New Roman" w:cs="Times New Roman"/>
          <w:sz w:val="24"/>
          <w:szCs w:val="24"/>
        </w:rPr>
        <w:t>Acton</w:t>
      </w:r>
      <w:r w:rsidRPr="000C46DD">
        <w:rPr>
          <w:rFonts w:ascii="Times New Roman" w:hAnsi="Times New Roman" w:cs="Times New Roman"/>
          <w:sz w:val="24"/>
          <w:szCs w:val="24"/>
        </w:rPr>
        <w:t>, ACT</w:t>
      </w:r>
      <w:r>
        <w:rPr>
          <w:rFonts w:ascii="Times New Roman" w:hAnsi="Times New Roman" w:cs="Times New Roman"/>
          <w:sz w:val="24"/>
          <w:szCs w:val="24"/>
        </w:rPr>
        <w:t xml:space="preserve"> 2600</w:t>
      </w:r>
      <w:r w:rsidRPr="000C46DD">
        <w:rPr>
          <w:rFonts w:ascii="Times New Roman" w:hAnsi="Times New Roman" w:cs="Times New Roman"/>
          <w:sz w:val="24"/>
          <w:szCs w:val="24"/>
        </w:rPr>
        <w:t>, Australia.</w:t>
      </w:r>
    </w:p>
    <w:p w14:paraId="3004EAE2" w14:textId="77777777" w:rsidR="0049190D" w:rsidRPr="000C46DD" w:rsidRDefault="0049190D" w:rsidP="0049190D">
      <w:pPr>
        <w:ind w:left="142" w:hanging="142"/>
        <w:rPr>
          <w:rFonts w:ascii="Times New Roman" w:hAnsi="Times New Roman" w:cs="Times New Roman"/>
          <w:sz w:val="24"/>
          <w:szCs w:val="24"/>
        </w:rPr>
      </w:pPr>
      <w:r>
        <w:rPr>
          <w:rFonts w:ascii="Times New Roman" w:hAnsi="Times New Roman" w:cs="Times New Roman"/>
          <w:sz w:val="24"/>
          <w:szCs w:val="24"/>
          <w:vertAlign w:val="superscript"/>
        </w:rPr>
        <w:t xml:space="preserve">c </w:t>
      </w:r>
      <w:r w:rsidRPr="000C46DD">
        <w:rPr>
          <w:rFonts w:ascii="Times New Roman" w:hAnsi="Times New Roman" w:cs="Times New Roman"/>
          <w:sz w:val="24"/>
          <w:szCs w:val="24"/>
        </w:rPr>
        <w:t>Australian Research Council Centre of Excellence for Australian Biodiversity and Heritage,</w:t>
      </w:r>
      <w:r>
        <w:rPr>
          <w:rFonts w:ascii="Times New Roman" w:hAnsi="Times New Roman" w:cs="Times New Roman"/>
          <w:sz w:val="24"/>
          <w:szCs w:val="24"/>
        </w:rPr>
        <w:t xml:space="preserve"> 9 Fellows Rd, HC Coombs, </w:t>
      </w:r>
      <w:r w:rsidRPr="000C46DD">
        <w:rPr>
          <w:rFonts w:ascii="Times New Roman" w:hAnsi="Times New Roman" w:cs="Times New Roman"/>
          <w:sz w:val="24"/>
          <w:szCs w:val="24"/>
        </w:rPr>
        <w:t xml:space="preserve">The Australian National University, </w:t>
      </w:r>
      <w:r>
        <w:rPr>
          <w:rFonts w:ascii="Times New Roman" w:hAnsi="Times New Roman" w:cs="Times New Roman"/>
          <w:sz w:val="24"/>
          <w:szCs w:val="24"/>
        </w:rPr>
        <w:t>Acton,</w:t>
      </w:r>
      <w:r w:rsidRPr="000C46DD">
        <w:rPr>
          <w:rFonts w:ascii="Times New Roman" w:hAnsi="Times New Roman" w:cs="Times New Roman"/>
          <w:sz w:val="24"/>
          <w:szCs w:val="24"/>
        </w:rPr>
        <w:t xml:space="preserve"> ACT</w:t>
      </w:r>
      <w:r>
        <w:rPr>
          <w:rFonts w:ascii="Times New Roman" w:hAnsi="Times New Roman" w:cs="Times New Roman"/>
          <w:sz w:val="24"/>
          <w:szCs w:val="24"/>
        </w:rPr>
        <w:t xml:space="preserve"> 2600</w:t>
      </w:r>
      <w:r w:rsidRPr="000C46DD">
        <w:rPr>
          <w:rFonts w:ascii="Times New Roman" w:hAnsi="Times New Roman" w:cs="Times New Roman"/>
          <w:sz w:val="24"/>
          <w:szCs w:val="24"/>
        </w:rPr>
        <w:t>, Australia.</w:t>
      </w:r>
    </w:p>
    <w:p w14:paraId="47B39FCA" w14:textId="77777777" w:rsidR="0049190D" w:rsidRDefault="0049190D" w:rsidP="0049190D">
      <w:pPr>
        <w:ind w:left="142" w:hanging="142"/>
        <w:rPr>
          <w:rFonts w:ascii="Times New Roman" w:hAnsi="Times New Roman" w:cs="Times New Roman"/>
          <w:sz w:val="24"/>
          <w:szCs w:val="24"/>
        </w:rPr>
      </w:pPr>
      <w:r>
        <w:rPr>
          <w:rFonts w:ascii="Times New Roman" w:hAnsi="Times New Roman" w:cs="Times New Roman"/>
          <w:sz w:val="24"/>
          <w:szCs w:val="24"/>
          <w:vertAlign w:val="superscript"/>
        </w:rPr>
        <w:t>d</w:t>
      </w:r>
      <w:r w:rsidRPr="000C46DD">
        <w:rPr>
          <w:rFonts w:ascii="Times New Roman" w:hAnsi="Times New Roman" w:cs="Times New Roman"/>
          <w:sz w:val="24"/>
          <w:szCs w:val="24"/>
        </w:rPr>
        <w:t xml:space="preserve"> The Commonwealth Scientific and Industrial Research Organisation (CSIRO),</w:t>
      </w:r>
      <w:r>
        <w:rPr>
          <w:rFonts w:ascii="Times New Roman" w:hAnsi="Times New Roman" w:cs="Times New Roman"/>
          <w:sz w:val="24"/>
          <w:szCs w:val="24"/>
        </w:rPr>
        <w:t xml:space="preserve"> </w:t>
      </w:r>
      <w:r w:rsidRPr="003B10F6">
        <w:rPr>
          <w:rFonts w:ascii="Times New Roman" w:hAnsi="Times New Roman" w:cs="Times New Roman"/>
          <w:sz w:val="24"/>
          <w:szCs w:val="24"/>
        </w:rPr>
        <w:t xml:space="preserve">101, </w:t>
      </w:r>
      <w:proofErr w:type="spellStart"/>
      <w:r w:rsidRPr="003B10F6">
        <w:rPr>
          <w:rFonts w:ascii="Times New Roman" w:hAnsi="Times New Roman" w:cs="Times New Roman"/>
          <w:sz w:val="24"/>
          <w:szCs w:val="24"/>
        </w:rPr>
        <w:t>Clunies</w:t>
      </w:r>
      <w:proofErr w:type="spellEnd"/>
      <w:r w:rsidRPr="003B10F6">
        <w:rPr>
          <w:rFonts w:ascii="Times New Roman" w:hAnsi="Times New Roman" w:cs="Times New Roman"/>
          <w:sz w:val="24"/>
          <w:szCs w:val="24"/>
        </w:rPr>
        <w:t xml:space="preserve"> Ross Street Black Mountain ACT 2601</w:t>
      </w:r>
      <w:r>
        <w:rPr>
          <w:rFonts w:ascii="Times New Roman" w:hAnsi="Times New Roman" w:cs="Times New Roman"/>
          <w:sz w:val="24"/>
          <w:szCs w:val="24"/>
        </w:rPr>
        <w:t>, Australia.</w:t>
      </w:r>
    </w:p>
    <w:p w14:paraId="5105F15B" w14:textId="77777777" w:rsidR="0049190D" w:rsidRDefault="0049190D" w:rsidP="0049190D">
      <w:pPr>
        <w:ind w:left="142" w:hanging="142"/>
        <w:rPr>
          <w:rFonts w:ascii="Times New Roman" w:hAnsi="Times New Roman" w:cs="Times New Roman"/>
          <w:sz w:val="24"/>
          <w:szCs w:val="24"/>
        </w:rPr>
      </w:pPr>
      <w:r>
        <w:rPr>
          <w:rFonts w:ascii="Times New Roman" w:hAnsi="Times New Roman" w:cs="Times New Roman"/>
          <w:sz w:val="24"/>
          <w:szCs w:val="24"/>
          <w:vertAlign w:val="superscript"/>
        </w:rPr>
        <w:t>e</w:t>
      </w:r>
      <w:r w:rsidRPr="000C46DD">
        <w:rPr>
          <w:rFonts w:ascii="Times New Roman" w:hAnsi="Times New Roman" w:cs="Times New Roman"/>
          <w:sz w:val="24"/>
          <w:szCs w:val="24"/>
        </w:rPr>
        <w:t xml:space="preserve"> Hawkesbury Institute for the Environment, Western Sydney University, </w:t>
      </w:r>
      <w:r>
        <w:rPr>
          <w:rFonts w:ascii="Times New Roman" w:hAnsi="Times New Roman" w:cs="Times New Roman"/>
          <w:sz w:val="24"/>
          <w:szCs w:val="24"/>
        </w:rPr>
        <w:t xml:space="preserve">L9, </w:t>
      </w:r>
      <w:r w:rsidRPr="0095370C">
        <w:rPr>
          <w:rFonts w:ascii="Times New Roman" w:hAnsi="Times New Roman" w:cs="Times New Roman"/>
          <w:sz w:val="24"/>
          <w:szCs w:val="24"/>
        </w:rPr>
        <w:t>Science Rd</w:t>
      </w:r>
      <w:r>
        <w:rPr>
          <w:rFonts w:ascii="Times New Roman" w:hAnsi="Times New Roman" w:cs="Times New Roman"/>
          <w:sz w:val="24"/>
          <w:szCs w:val="24"/>
        </w:rPr>
        <w:t>, Richmond</w:t>
      </w:r>
      <w:r w:rsidRPr="000C46DD">
        <w:rPr>
          <w:rFonts w:ascii="Times New Roman" w:hAnsi="Times New Roman" w:cs="Times New Roman"/>
          <w:sz w:val="24"/>
          <w:szCs w:val="24"/>
        </w:rPr>
        <w:t xml:space="preserve">, </w:t>
      </w:r>
      <w:r>
        <w:rPr>
          <w:rFonts w:ascii="Times New Roman" w:hAnsi="Times New Roman" w:cs="Times New Roman"/>
          <w:sz w:val="24"/>
          <w:szCs w:val="24"/>
        </w:rPr>
        <w:t xml:space="preserve">NSW 2753, </w:t>
      </w:r>
      <w:r w:rsidRPr="000C46DD">
        <w:rPr>
          <w:rFonts w:ascii="Times New Roman" w:hAnsi="Times New Roman" w:cs="Times New Roman"/>
          <w:sz w:val="24"/>
          <w:szCs w:val="24"/>
        </w:rPr>
        <w:t>Australia</w:t>
      </w:r>
      <w:r>
        <w:rPr>
          <w:rFonts w:ascii="Times New Roman" w:hAnsi="Times New Roman" w:cs="Times New Roman"/>
          <w:sz w:val="24"/>
          <w:szCs w:val="24"/>
        </w:rPr>
        <w:t>.</w:t>
      </w:r>
    </w:p>
    <w:p w14:paraId="6C091C41" w14:textId="77777777" w:rsidR="0049190D" w:rsidRDefault="0049190D" w:rsidP="0049190D">
      <w:pPr>
        <w:ind w:left="142" w:hanging="142"/>
        <w:rPr>
          <w:rFonts w:ascii="Times New Roman" w:hAnsi="Times New Roman" w:cs="Times New Roman"/>
          <w:sz w:val="24"/>
          <w:szCs w:val="24"/>
        </w:rPr>
      </w:pPr>
      <w:r>
        <w:rPr>
          <w:rFonts w:ascii="Times New Roman" w:hAnsi="Times New Roman" w:cs="Times New Roman"/>
          <w:sz w:val="24"/>
          <w:szCs w:val="24"/>
          <w:vertAlign w:val="superscript"/>
        </w:rPr>
        <w:t xml:space="preserve">f </w:t>
      </w:r>
      <w:r w:rsidRPr="00056CA6">
        <w:rPr>
          <w:rFonts w:ascii="Times New Roman" w:hAnsi="Times New Roman" w:cs="Times New Roman"/>
          <w:sz w:val="24"/>
          <w:szCs w:val="24"/>
        </w:rPr>
        <w:t xml:space="preserve">School of Earth, Atmosphere and Environment, Monash University, </w:t>
      </w:r>
      <w:r w:rsidRPr="0095370C">
        <w:rPr>
          <w:rFonts w:ascii="Times New Roman" w:hAnsi="Times New Roman" w:cs="Times New Roman"/>
          <w:sz w:val="24"/>
          <w:szCs w:val="24"/>
        </w:rPr>
        <w:t>9 Rainforest Walk</w:t>
      </w:r>
      <w:r>
        <w:rPr>
          <w:rFonts w:ascii="Times New Roman" w:hAnsi="Times New Roman" w:cs="Times New Roman"/>
          <w:sz w:val="24"/>
          <w:szCs w:val="24"/>
        </w:rPr>
        <w:t xml:space="preserve">, </w:t>
      </w:r>
      <w:r w:rsidRPr="00056CA6">
        <w:rPr>
          <w:rFonts w:ascii="Times New Roman" w:hAnsi="Times New Roman" w:cs="Times New Roman"/>
          <w:sz w:val="24"/>
          <w:szCs w:val="24"/>
        </w:rPr>
        <w:t xml:space="preserve">Clayton, </w:t>
      </w:r>
      <w:r>
        <w:rPr>
          <w:rFonts w:ascii="Times New Roman" w:hAnsi="Times New Roman" w:cs="Times New Roman"/>
          <w:sz w:val="24"/>
          <w:szCs w:val="24"/>
        </w:rPr>
        <w:t xml:space="preserve">VIC 3800, </w:t>
      </w:r>
      <w:r w:rsidRPr="00056CA6">
        <w:rPr>
          <w:rFonts w:ascii="Times New Roman" w:hAnsi="Times New Roman" w:cs="Times New Roman"/>
          <w:sz w:val="24"/>
          <w:szCs w:val="24"/>
        </w:rPr>
        <w:t>Australia</w:t>
      </w:r>
      <w:r>
        <w:rPr>
          <w:rFonts w:ascii="Times New Roman" w:hAnsi="Times New Roman" w:cs="Times New Roman"/>
          <w:sz w:val="24"/>
          <w:szCs w:val="24"/>
        </w:rPr>
        <w:t>.</w:t>
      </w:r>
    </w:p>
    <w:p w14:paraId="348DCE8B" w14:textId="77777777" w:rsidR="0049190D" w:rsidRDefault="0049190D" w:rsidP="0049190D">
      <w:pPr>
        <w:ind w:left="142" w:hanging="142"/>
        <w:rPr>
          <w:rFonts w:ascii="Times New Roman" w:hAnsi="Times New Roman" w:cs="Times New Roman"/>
          <w:sz w:val="24"/>
          <w:szCs w:val="24"/>
        </w:rPr>
      </w:pPr>
      <w:r>
        <w:rPr>
          <w:rFonts w:ascii="Times New Roman" w:hAnsi="Times New Roman" w:cs="Times New Roman"/>
          <w:sz w:val="24"/>
          <w:szCs w:val="24"/>
          <w:vertAlign w:val="superscript"/>
        </w:rPr>
        <w:t xml:space="preserve">g </w:t>
      </w:r>
      <w:r w:rsidRPr="00056CA6">
        <w:rPr>
          <w:rFonts w:ascii="Times New Roman" w:hAnsi="Times New Roman" w:cs="Times New Roman"/>
          <w:sz w:val="24"/>
          <w:szCs w:val="24"/>
        </w:rPr>
        <w:t>Department of Earth Sciences, Vrije Universiteit Amsterdam, Amsterdam, The Netherlands</w:t>
      </w:r>
      <w:r>
        <w:rPr>
          <w:rFonts w:ascii="Times New Roman" w:hAnsi="Times New Roman" w:cs="Times New Roman"/>
          <w:sz w:val="24"/>
          <w:szCs w:val="24"/>
        </w:rPr>
        <w:t>.</w:t>
      </w:r>
    </w:p>
    <w:p w14:paraId="3F3977BF" w14:textId="77777777" w:rsidR="0049190D" w:rsidRDefault="0049190D" w:rsidP="0049190D">
      <w:pPr>
        <w:ind w:left="142" w:hanging="142"/>
        <w:rPr>
          <w:rFonts w:ascii="Times New Roman" w:hAnsi="Times New Roman" w:cs="Times New Roman"/>
          <w:sz w:val="24"/>
          <w:szCs w:val="24"/>
        </w:rPr>
      </w:pPr>
      <w:r>
        <w:rPr>
          <w:rFonts w:ascii="Times New Roman" w:hAnsi="Times New Roman" w:cs="Times New Roman"/>
          <w:sz w:val="24"/>
          <w:szCs w:val="24"/>
          <w:vertAlign w:val="superscript"/>
        </w:rPr>
        <w:t xml:space="preserve">h </w:t>
      </w:r>
      <w:r w:rsidRPr="00056CA6">
        <w:rPr>
          <w:rFonts w:ascii="Times New Roman" w:hAnsi="Times New Roman" w:cs="Times New Roman"/>
          <w:sz w:val="24"/>
          <w:szCs w:val="24"/>
        </w:rPr>
        <w:t>Research School of Earth Sciences, The Australian National University,</w:t>
      </w:r>
      <w:r w:rsidRPr="0095370C">
        <w:t xml:space="preserve"> </w:t>
      </w:r>
      <w:r w:rsidRPr="0095370C">
        <w:rPr>
          <w:rFonts w:ascii="Times New Roman" w:hAnsi="Times New Roman" w:cs="Times New Roman"/>
          <w:sz w:val="24"/>
          <w:szCs w:val="24"/>
        </w:rPr>
        <w:t>142 Mills Rd</w:t>
      </w:r>
      <w:r>
        <w:rPr>
          <w:rFonts w:ascii="Times New Roman" w:hAnsi="Times New Roman" w:cs="Times New Roman"/>
          <w:sz w:val="24"/>
          <w:szCs w:val="24"/>
        </w:rPr>
        <w:t>,</w:t>
      </w:r>
      <w:r w:rsidRPr="00056CA6">
        <w:rPr>
          <w:rFonts w:ascii="Times New Roman" w:hAnsi="Times New Roman" w:cs="Times New Roman"/>
          <w:sz w:val="24"/>
          <w:szCs w:val="24"/>
        </w:rPr>
        <w:t xml:space="preserve"> </w:t>
      </w:r>
      <w:r>
        <w:rPr>
          <w:rFonts w:ascii="Times New Roman" w:hAnsi="Times New Roman" w:cs="Times New Roman"/>
          <w:sz w:val="24"/>
          <w:szCs w:val="24"/>
        </w:rPr>
        <w:t>Acton</w:t>
      </w:r>
      <w:r w:rsidRPr="00056CA6">
        <w:rPr>
          <w:rFonts w:ascii="Times New Roman" w:hAnsi="Times New Roman" w:cs="Times New Roman"/>
          <w:sz w:val="24"/>
          <w:szCs w:val="24"/>
        </w:rPr>
        <w:t xml:space="preserve">, </w:t>
      </w:r>
      <w:r>
        <w:rPr>
          <w:rFonts w:ascii="Times New Roman" w:hAnsi="Times New Roman" w:cs="Times New Roman"/>
          <w:sz w:val="24"/>
          <w:szCs w:val="24"/>
        </w:rPr>
        <w:t xml:space="preserve">ACT 2600, </w:t>
      </w:r>
      <w:r w:rsidRPr="00056CA6">
        <w:rPr>
          <w:rFonts w:ascii="Times New Roman" w:hAnsi="Times New Roman" w:cs="Times New Roman"/>
          <w:sz w:val="24"/>
          <w:szCs w:val="24"/>
        </w:rPr>
        <w:t>Australia</w:t>
      </w:r>
      <w:r>
        <w:rPr>
          <w:rFonts w:ascii="Times New Roman" w:hAnsi="Times New Roman" w:cs="Times New Roman"/>
          <w:sz w:val="24"/>
          <w:szCs w:val="24"/>
        </w:rPr>
        <w:t>.</w:t>
      </w:r>
    </w:p>
    <w:p w14:paraId="1AB3BEA5" w14:textId="77777777" w:rsidR="0049190D" w:rsidRDefault="0049190D" w:rsidP="0049190D">
      <w:pPr>
        <w:ind w:left="142" w:hanging="142"/>
        <w:rPr>
          <w:rFonts w:ascii="Times New Roman" w:hAnsi="Times New Roman" w:cs="Times New Roman"/>
          <w:sz w:val="24"/>
          <w:szCs w:val="24"/>
        </w:rPr>
      </w:pPr>
      <w:proofErr w:type="spellStart"/>
      <w:r>
        <w:rPr>
          <w:rFonts w:ascii="Times New Roman" w:hAnsi="Times New Roman" w:cs="Times New Roman"/>
          <w:sz w:val="24"/>
          <w:szCs w:val="24"/>
          <w:vertAlign w:val="superscript"/>
        </w:rPr>
        <w:t>i</w:t>
      </w:r>
      <w:proofErr w:type="spellEnd"/>
      <w:r>
        <w:rPr>
          <w:rFonts w:ascii="Times New Roman" w:hAnsi="Times New Roman" w:cs="Times New Roman"/>
          <w:sz w:val="24"/>
          <w:szCs w:val="24"/>
          <w:vertAlign w:val="superscript"/>
        </w:rPr>
        <w:t xml:space="preserve"> </w:t>
      </w:r>
      <w:r w:rsidRPr="00056CA6">
        <w:rPr>
          <w:rFonts w:ascii="Times New Roman" w:hAnsi="Times New Roman" w:cs="Times New Roman"/>
          <w:sz w:val="24"/>
          <w:szCs w:val="24"/>
        </w:rPr>
        <w:t xml:space="preserve">Australian Nuclear Science and Technology Organisation, </w:t>
      </w:r>
      <w:r w:rsidRPr="0095370C">
        <w:rPr>
          <w:rFonts w:ascii="Times New Roman" w:hAnsi="Times New Roman" w:cs="Times New Roman"/>
          <w:sz w:val="24"/>
          <w:szCs w:val="24"/>
        </w:rPr>
        <w:t>New Illawarra Rd</w:t>
      </w:r>
      <w:r>
        <w:rPr>
          <w:rFonts w:ascii="Times New Roman" w:hAnsi="Times New Roman" w:cs="Times New Roman"/>
          <w:sz w:val="24"/>
          <w:szCs w:val="24"/>
        </w:rPr>
        <w:t xml:space="preserve">, </w:t>
      </w:r>
      <w:r w:rsidRPr="00056CA6">
        <w:rPr>
          <w:rFonts w:ascii="Times New Roman" w:hAnsi="Times New Roman" w:cs="Times New Roman"/>
          <w:sz w:val="24"/>
          <w:szCs w:val="24"/>
        </w:rPr>
        <w:t xml:space="preserve">Lucas Heights, </w:t>
      </w:r>
      <w:r>
        <w:rPr>
          <w:rFonts w:ascii="Times New Roman" w:hAnsi="Times New Roman" w:cs="Times New Roman"/>
          <w:sz w:val="24"/>
          <w:szCs w:val="24"/>
        </w:rPr>
        <w:t xml:space="preserve">NSW 2234, </w:t>
      </w:r>
      <w:r w:rsidRPr="00056CA6">
        <w:rPr>
          <w:rFonts w:ascii="Times New Roman" w:hAnsi="Times New Roman" w:cs="Times New Roman"/>
          <w:sz w:val="24"/>
          <w:szCs w:val="24"/>
        </w:rPr>
        <w:t>Australia</w:t>
      </w:r>
      <w:r>
        <w:rPr>
          <w:rFonts w:ascii="Times New Roman" w:hAnsi="Times New Roman" w:cs="Times New Roman"/>
          <w:sz w:val="24"/>
          <w:szCs w:val="24"/>
        </w:rPr>
        <w:t>.</w:t>
      </w:r>
    </w:p>
    <w:p w14:paraId="7CA574C3" w14:textId="77777777" w:rsidR="0049190D" w:rsidRDefault="0049190D" w:rsidP="0049190D">
      <w:pPr>
        <w:rPr>
          <w:rFonts w:ascii="Times New Roman" w:hAnsi="Times New Roman" w:cs="Times New Roman"/>
          <w:sz w:val="24"/>
          <w:szCs w:val="24"/>
        </w:rPr>
      </w:pPr>
    </w:p>
    <w:p w14:paraId="4DA8E512" w14:textId="77777777" w:rsidR="00747B64" w:rsidRDefault="00747B64" w:rsidP="00747B64">
      <w:pPr>
        <w:spacing w:line="480" w:lineRule="auto"/>
        <w:rPr>
          <w:rFonts w:ascii="Times New Roman" w:hAnsi="Times New Roman" w:cs="Times New Roman"/>
          <w:sz w:val="24"/>
          <w:szCs w:val="24"/>
        </w:rPr>
      </w:pPr>
    </w:p>
    <w:p w14:paraId="6368B2E3" w14:textId="77777777" w:rsidR="00747B64" w:rsidRPr="00DB0071" w:rsidRDefault="00747B64" w:rsidP="00747B64">
      <w:pPr>
        <w:spacing w:line="480" w:lineRule="auto"/>
        <w:rPr>
          <w:rFonts w:ascii="Times New Roman" w:hAnsi="Times New Roman" w:cs="Times New Roman"/>
          <w:sz w:val="24"/>
          <w:szCs w:val="24"/>
        </w:rPr>
      </w:pPr>
      <w:r>
        <w:rPr>
          <w:noProof/>
        </w:rPr>
        <w:lastRenderedPageBreak/>
        <w:drawing>
          <wp:inline distT="0" distB="0" distL="0" distR="0" wp14:anchorId="18BEF258" wp14:editId="7063DA1B">
            <wp:extent cx="5894572" cy="4412768"/>
            <wp:effectExtent l="0" t="0" r="0" b="6985"/>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2107" cy="4425895"/>
                    </a:xfrm>
                    <a:prstGeom prst="rect">
                      <a:avLst/>
                    </a:prstGeom>
                    <a:noFill/>
                    <a:ln>
                      <a:noFill/>
                    </a:ln>
                  </pic:spPr>
                </pic:pic>
              </a:graphicData>
            </a:graphic>
          </wp:inline>
        </w:drawing>
      </w:r>
    </w:p>
    <w:p w14:paraId="42A39604" w14:textId="6FA4C4BE" w:rsidR="00747B64" w:rsidRPr="00C67754" w:rsidRDefault="00747B64" w:rsidP="00005BE7">
      <w:pPr>
        <w:spacing w:line="240" w:lineRule="auto"/>
        <w:rPr>
          <w:rFonts w:ascii="Times New Roman" w:hAnsi="Times New Roman" w:cs="Times New Roman"/>
          <w:sz w:val="24"/>
        </w:rPr>
      </w:pPr>
      <w:r>
        <w:rPr>
          <w:rFonts w:ascii="Times New Roman" w:hAnsi="Times New Roman" w:cs="Times New Roman"/>
          <w:b/>
          <w:bCs/>
          <w:sz w:val="24"/>
          <w:szCs w:val="24"/>
        </w:rPr>
        <w:t xml:space="preserve">Supplementary figure </w:t>
      </w:r>
      <w:r w:rsidR="00905013">
        <w:rPr>
          <w:rFonts w:ascii="Times New Roman" w:hAnsi="Times New Roman" w:cs="Times New Roman"/>
          <w:b/>
          <w:bCs/>
          <w:sz w:val="24"/>
          <w:szCs w:val="24"/>
        </w:rPr>
        <w:t>1</w:t>
      </w:r>
      <w:r>
        <w:rPr>
          <w:rFonts w:ascii="Times New Roman" w:hAnsi="Times New Roman" w:cs="Times New Roman"/>
          <w:b/>
          <w:bCs/>
          <w:sz w:val="24"/>
          <w:szCs w:val="24"/>
        </w:rPr>
        <w:t xml:space="preserve">: </w:t>
      </w:r>
      <w:r w:rsidRPr="009C1E64">
        <w:rPr>
          <w:rFonts w:ascii="Times New Roman" w:hAnsi="Times New Roman" w:cs="Times New Roman"/>
          <w:sz w:val="24"/>
          <w:szCs w:val="24"/>
        </w:rPr>
        <w:t xml:space="preserve">Correlation between </w:t>
      </w:r>
      <w:r>
        <w:rPr>
          <w:rFonts w:ascii="Times New Roman" w:hAnsi="Times New Roman" w:cs="Times New Roman"/>
          <w:sz w:val="24"/>
          <w:szCs w:val="24"/>
        </w:rPr>
        <w:t>δ</w:t>
      </w:r>
      <w:r w:rsidRPr="009C1E64">
        <w:rPr>
          <w:rFonts w:ascii="Times New Roman" w:hAnsi="Times New Roman" w:cs="Times New Roman"/>
          <w:sz w:val="24"/>
          <w:szCs w:val="24"/>
          <w:vertAlign w:val="superscript"/>
        </w:rPr>
        <w:t>18</w:t>
      </w:r>
      <w:r w:rsidRPr="009C1E64">
        <w:rPr>
          <w:rFonts w:ascii="Times New Roman" w:hAnsi="Times New Roman" w:cs="Times New Roman"/>
          <w:sz w:val="24"/>
          <w:szCs w:val="24"/>
        </w:rPr>
        <w:t xml:space="preserve">O curves </w:t>
      </w:r>
      <w:r>
        <w:rPr>
          <w:rFonts w:ascii="Times New Roman" w:hAnsi="Times New Roman" w:cs="Times New Roman"/>
          <w:sz w:val="24"/>
          <w:szCs w:val="24"/>
        </w:rPr>
        <w:t>used</w:t>
      </w:r>
      <w:r w:rsidRPr="009C1E64">
        <w:rPr>
          <w:rFonts w:ascii="Times New Roman" w:hAnsi="Times New Roman" w:cs="Times New Roman"/>
          <w:sz w:val="24"/>
          <w:szCs w:val="24"/>
        </w:rPr>
        <w:t xml:space="preserve"> to </w:t>
      </w:r>
      <w:r w:rsidRPr="00C67754">
        <w:rPr>
          <w:rFonts w:ascii="Times New Roman" w:hAnsi="Times New Roman" w:cs="Times New Roman"/>
          <w:sz w:val="24"/>
          <w:szCs w:val="24"/>
        </w:rPr>
        <w:t xml:space="preserve">identify tie points in core MD03-2607 and age-depth model (reproduced from </w:t>
      </w:r>
      <w:r w:rsidR="00905013" w:rsidRPr="00C67754">
        <w:rPr>
          <w:rFonts w:ascii="Times New Roman" w:hAnsi="Times New Roman" w:cs="Times New Roman"/>
          <w:sz w:val="24"/>
        </w:rPr>
        <w:t xml:space="preserve">De Deckker et al. </w:t>
      </w:r>
      <w:r w:rsidR="00E341E3" w:rsidRPr="00C67754">
        <w:rPr>
          <w:rFonts w:ascii="Times New Roman" w:hAnsi="Times New Roman" w:cs="Times New Roman"/>
          <w:sz w:val="24"/>
        </w:rPr>
        <w:t>(</w:t>
      </w:r>
      <w:r w:rsidR="00905013" w:rsidRPr="00C67754">
        <w:rPr>
          <w:rFonts w:ascii="Times New Roman" w:hAnsi="Times New Roman" w:cs="Times New Roman"/>
          <w:sz w:val="24"/>
        </w:rPr>
        <w:t>2021</w:t>
      </w:r>
      <w:r w:rsidR="00E341E3" w:rsidRPr="00C67754">
        <w:rPr>
          <w:rFonts w:ascii="Times New Roman" w:hAnsi="Times New Roman" w:cs="Times New Roman"/>
          <w:sz w:val="24"/>
        </w:rPr>
        <w:t>)</w:t>
      </w:r>
      <w:r w:rsidRPr="00C67754">
        <w:rPr>
          <w:rFonts w:ascii="Times New Roman" w:hAnsi="Times New Roman" w:cs="Times New Roman"/>
          <w:sz w:val="24"/>
          <w:szCs w:val="24"/>
        </w:rPr>
        <w:t>’s supplementary material). (A) The δ</w:t>
      </w:r>
      <w:r w:rsidRPr="00C67754">
        <w:rPr>
          <w:rFonts w:ascii="Times New Roman" w:hAnsi="Times New Roman" w:cs="Times New Roman"/>
          <w:sz w:val="24"/>
          <w:szCs w:val="24"/>
          <w:vertAlign w:val="superscript"/>
        </w:rPr>
        <w:t>18</w:t>
      </w:r>
      <w:r w:rsidRPr="00C67754">
        <w:rPr>
          <w:rFonts w:ascii="Times New Roman" w:hAnsi="Times New Roman" w:cs="Times New Roman"/>
          <w:sz w:val="24"/>
          <w:szCs w:val="24"/>
        </w:rPr>
        <w:t xml:space="preserve">O of the planktic foraminifera </w:t>
      </w:r>
      <w:r w:rsidRPr="00C67754">
        <w:rPr>
          <w:rFonts w:ascii="Times New Roman" w:hAnsi="Times New Roman" w:cs="Times New Roman"/>
          <w:i/>
          <w:iCs/>
          <w:sz w:val="24"/>
          <w:szCs w:val="24"/>
        </w:rPr>
        <w:t xml:space="preserve">Globigerina </w:t>
      </w:r>
      <w:proofErr w:type="spellStart"/>
      <w:r w:rsidRPr="00C67754">
        <w:rPr>
          <w:rFonts w:ascii="Times New Roman" w:hAnsi="Times New Roman" w:cs="Times New Roman"/>
          <w:i/>
          <w:iCs/>
          <w:sz w:val="24"/>
          <w:szCs w:val="24"/>
        </w:rPr>
        <w:t>bulloides</w:t>
      </w:r>
      <w:proofErr w:type="spellEnd"/>
      <w:r w:rsidRPr="00C67754">
        <w:rPr>
          <w:rFonts w:ascii="Times New Roman" w:hAnsi="Times New Roman" w:cs="Times New Roman"/>
          <w:sz w:val="24"/>
          <w:szCs w:val="24"/>
        </w:rPr>
        <w:t xml:space="preserve"> from core MD03-2607 was used to confirm the Marine Isotope Stage 5e peak at 125 ka. (B) The δ</w:t>
      </w:r>
      <w:r w:rsidRPr="00C67754">
        <w:rPr>
          <w:rFonts w:ascii="Times New Roman" w:hAnsi="Times New Roman" w:cs="Times New Roman"/>
          <w:sz w:val="24"/>
          <w:szCs w:val="24"/>
          <w:vertAlign w:val="superscript"/>
        </w:rPr>
        <w:t>18</w:t>
      </w:r>
      <w:r w:rsidRPr="00C67754">
        <w:rPr>
          <w:rFonts w:ascii="Times New Roman" w:hAnsi="Times New Roman" w:cs="Times New Roman"/>
          <w:sz w:val="24"/>
          <w:szCs w:val="24"/>
        </w:rPr>
        <w:t xml:space="preserve">O record of benthic foraminifera obtained from </w:t>
      </w:r>
      <w:r w:rsidR="00905013" w:rsidRPr="00C67754">
        <w:rPr>
          <w:rFonts w:ascii="Times New Roman" w:hAnsi="Times New Roman" w:cs="Times New Roman"/>
          <w:sz w:val="24"/>
        </w:rPr>
        <w:t xml:space="preserve">De Deckker et al. </w:t>
      </w:r>
      <w:r w:rsidR="00E341E3" w:rsidRPr="00C67754">
        <w:rPr>
          <w:rFonts w:ascii="Times New Roman" w:hAnsi="Times New Roman" w:cs="Times New Roman"/>
          <w:sz w:val="24"/>
        </w:rPr>
        <w:t>(</w:t>
      </w:r>
      <w:r w:rsidR="00905013" w:rsidRPr="00C67754">
        <w:rPr>
          <w:rFonts w:ascii="Times New Roman" w:hAnsi="Times New Roman" w:cs="Times New Roman"/>
          <w:sz w:val="24"/>
        </w:rPr>
        <w:t>2021</w:t>
      </w:r>
      <w:r w:rsidR="00E341E3" w:rsidRPr="00C67754">
        <w:rPr>
          <w:rFonts w:ascii="Times New Roman" w:hAnsi="Times New Roman" w:cs="Times New Roman"/>
          <w:sz w:val="24"/>
        </w:rPr>
        <w:t>)</w:t>
      </w:r>
      <w:r w:rsidR="00905013" w:rsidRPr="00C67754">
        <w:rPr>
          <w:rFonts w:ascii="Times New Roman" w:hAnsi="Times New Roman" w:cs="Times New Roman"/>
          <w:sz w:val="24"/>
        </w:rPr>
        <w:t xml:space="preserve"> and</w:t>
      </w:r>
      <w:r w:rsidRPr="00C67754">
        <w:rPr>
          <w:rFonts w:ascii="Times New Roman" w:hAnsi="Times New Roman" w:cs="Times New Roman"/>
          <w:sz w:val="24"/>
          <w:szCs w:val="24"/>
        </w:rPr>
        <w:t xml:space="preserve"> </w:t>
      </w:r>
      <w:r w:rsidR="00905013" w:rsidRPr="00C67754">
        <w:rPr>
          <w:rFonts w:ascii="Times New Roman" w:hAnsi="Times New Roman" w:cs="Times New Roman"/>
          <w:sz w:val="24"/>
        </w:rPr>
        <w:t xml:space="preserve">Lopes dos Santos et al. </w:t>
      </w:r>
      <w:r w:rsidR="00E341E3" w:rsidRPr="00C67754">
        <w:rPr>
          <w:rFonts w:ascii="Times New Roman" w:hAnsi="Times New Roman" w:cs="Times New Roman"/>
          <w:sz w:val="24"/>
        </w:rPr>
        <w:t>(</w:t>
      </w:r>
      <w:r w:rsidR="00905013" w:rsidRPr="00C67754">
        <w:rPr>
          <w:rFonts w:ascii="Times New Roman" w:hAnsi="Times New Roman" w:cs="Times New Roman"/>
          <w:sz w:val="24"/>
        </w:rPr>
        <w:t>201</w:t>
      </w:r>
      <w:r w:rsidR="00005BE7" w:rsidRPr="00C67754">
        <w:rPr>
          <w:rFonts w:ascii="Times New Roman" w:hAnsi="Times New Roman" w:cs="Times New Roman"/>
          <w:sz w:val="24"/>
        </w:rPr>
        <w:t>2</w:t>
      </w:r>
      <w:r w:rsidR="00E341E3" w:rsidRPr="00C67754">
        <w:rPr>
          <w:rFonts w:ascii="Times New Roman" w:hAnsi="Times New Roman" w:cs="Times New Roman"/>
          <w:sz w:val="24"/>
        </w:rPr>
        <w:t>)</w:t>
      </w:r>
      <w:r w:rsidR="00905013" w:rsidRPr="00C67754">
        <w:rPr>
          <w:rFonts w:ascii="Times New Roman" w:hAnsi="Times New Roman" w:cs="Times New Roman"/>
          <w:sz w:val="24"/>
        </w:rPr>
        <w:t xml:space="preserve"> </w:t>
      </w:r>
      <w:r w:rsidRPr="00C67754">
        <w:rPr>
          <w:rFonts w:ascii="Times New Roman" w:hAnsi="Times New Roman" w:cs="Times New Roman"/>
          <w:sz w:val="24"/>
          <w:szCs w:val="24"/>
        </w:rPr>
        <w:t xml:space="preserve">combined. </w:t>
      </w:r>
      <w:r w:rsidR="00A636AD" w:rsidRPr="00C67754">
        <w:rPr>
          <w:rFonts w:ascii="Times New Roman" w:hAnsi="Times New Roman" w:cs="Times New Roman"/>
          <w:sz w:val="24"/>
          <w:szCs w:val="24"/>
        </w:rPr>
        <w:t xml:space="preserve">Positions </w:t>
      </w:r>
      <w:r w:rsidRPr="00C67754">
        <w:rPr>
          <w:rFonts w:ascii="Times New Roman" w:hAnsi="Times New Roman" w:cs="Times New Roman"/>
          <w:sz w:val="24"/>
          <w:szCs w:val="24"/>
        </w:rPr>
        <w:t xml:space="preserve">of AMS </w:t>
      </w:r>
      <w:r w:rsidRPr="00C67754">
        <w:rPr>
          <w:rFonts w:ascii="Times New Roman" w:hAnsi="Times New Roman" w:cs="Times New Roman"/>
          <w:sz w:val="24"/>
          <w:szCs w:val="24"/>
          <w:vertAlign w:val="superscript"/>
        </w:rPr>
        <w:t>14</w:t>
      </w:r>
      <w:r w:rsidRPr="00C67754">
        <w:rPr>
          <w:rFonts w:ascii="Times New Roman" w:hAnsi="Times New Roman" w:cs="Times New Roman"/>
          <w:sz w:val="24"/>
          <w:szCs w:val="24"/>
        </w:rPr>
        <w:t xml:space="preserve">C dates are marked in red </w:t>
      </w:r>
      <w:r w:rsidRPr="00C67754">
        <w:rPr>
          <w:rFonts w:ascii="Times New Roman" w:hAnsi="Times New Roman" w:cs="Times New Roman"/>
          <w:sz w:val="24"/>
          <w:szCs w:val="24"/>
        </w:rPr>
        <w:fldChar w:fldCharType="begin"/>
      </w:r>
      <w:r w:rsidRPr="00C67754">
        <w:rPr>
          <w:rFonts w:ascii="Times New Roman" w:hAnsi="Times New Roman" w:cs="Times New Roman"/>
          <w:sz w:val="24"/>
          <w:szCs w:val="24"/>
        </w:rPr>
        <w:instrText xml:space="preserve"> ADDIN ZOTERO_ITEM CSL_CITATION {"citationID":"wgKdPW6E","properties":{"formattedCitation":"(Lopes dos Santos et al., 2012)","plainCitation":"(Lopes dos Santos et al., 2012)","noteIndex":0},"citationItems":[{"id":1766,"uris":["http://zotero.org/users/7915318/items/WZTKKHZA"],"itemData":{"id":1766,"type":"article-journal","abstract":"Reconstructions of primary productivity at low latitudes have been the focus of several studies to better understand how the export of nutrient-rich, intermediate Southern Ocean (SO) waters influences productivity at these latitudes. This was triggered by the general observation of minima in the planktonic foraminiferal δ13C values during deglaciations, which was interpreted as an isotopic signal of intermediate SO waters, together with a concomitant increase in diatom productivity at some equatorial sites. However, the impact of these SO waters on productivity at higher latitudes is not well constrained. Here, we compare a high-resolution planktonic foraminiferal δ13C record with total organic carbon and biomarker records for Proboscia diatoms and haptophytes in marine sediments from offshore Southeastern Australia. The planktonic foraminiferal δ13C record shows distinct minima during deglaciations and the Marine Isotope Stage 4/3 transition, tentatively suggesting that 13C-depleted SO waters reached the coast of Southeastern Australia. However, it did not result in increased productivity during these periods. Instead, the highest primary productivity period, as indicated by total organic carbon and alkenone accumulation rates, occurred during the Last Glacial Maximum while Proboscia diatoms mainly proliferated during interglacials and Marine Isotope Stage 3 matching periods of increased diatom productivity in some sites of the Eastern Equatorial Pacific. Our study suggests that increased primary productivity offshore Southeastern Australia was mainly due to stronger westerly winds during glacial periods while Proboscia diatom productivity was probably controlled by the transport of silicic acid to this area.","container-title":"Palaeogeography, Palaeoclimatology, Palaeoecology","DOI":"10.1016/j.palaeo.2012.08.013","ISSN":"0031-0182","journalAbbreviation":"Palaeogeography, Palaeoclimatology, Palaeoecology","language":"en","page":"48-56","source":"ScienceDirect","title":"Late Quaternary productivity changes from offshore Southeastern Australia: A biomarker approach","title-short":"Late Quaternary productivity changes from offshore Southeastern Australia","volume":"363-364","author":[{"family":"Lopes dos Santos","given":"Raquel A."},{"family":"Wilkins","given":"Daniel"},{"family":"De Deckker","given":"Patrick"},{"family":"Schouten","given":"Stefan"}],"issued":{"date-parts":[["2012",11,20]]}}}],"schema":"https://github.com/citation-style-language/schema/raw/master/csl-citation.json"} </w:instrText>
      </w:r>
      <w:r w:rsidRPr="00C67754">
        <w:rPr>
          <w:rFonts w:ascii="Times New Roman" w:hAnsi="Times New Roman" w:cs="Times New Roman"/>
          <w:sz w:val="24"/>
          <w:szCs w:val="24"/>
        </w:rPr>
        <w:fldChar w:fldCharType="separate"/>
      </w:r>
      <w:r w:rsidR="00005BE7" w:rsidRPr="00C67754">
        <w:rPr>
          <w:rFonts w:ascii="Times New Roman" w:hAnsi="Times New Roman" w:cs="Times New Roman"/>
          <w:sz w:val="24"/>
        </w:rPr>
        <w:t>(Lopes dos Santos et al., 2012)</w:t>
      </w:r>
      <w:r w:rsidRPr="00C67754">
        <w:rPr>
          <w:rFonts w:ascii="Times New Roman" w:hAnsi="Times New Roman" w:cs="Times New Roman"/>
          <w:sz w:val="24"/>
          <w:szCs w:val="24"/>
        </w:rPr>
        <w:fldChar w:fldCharType="end"/>
      </w:r>
      <w:r w:rsidRPr="00C67754">
        <w:rPr>
          <w:rFonts w:ascii="Times New Roman" w:hAnsi="Times New Roman" w:cs="Times New Roman"/>
          <w:sz w:val="24"/>
          <w:szCs w:val="24"/>
        </w:rPr>
        <w:t xml:space="preserve"> and blue stars </w:t>
      </w:r>
      <w:r w:rsidRPr="00C67754">
        <w:rPr>
          <w:rFonts w:ascii="Times New Roman" w:hAnsi="Times New Roman" w:cs="Times New Roman"/>
          <w:sz w:val="24"/>
          <w:szCs w:val="24"/>
        </w:rPr>
        <w:fldChar w:fldCharType="begin"/>
      </w:r>
      <w:r w:rsidRPr="00C67754">
        <w:rPr>
          <w:rFonts w:ascii="Times New Roman" w:hAnsi="Times New Roman" w:cs="Times New Roman"/>
          <w:sz w:val="24"/>
          <w:szCs w:val="24"/>
        </w:rPr>
        <w:instrText xml:space="preserve"> ADDIN ZOTERO_ITEM CSL_CITATION {"citationID":"K1Qp02ML","properties":{"formattedCitation":"(De Deckker et al., 2021)","plainCitation":"(De Deckker et al., 2021)","noteIndex":0},"citationItems":[{"id":83,"uris":["http://zotero.org/users/7915318/items/PVHFLAFQ"],"itemData":{"id":83,"type":"article-journal","abstract":"A palynological record spanning the last glacial–interglacial period was derived from high-resolution, deep-sea core MD03-2607, located near Kangaroo Island in South Australia. The core site lies opposite the mouth of the River Murray that, together with the Darling River, drains the extensive (</w:instrText>
      </w:r>
      <w:r w:rsidRPr="00C67754">
        <w:rPr>
          <w:rFonts w:ascii="Cambria Math" w:hAnsi="Cambria Math" w:cs="Cambria Math"/>
          <w:sz w:val="24"/>
          <w:szCs w:val="24"/>
        </w:rPr>
        <w:instrText>∼</w:instrText>
      </w:r>
      <w:r w:rsidRPr="00C67754">
        <w:rPr>
          <w:rFonts w:ascii="Times New Roman" w:hAnsi="Times New Roman" w:cs="Times New Roman"/>
          <w:sz w:val="24"/>
          <w:szCs w:val="24"/>
        </w:rPr>
        <w:instrText xml:space="preserve">1.6 × 106 km2) Murray-Darling Basin (MDB). The record comprises 120 samples and is compared with detailed records of sea-surface temperature (SST), the C3/C4 plant ratio obtained from the δ13C of n-alkanes from leaf waxes, the fluvial clay fraction and its neodymium isotopic composition, airborne dust and the biomass-burning component levuglosan. The chronology of the core is robust; it is built on 24 radiocarbon dates derived from planktic foraminifera, 16 optically stimulated luminescence dates, plus 12 tie points linked to the astronomically tuned marine isotopic record. Algal remains are found in nearly all samples supporting our postulation that the palynoflora is predominantly waterborne. Major findings are that the gymnosperm Callitris, together with high percentages of herb pollen (mostly C3 plants), is predominant during cold, arid phases, whereas Eucalyptus, is predominant during warmer and wetter periods. High charcoal concentration coincides with high percentages of Eucalyptus, mostly during wet and warm periods. Using the geochemistry of the core’s fluvial sediments, it has been possible to identify when water-transported palynoflora and charcoal originated from the Murray sub-basin (consisting of the River Murray and its main tributaries but not from central or western South Australia). During those periods, rainfall principally originated from the southeastern Indian Ocean. When the Darling sub-basin was the main source of the palynoflora, rainfall must have instead originated from northern Australia. The eolian dust record from the core shows that the dust signal generally coincides with the increased values in herb pollen, in particular during the Last Glacial Maximum (LGM) when, in addition to high herb percentages, Callitris representation also increased. This dry landscape taxon likely colonised the then-exposed Lacepede Shelf during this period of extreme low sea-level. There is a good correspondence between SST and mean annual precipitation reconstructed from the pollen counts. During warm phases in the ocean, Eucalyptus was the dominant tree taxon, especially for the entirety of Marine Isotope Stages (MIS) 5, plus MIS 3 and MIS 1. Charcoal levels were particularly low during the dry phases MIS 4 and 2, and even more so during the LGM.KEY POINTSWe provide a very detailed pollen diagram from a deep-sea core taken offshore from the mouth of the River Murray.This record details vegetation changes in the Murray-Darling Basin spanning the last glacial/interglacial cycle.The pollen record is compared with other proxies obtained from the marine core, such as sea-surface temperature, changes in C3/C4 plants percentages, geochemical analyses of terrigenous sediments that inform on the origin of the sediments reaching the ocean and by implication the origin of the pollen.Charcoal counts obtained from the core are compared with the pollen spectra and clearly indicate the large incidence of fires during wet and warm periods when Eucalyptus pollen was abundant. Low charcoal counts occur during dry and cold phases when Callitris pollen were predominant over Eucalyptus.","container-title":"Australian Journal of Earth Sciences","DOI":"10.1080/08120099.2021.1896578","ISSN":"0812-0099","issue":"0","note":"publisher: Taylor &amp; Francis\n_eprint: https://doi.org/10.1080/08120099.2021.1896578","page":"928-951","source":"Taylor and Francis+NEJM","title":"The pollen record from marine core MD03-2607 from offshore Kangaroo Island spanning the last 125 ka; implications for vegetation changes across the Murray-Darling Basin","volume":"68","author":[{"family":"De Deckker","given":"Patrick"},{"family":"Kaars","given":"Sander","non-dropping-particle":"van der"},{"family":"Haberle","given":"S."},{"family":"Hua","given":"Q."},{"family":"Stuut","given":"J.-B. W."}],"issued":{"date-parts":[["2021",3,28]]}}}],"schema":"https://github.com/citation-style-language/schema/raw/master/csl-citation.json"} </w:instrText>
      </w:r>
      <w:r w:rsidRPr="00C67754">
        <w:rPr>
          <w:rFonts w:ascii="Times New Roman" w:hAnsi="Times New Roman" w:cs="Times New Roman"/>
          <w:sz w:val="24"/>
          <w:szCs w:val="24"/>
        </w:rPr>
        <w:fldChar w:fldCharType="separate"/>
      </w:r>
      <w:r w:rsidR="00005BE7" w:rsidRPr="00C67754">
        <w:rPr>
          <w:rFonts w:ascii="Times New Roman" w:hAnsi="Times New Roman" w:cs="Times New Roman"/>
          <w:sz w:val="24"/>
        </w:rPr>
        <w:t>(De Deckker et al., 2021)</w:t>
      </w:r>
      <w:r w:rsidRPr="00C67754">
        <w:rPr>
          <w:rFonts w:ascii="Times New Roman" w:hAnsi="Times New Roman" w:cs="Times New Roman"/>
          <w:sz w:val="24"/>
          <w:szCs w:val="24"/>
        </w:rPr>
        <w:fldChar w:fldCharType="end"/>
      </w:r>
      <w:r w:rsidRPr="00C67754">
        <w:rPr>
          <w:rFonts w:ascii="Times New Roman" w:hAnsi="Times New Roman" w:cs="Times New Roman"/>
          <w:sz w:val="24"/>
          <w:szCs w:val="24"/>
        </w:rPr>
        <w:t>, and the locations of OSL dates are marked by green stars. (C) The Intermediate Waters for the Pacific Ocean’s benthic foraminifera δ</w:t>
      </w:r>
      <w:r w:rsidRPr="00C67754">
        <w:rPr>
          <w:rFonts w:ascii="Times New Roman" w:hAnsi="Times New Roman" w:cs="Times New Roman"/>
          <w:sz w:val="24"/>
          <w:szCs w:val="24"/>
          <w:vertAlign w:val="superscript"/>
        </w:rPr>
        <w:t>18</w:t>
      </w:r>
      <w:r w:rsidRPr="00C67754">
        <w:rPr>
          <w:rFonts w:ascii="Times New Roman" w:hAnsi="Times New Roman" w:cs="Times New Roman"/>
          <w:sz w:val="24"/>
          <w:szCs w:val="24"/>
        </w:rPr>
        <w:t xml:space="preserve">O curve </w:t>
      </w:r>
      <w:r w:rsidRPr="00C67754">
        <w:rPr>
          <w:rFonts w:ascii="Times New Roman" w:hAnsi="Times New Roman" w:cs="Times New Roman"/>
          <w:sz w:val="24"/>
          <w:szCs w:val="24"/>
        </w:rPr>
        <w:fldChar w:fldCharType="begin"/>
      </w:r>
      <w:r w:rsidRPr="00C67754">
        <w:rPr>
          <w:rFonts w:ascii="Times New Roman" w:hAnsi="Times New Roman" w:cs="Times New Roman"/>
          <w:sz w:val="24"/>
          <w:szCs w:val="24"/>
        </w:rPr>
        <w:instrText xml:space="preserve"> ADDIN ZOTERO_ITEM CSL_CITATION {"citationID":"WGt0V2Un","properties":{"formattedCitation":"(Lisiecki and Stern, 2016)","plainCitation":"(Lisiecki and Stern, 2016)","noteIndex":0},"citationItems":[{"id":1762,"uris":["http://zotero.org/users/7915318/items/RJ7R7ESA"],"itemData":{"id":1762,"type":"article-journal","abstract":"Although detailed age models exist for some marine sediment records of the last glacial cycle (0–150 ka), age models for many cores rely on the stratigraphic correlation of benthic δ18O, which measures ice volume and deep ocean temperature change. The large amount of data available for the last glacial cycle offers the opportunity to improve upon previous benthic δ18O compilations, such as the “LR04” global stack. Not only are the age constraints for the LR04 stack now outdated but a single global alignment target neglects regional differences of several thousand years in the timing of benthic δ18O change during glacial terminations. Here we present regional stacks that characterize mean benthic δ18O change for 8 ocean regions and a volume-weighted global stack of data from 263 cores. Age models for these stacks are based on radiocarbon data from 0 to 40 ka, correlation to a layer-counted Greenland ice core from 40 to 56 ka, and correlation to radiometrically dated speleothems from 56 to 150 ka. The regional δ18O stacks offer better stratigraphic alignment targets than the LR04 global stack and, furthermore, suggest that the LR04 stack is biased 1–2 kyr too young throughout the Pleistocene. Finally, we compare global and regional benthic δ18O responses with sea level estimates for the last glacial cycle.","container-title":"Paleoceanography","DOI":"10.1002/2016PA003002","ISSN":"1944-9186","issue":"10","language":"en","note":"_eprint: https://onlinelibrary.wiley.com/doi/pdf/10.1002/2016PA003002","page":"1368-1394","source":"Wiley Online Library","title":"Regional and global benthic δ18O stacks for the last glacial cycle","volume":"31","author":[{"family":"Lisiecki","given":"Lorraine E."},{"family":"Stern","given":"Joseph V."}],"issued":{"date-parts":[["2016"]]}}}],"schema":"https://github.com/citation-style-language/schema/raw/master/csl-citation.json"} </w:instrText>
      </w:r>
      <w:r w:rsidRPr="00C67754">
        <w:rPr>
          <w:rFonts w:ascii="Times New Roman" w:hAnsi="Times New Roman" w:cs="Times New Roman"/>
          <w:sz w:val="24"/>
          <w:szCs w:val="24"/>
        </w:rPr>
        <w:fldChar w:fldCharType="separate"/>
      </w:r>
      <w:r w:rsidR="00005BE7" w:rsidRPr="00C67754">
        <w:rPr>
          <w:rFonts w:ascii="Times New Roman" w:hAnsi="Times New Roman" w:cs="Times New Roman"/>
          <w:sz w:val="24"/>
        </w:rPr>
        <w:t>(Lisiecki and Stern, 2016)</w:t>
      </w:r>
      <w:r w:rsidRPr="00C67754">
        <w:rPr>
          <w:rFonts w:ascii="Times New Roman" w:hAnsi="Times New Roman" w:cs="Times New Roman"/>
          <w:sz w:val="24"/>
          <w:szCs w:val="24"/>
        </w:rPr>
        <w:fldChar w:fldCharType="end"/>
      </w:r>
      <w:r w:rsidRPr="00C67754">
        <w:rPr>
          <w:rFonts w:ascii="Times New Roman" w:hAnsi="Times New Roman" w:cs="Times New Roman"/>
          <w:sz w:val="24"/>
          <w:szCs w:val="24"/>
        </w:rPr>
        <w:t xml:space="preserve">. Black dashed lines indicate respective tie points and dates used in building core MD03-2607 age-depth model presented in </w:t>
      </w:r>
      <w:r w:rsidR="00403766" w:rsidRPr="00C67754">
        <w:rPr>
          <w:rFonts w:ascii="Times New Roman" w:hAnsi="Times New Roman" w:cs="Times New Roman"/>
          <w:sz w:val="24"/>
          <w:szCs w:val="24"/>
        </w:rPr>
        <w:t>(</w:t>
      </w:r>
      <w:r w:rsidRPr="00C67754">
        <w:rPr>
          <w:rFonts w:ascii="Times New Roman" w:hAnsi="Times New Roman" w:cs="Times New Roman"/>
          <w:sz w:val="24"/>
          <w:szCs w:val="24"/>
        </w:rPr>
        <w:t>D</w:t>
      </w:r>
      <w:r w:rsidR="00403766" w:rsidRPr="00C67754">
        <w:rPr>
          <w:rFonts w:ascii="Times New Roman" w:hAnsi="Times New Roman" w:cs="Times New Roman"/>
          <w:sz w:val="24"/>
          <w:szCs w:val="24"/>
        </w:rPr>
        <w:t>)</w:t>
      </w:r>
      <w:r w:rsidRPr="00C67754">
        <w:rPr>
          <w:rFonts w:ascii="Times New Roman" w:hAnsi="Times New Roman" w:cs="Times New Roman"/>
          <w:sz w:val="24"/>
          <w:szCs w:val="24"/>
        </w:rPr>
        <w:t xml:space="preserve"> (see reference </w:t>
      </w:r>
      <w:r w:rsidRPr="00C67754">
        <w:rPr>
          <w:rFonts w:ascii="Times New Roman" w:hAnsi="Times New Roman" w:cs="Times New Roman"/>
          <w:sz w:val="24"/>
        </w:rPr>
        <w:t xml:space="preserve">De Deckker et al. </w:t>
      </w:r>
      <w:r w:rsidR="00E341E3" w:rsidRPr="00C67754">
        <w:rPr>
          <w:rFonts w:ascii="Times New Roman" w:hAnsi="Times New Roman" w:cs="Times New Roman"/>
          <w:sz w:val="24"/>
        </w:rPr>
        <w:t>(</w:t>
      </w:r>
      <w:r w:rsidRPr="00C67754">
        <w:rPr>
          <w:rFonts w:ascii="Times New Roman" w:hAnsi="Times New Roman" w:cs="Times New Roman"/>
          <w:sz w:val="24"/>
        </w:rPr>
        <w:t>2021</w:t>
      </w:r>
      <w:r w:rsidR="00E341E3" w:rsidRPr="00C67754">
        <w:rPr>
          <w:rFonts w:ascii="Times New Roman" w:hAnsi="Times New Roman" w:cs="Times New Roman"/>
          <w:sz w:val="24"/>
        </w:rPr>
        <w:t>)</w:t>
      </w:r>
      <w:r w:rsidRPr="00C67754">
        <w:rPr>
          <w:rFonts w:ascii="Times New Roman" w:hAnsi="Times New Roman" w:cs="Times New Roman"/>
          <w:sz w:val="24"/>
        </w:rPr>
        <w:t>).</w:t>
      </w:r>
    </w:p>
    <w:p w14:paraId="46B506D6" w14:textId="070A3180" w:rsidR="00A871ED" w:rsidRDefault="00A871ED" w:rsidP="00005BE7">
      <w:pPr>
        <w:spacing w:line="240" w:lineRule="auto"/>
        <w:rPr>
          <w:rFonts w:ascii="Times New Roman" w:hAnsi="Times New Roman" w:cs="Times New Roman"/>
          <w:sz w:val="24"/>
          <w:szCs w:val="24"/>
        </w:rPr>
      </w:pPr>
      <w:r>
        <w:rPr>
          <w:noProof/>
        </w:rPr>
        <w:lastRenderedPageBreak/>
        <w:drawing>
          <wp:inline distT="0" distB="0" distL="0" distR="0" wp14:anchorId="434B86C1" wp14:editId="1469CA0F">
            <wp:extent cx="4334296" cy="3798136"/>
            <wp:effectExtent l="0" t="0" r="9525" b="0"/>
            <wp:docPr id="484598983" name="Picture 1" descr="A picture containing tex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98983" name="Picture 1" descr="A picture containing text, diagram, plo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5765" cy="3799423"/>
                    </a:xfrm>
                    <a:prstGeom prst="rect">
                      <a:avLst/>
                    </a:prstGeom>
                    <a:noFill/>
                    <a:ln>
                      <a:noFill/>
                    </a:ln>
                  </pic:spPr>
                </pic:pic>
              </a:graphicData>
            </a:graphic>
          </wp:inline>
        </w:drawing>
      </w:r>
    </w:p>
    <w:p w14:paraId="62CF8186" w14:textId="2B48B814" w:rsidR="00747B64" w:rsidRDefault="00A871ED" w:rsidP="00A5104A">
      <w:pPr>
        <w:rPr>
          <w:rFonts w:ascii="Times New Roman" w:hAnsi="Times New Roman" w:cs="Times New Roman"/>
          <w:sz w:val="24"/>
          <w:szCs w:val="24"/>
        </w:rPr>
      </w:pPr>
      <w:r>
        <w:rPr>
          <w:rFonts w:ascii="Times New Roman" w:hAnsi="Times New Roman" w:cs="Times New Roman"/>
          <w:b/>
          <w:bCs/>
          <w:sz w:val="24"/>
          <w:szCs w:val="24"/>
        </w:rPr>
        <w:t>Supplementary f</w:t>
      </w:r>
      <w:r w:rsidRPr="005A6E66">
        <w:rPr>
          <w:rFonts w:ascii="Times New Roman" w:hAnsi="Times New Roman" w:cs="Times New Roman"/>
          <w:b/>
          <w:bCs/>
          <w:sz w:val="24"/>
          <w:szCs w:val="24"/>
        </w:rPr>
        <w:t xml:space="preserve">igure </w:t>
      </w:r>
      <w:r>
        <w:rPr>
          <w:rFonts w:ascii="Times New Roman" w:hAnsi="Times New Roman" w:cs="Times New Roman"/>
          <w:b/>
          <w:bCs/>
          <w:sz w:val="24"/>
          <w:szCs w:val="24"/>
        </w:rPr>
        <w:t>2</w:t>
      </w:r>
      <w:r w:rsidRPr="005A6E66">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Individual coprophilous fungal spore raw count and total diagram</w:t>
      </w:r>
      <w:r w:rsidR="00E341E3">
        <w:rPr>
          <w:rFonts w:ascii="Times New Roman" w:hAnsi="Times New Roman" w:cs="Times New Roman"/>
          <w:sz w:val="24"/>
          <w:szCs w:val="24"/>
        </w:rPr>
        <w:t xml:space="preserve"> </w:t>
      </w:r>
      <w:r w:rsidR="00E341E3" w:rsidRPr="00C67754">
        <w:rPr>
          <w:rFonts w:ascii="Times New Roman" w:hAnsi="Times New Roman" w:cs="Times New Roman"/>
          <w:sz w:val="24"/>
          <w:szCs w:val="24"/>
        </w:rPr>
        <w:t>from core MD03-2607</w:t>
      </w:r>
      <w:r w:rsidRPr="00C67754">
        <w:rPr>
          <w:rFonts w:ascii="Times New Roman" w:hAnsi="Times New Roman" w:cs="Times New Roman"/>
          <w:sz w:val="24"/>
          <w:szCs w:val="24"/>
        </w:rPr>
        <w:t>.</w:t>
      </w:r>
    </w:p>
    <w:p w14:paraId="2D0683C3" w14:textId="77777777" w:rsidR="003372CF" w:rsidRDefault="003372CF" w:rsidP="00A5104A">
      <w:pPr>
        <w:rPr>
          <w:rFonts w:ascii="Times New Roman" w:hAnsi="Times New Roman" w:cs="Times New Roman"/>
          <w:sz w:val="24"/>
          <w:szCs w:val="24"/>
        </w:rPr>
      </w:pPr>
    </w:p>
    <w:p w14:paraId="1C2C0C93" w14:textId="75662849" w:rsidR="003372CF" w:rsidRDefault="003372CF" w:rsidP="00A5104A">
      <w:pPr>
        <w:rPr>
          <w:rFonts w:ascii="Times New Roman" w:hAnsi="Times New Roman" w:cs="Times New Roman"/>
          <w:sz w:val="24"/>
          <w:szCs w:val="24"/>
        </w:rPr>
      </w:pPr>
      <w:r>
        <w:rPr>
          <w:noProof/>
        </w:rPr>
        <w:drawing>
          <wp:inline distT="0" distB="0" distL="0" distR="0" wp14:anchorId="100B53A5" wp14:editId="1682C08C">
            <wp:extent cx="4932532" cy="3073954"/>
            <wp:effectExtent l="0" t="0" r="1905" b="0"/>
            <wp:docPr id="693572475" name="Picture 2" descr="A picture containing tex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72475" name="Picture 2" descr="A picture containing text, diagram, plo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5654" cy="3075899"/>
                    </a:xfrm>
                    <a:prstGeom prst="rect">
                      <a:avLst/>
                    </a:prstGeom>
                    <a:noFill/>
                    <a:ln>
                      <a:noFill/>
                    </a:ln>
                  </pic:spPr>
                </pic:pic>
              </a:graphicData>
            </a:graphic>
          </wp:inline>
        </w:drawing>
      </w:r>
    </w:p>
    <w:p w14:paraId="6C76A196" w14:textId="2CC4B7E1" w:rsidR="003372CF" w:rsidRPr="00A871ED" w:rsidRDefault="003372CF" w:rsidP="00A5104A">
      <w:pPr>
        <w:rPr>
          <w:rFonts w:ascii="Times New Roman" w:hAnsi="Times New Roman" w:cs="Times New Roman"/>
          <w:sz w:val="24"/>
          <w:szCs w:val="24"/>
        </w:rPr>
      </w:pPr>
      <w:r>
        <w:rPr>
          <w:rFonts w:ascii="Times New Roman" w:hAnsi="Times New Roman" w:cs="Times New Roman"/>
          <w:b/>
          <w:bCs/>
          <w:sz w:val="24"/>
          <w:szCs w:val="24"/>
        </w:rPr>
        <w:t>Supplementary f</w:t>
      </w:r>
      <w:r w:rsidRPr="005A6E66">
        <w:rPr>
          <w:rFonts w:ascii="Times New Roman" w:hAnsi="Times New Roman" w:cs="Times New Roman"/>
          <w:b/>
          <w:bCs/>
          <w:sz w:val="24"/>
          <w:szCs w:val="24"/>
        </w:rPr>
        <w:t xml:space="preserve">igure </w:t>
      </w:r>
      <w:r>
        <w:rPr>
          <w:rFonts w:ascii="Times New Roman" w:hAnsi="Times New Roman" w:cs="Times New Roman"/>
          <w:b/>
          <w:bCs/>
          <w:sz w:val="24"/>
          <w:szCs w:val="24"/>
        </w:rPr>
        <w:t>3</w:t>
      </w:r>
      <w:r w:rsidRPr="005A6E66">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Strong similarity between </w:t>
      </w:r>
      <w:proofErr w:type="spellStart"/>
      <w:r>
        <w:rPr>
          <w:rFonts w:ascii="Times New Roman" w:hAnsi="Times New Roman" w:cs="Times New Roman"/>
          <w:sz w:val="24"/>
          <w:szCs w:val="24"/>
        </w:rPr>
        <w:t>coporophilous</w:t>
      </w:r>
      <w:proofErr w:type="spellEnd"/>
      <w:r>
        <w:rPr>
          <w:rFonts w:ascii="Times New Roman" w:hAnsi="Times New Roman" w:cs="Times New Roman"/>
          <w:sz w:val="24"/>
          <w:szCs w:val="24"/>
        </w:rPr>
        <w:t xml:space="preserve"> fungal spore (CFS) concentration and influx</w:t>
      </w:r>
      <w:r w:rsidR="00E341E3">
        <w:rPr>
          <w:rFonts w:ascii="Times New Roman" w:hAnsi="Times New Roman" w:cs="Times New Roman"/>
          <w:sz w:val="24"/>
          <w:szCs w:val="24"/>
        </w:rPr>
        <w:t xml:space="preserve"> </w:t>
      </w:r>
      <w:r w:rsidR="00E341E3" w:rsidRPr="00C67754">
        <w:rPr>
          <w:rFonts w:ascii="Times New Roman" w:hAnsi="Times New Roman" w:cs="Times New Roman"/>
          <w:sz w:val="24"/>
          <w:szCs w:val="24"/>
        </w:rPr>
        <w:t>from core MD03-2607</w:t>
      </w:r>
      <w:r>
        <w:rPr>
          <w:rFonts w:ascii="Times New Roman" w:hAnsi="Times New Roman" w:cs="Times New Roman"/>
          <w:sz w:val="24"/>
          <w:szCs w:val="24"/>
        </w:rPr>
        <w:t>.</w:t>
      </w:r>
    </w:p>
    <w:p w14:paraId="156C4EC6" w14:textId="10D2DA9A" w:rsidR="00FC4BA0" w:rsidRPr="00574E62" w:rsidRDefault="009C5C37" w:rsidP="00FC4BA0">
      <w:pPr>
        <w:rPr>
          <w:rFonts w:ascii="Times New Roman" w:hAnsi="Times New Roman" w:cs="Times New Roman"/>
          <w:sz w:val="24"/>
          <w:szCs w:val="24"/>
        </w:rPr>
      </w:pPr>
      <w:r>
        <w:rPr>
          <w:noProof/>
        </w:rPr>
        <w:lastRenderedPageBreak/>
        <w:drawing>
          <wp:inline distT="0" distB="0" distL="0" distR="0" wp14:anchorId="7B3C252C" wp14:editId="02DA6EA1">
            <wp:extent cx="5407796" cy="5463520"/>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6604" cy="5472419"/>
                    </a:xfrm>
                    <a:prstGeom prst="rect">
                      <a:avLst/>
                    </a:prstGeom>
                    <a:noFill/>
                    <a:ln>
                      <a:noFill/>
                    </a:ln>
                  </pic:spPr>
                </pic:pic>
              </a:graphicData>
            </a:graphic>
          </wp:inline>
        </w:drawing>
      </w:r>
    </w:p>
    <w:p w14:paraId="58A05B0C" w14:textId="39DB2291" w:rsidR="00473AAE" w:rsidRDefault="00E61DB8" w:rsidP="00473AAE">
      <w:pPr>
        <w:rPr>
          <w:rFonts w:ascii="Times New Roman" w:hAnsi="Times New Roman" w:cs="Times New Roman"/>
          <w:sz w:val="24"/>
          <w:szCs w:val="24"/>
        </w:rPr>
      </w:pPr>
      <w:r>
        <w:rPr>
          <w:rFonts w:ascii="Times New Roman" w:hAnsi="Times New Roman" w:cs="Times New Roman"/>
          <w:b/>
          <w:bCs/>
          <w:sz w:val="24"/>
          <w:szCs w:val="24"/>
        </w:rPr>
        <w:t>Supplementary f</w:t>
      </w:r>
      <w:r w:rsidR="00FC4BA0" w:rsidRPr="005A6E66">
        <w:rPr>
          <w:rFonts w:ascii="Times New Roman" w:hAnsi="Times New Roman" w:cs="Times New Roman"/>
          <w:b/>
          <w:bCs/>
          <w:sz w:val="24"/>
          <w:szCs w:val="24"/>
        </w:rPr>
        <w:t xml:space="preserve">igure </w:t>
      </w:r>
      <w:r w:rsidR="0006032F">
        <w:rPr>
          <w:rFonts w:ascii="Times New Roman" w:hAnsi="Times New Roman" w:cs="Times New Roman"/>
          <w:b/>
          <w:bCs/>
          <w:sz w:val="24"/>
          <w:szCs w:val="24"/>
        </w:rPr>
        <w:t>4</w:t>
      </w:r>
      <w:r w:rsidR="00FC4BA0" w:rsidRPr="005A6E66">
        <w:rPr>
          <w:rFonts w:ascii="Times New Roman" w:hAnsi="Times New Roman" w:cs="Times New Roman"/>
          <w:b/>
          <w:bCs/>
          <w:sz w:val="24"/>
          <w:szCs w:val="24"/>
        </w:rPr>
        <w:t>:</w:t>
      </w:r>
      <w:r w:rsidR="00FC4BA0">
        <w:rPr>
          <w:rFonts w:ascii="Times New Roman" w:hAnsi="Times New Roman" w:cs="Times New Roman"/>
          <w:b/>
          <w:bCs/>
          <w:sz w:val="24"/>
          <w:szCs w:val="24"/>
        </w:rPr>
        <w:t xml:space="preserve"> </w:t>
      </w:r>
      <w:r w:rsidR="00473AAE">
        <w:rPr>
          <w:rFonts w:ascii="Times New Roman" w:hAnsi="Times New Roman" w:cs="Times New Roman"/>
          <w:sz w:val="24"/>
          <w:szCs w:val="24"/>
        </w:rPr>
        <w:t xml:space="preserve">Palaeoclimatic reconstructions (SST= sea-surface temperature and </w:t>
      </w:r>
      <w:r w:rsidR="00623150">
        <w:rPr>
          <w:rFonts w:ascii="Times New Roman" w:hAnsi="Times New Roman" w:cs="Times New Roman"/>
          <w:sz w:val="24"/>
          <w:szCs w:val="24"/>
        </w:rPr>
        <w:t xml:space="preserve">fossil pollen-based </w:t>
      </w:r>
      <w:r w:rsidR="00473AAE">
        <w:rPr>
          <w:rFonts w:ascii="Times New Roman" w:hAnsi="Times New Roman" w:cs="Times New Roman"/>
          <w:sz w:val="24"/>
          <w:szCs w:val="24"/>
        </w:rPr>
        <w:t xml:space="preserve">estimated rainfall), and percentages of fungal spores and pollen of selected taxa, as well as charcoal counts (particles/cm) </w:t>
      </w:r>
      <w:r w:rsidR="00574E62">
        <w:rPr>
          <w:rFonts w:ascii="Times New Roman" w:hAnsi="Times New Roman" w:cs="Times New Roman"/>
          <w:sz w:val="24"/>
          <w:szCs w:val="24"/>
        </w:rPr>
        <w:fldChar w:fldCharType="begin"/>
      </w:r>
      <w:r w:rsidR="00005BE7">
        <w:rPr>
          <w:rFonts w:ascii="Times New Roman" w:hAnsi="Times New Roman" w:cs="Times New Roman"/>
          <w:sz w:val="24"/>
          <w:szCs w:val="24"/>
        </w:rPr>
        <w:instrText xml:space="preserve"> ADDIN ZOTERO_ITEM CSL_CITATION {"citationID":"ekD7NcrS","properties":{"formattedCitation":"(De Deckker et al., 2021)","plainCitation":"(De Deckker et al., 2021)","noteIndex":0},"citationItems":[{"id":83,"uris":["http://zotero.org/users/7915318/items/PVHFLAFQ"],"itemData":{"id":83,"type":"article-journal","abstract":"A palynological record spanning the last glacial–interglacial period was derived from high-resolution, deep-sea core MD03-2607, located near Kangaroo Island in South Australia. The core site lies opposite the mouth of the River Murray that, together with the Darling River, drains the extensive (</w:instrText>
      </w:r>
      <w:r w:rsidR="00005BE7">
        <w:rPr>
          <w:rFonts w:ascii="Cambria Math" w:hAnsi="Cambria Math" w:cs="Cambria Math"/>
          <w:sz w:val="24"/>
          <w:szCs w:val="24"/>
        </w:rPr>
        <w:instrText>∼</w:instrText>
      </w:r>
      <w:r w:rsidR="00005BE7">
        <w:rPr>
          <w:rFonts w:ascii="Times New Roman" w:hAnsi="Times New Roman" w:cs="Times New Roman"/>
          <w:sz w:val="24"/>
          <w:szCs w:val="24"/>
        </w:rPr>
        <w:instrText xml:space="preserve">1.6 × 106 km2) Murray-Darling Basin (MDB). The record comprises 120 samples and is compared with detailed records of sea-surface temperature (SST), the C3/C4 plant ratio obtained from the δ13C of n-alkanes from leaf waxes, the fluvial clay fraction and its neodymium isotopic composition, airborne dust and the biomass-burning component levuglosan. The chronology of the core is robust; it is built on 24 radiocarbon dates derived from planktic foraminifera, 16 optically stimulated luminescence dates, plus 12 tie points linked to the astronomically tuned marine isotopic record. Algal remains are found in nearly all samples supporting our postulation that the palynoflora is predominantly waterborne. Major findings are that the gymnosperm Callitris, together with high percentages of herb pollen (mostly C3 plants), is predominant during cold, arid phases, whereas Eucalyptus, is predominant during warmer and wetter periods. High charcoal concentration coincides with high percentages of Eucalyptus, mostly during wet and warm periods. Using the geochemistry of the core’s fluvial sediments, it has been possible to identify when water-transported palynoflora and charcoal originated from the Murray sub-basin (consisting of the River Murray and its main tributaries but not from central or western South Australia). During those periods, rainfall principally originated from the southeastern Indian Ocean. When the Darling sub-basin was the main source of the palynoflora, rainfall must have instead originated from northern Australia. The eolian dust record from the core shows that the dust signal generally coincides with the increased values in herb pollen, in particular during the Last Glacial Maximum (LGM) when, in addition to high herb percentages, Callitris representation also increased. This dry landscape taxon likely colonised the then-exposed Lacepede Shelf during this period of extreme low sea-level. There is a good correspondence between SST and mean annual precipitation reconstructed from the pollen counts. During warm phases in the ocean, Eucalyptus was the dominant tree taxon, especially for the entirety of Marine Isotope Stages (MIS) 5, plus MIS 3 and MIS 1. Charcoal levels were particularly low during the dry phases MIS 4 and 2, and even more so during the LGM.KEY POINTSWe provide a very detailed pollen diagram from a deep-sea core taken offshore from the mouth of the River Murray.This record details vegetation changes in the Murray-Darling Basin spanning the last glacial/interglacial cycle.The pollen record is compared with other proxies obtained from the marine core, such as sea-surface temperature, changes in C3/C4 plants percentages, geochemical analyses of terrigenous sediments that inform on the origin of the sediments reaching the ocean and by implication the origin of the pollen.Charcoal counts obtained from the core are compared with the pollen spectra and clearly indicate the large incidence of fires during wet and warm periods when Eucalyptus pollen was abundant. Low charcoal counts occur during dry and cold phases when Callitris pollen were predominant over Eucalyptus.","container-title":"Australian Journal of Earth Sciences","DOI":"10.1080/08120099.2021.1896578","ISSN":"0812-0099","issue":"0","note":"publisher: Taylor &amp; Francis\n_eprint: https://doi.org/10.1080/08120099.2021.1896578","page":"928-951","source":"Taylor and Francis+NEJM","title":"The pollen record from marine core MD03-2607 from offshore Kangaroo Island spanning the last 125 ka; implications for vegetation changes across the Murray-Darling Basin","volume":"68","author":[{"family":"De Deckker","given":"Patrick"},{"family":"Kaars","given":"Sander","non-dropping-particle":"van der"},{"family":"Haberle","given":"S."},{"family":"Hua","given":"Q."},{"family":"Stuut","given":"J.-B. W."}],"issued":{"date-parts":[["2021",3,28]]}}}],"schema":"https://github.com/citation-style-language/schema/raw/master/csl-citation.json"} </w:instrText>
      </w:r>
      <w:r w:rsidR="00574E62">
        <w:rPr>
          <w:rFonts w:ascii="Times New Roman" w:hAnsi="Times New Roman" w:cs="Times New Roman"/>
          <w:sz w:val="24"/>
          <w:szCs w:val="24"/>
        </w:rPr>
        <w:fldChar w:fldCharType="separate"/>
      </w:r>
      <w:r w:rsidR="00005BE7" w:rsidRPr="00005BE7">
        <w:rPr>
          <w:rFonts w:ascii="Times New Roman" w:hAnsi="Times New Roman" w:cs="Times New Roman"/>
          <w:sz w:val="24"/>
        </w:rPr>
        <w:t>(De Deckker et al., 2021)</w:t>
      </w:r>
      <w:r w:rsidR="00574E62">
        <w:rPr>
          <w:rFonts w:ascii="Times New Roman" w:hAnsi="Times New Roman" w:cs="Times New Roman"/>
          <w:sz w:val="24"/>
          <w:szCs w:val="24"/>
        </w:rPr>
        <w:fldChar w:fldCharType="end"/>
      </w:r>
      <w:r w:rsidR="00473AAE">
        <w:rPr>
          <w:rFonts w:ascii="Times New Roman" w:hAnsi="Times New Roman" w:cs="Times New Roman"/>
          <w:sz w:val="24"/>
          <w:szCs w:val="24"/>
        </w:rPr>
        <w:t>, plus the biomass burning indicator Levogl</w:t>
      </w:r>
      <w:r w:rsidR="00111A8E">
        <w:rPr>
          <w:rFonts w:ascii="Times New Roman" w:hAnsi="Times New Roman" w:cs="Times New Roman"/>
          <w:sz w:val="24"/>
          <w:szCs w:val="24"/>
        </w:rPr>
        <w:t>u</w:t>
      </w:r>
      <w:r w:rsidR="00473AAE">
        <w:rPr>
          <w:rFonts w:ascii="Times New Roman" w:hAnsi="Times New Roman" w:cs="Times New Roman"/>
          <w:sz w:val="24"/>
          <w:szCs w:val="24"/>
        </w:rPr>
        <w:t>cosan (</w:t>
      </w:r>
      <w:proofErr w:type="spellStart"/>
      <w:r w:rsidR="00473AAE">
        <w:rPr>
          <w:rFonts w:ascii="Times New Roman" w:hAnsi="Times New Roman" w:cs="Times New Roman"/>
          <w:sz w:val="24"/>
          <w:szCs w:val="24"/>
        </w:rPr>
        <w:t>pg</w:t>
      </w:r>
      <w:proofErr w:type="spellEnd"/>
      <w:r w:rsidR="00473AAE">
        <w:rPr>
          <w:rFonts w:ascii="Times New Roman" w:hAnsi="Times New Roman" w:cs="Times New Roman"/>
          <w:sz w:val="24"/>
          <w:szCs w:val="24"/>
        </w:rPr>
        <w:t>/g) adapted from</w:t>
      </w:r>
      <w:r w:rsidR="00B26155">
        <w:rPr>
          <w:rFonts w:ascii="Times New Roman" w:hAnsi="Times New Roman" w:cs="Times New Roman"/>
          <w:sz w:val="24"/>
          <w:szCs w:val="24"/>
        </w:rPr>
        <w:t xml:space="preserve"> </w:t>
      </w:r>
      <w:r w:rsidR="00B26155">
        <w:rPr>
          <w:rFonts w:ascii="Times New Roman" w:hAnsi="Times New Roman" w:cs="Times New Roman"/>
          <w:sz w:val="24"/>
          <w:szCs w:val="24"/>
        </w:rPr>
        <w:fldChar w:fldCharType="begin"/>
      </w:r>
      <w:r w:rsidR="00834A31">
        <w:rPr>
          <w:rFonts w:ascii="Times New Roman" w:hAnsi="Times New Roman" w:cs="Times New Roman"/>
          <w:sz w:val="24"/>
          <w:szCs w:val="24"/>
        </w:rPr>
        <w:instrText xml:space="preserve"> ADDIN ZOTERO_ITEM CSL_CITATION {"citationID":"xhWbRzKE","properties":{"formattedCitation":"(Lopes dos Santos et al., 2013)","plainCitation":"(Lopes dos Santos et al., 2013)","dontUpdate":true,"noteIndex":0},"citationItems":[{"id":1465,"uris":["http://zotero.org/users/7915318/items/X7A7TLW4"],"itemData":{"id":1465,"type":"article-journal","abstract":"The extinction of megafauna in Australia about 43,000 years ago has been linked to both human arrival and vegetation change. Marine sediment analyses from the east coast of Australia suggest that vegetation change was a result, rather than cause, of the extinction.","container-title":"Nature Geoscience","DOI":"10.1038/ngeo1856","ISSN":"1752-0908","issue":"8","journalAbbreviation":"Nature Geosci","language":"en","license":"2013 Nature Publishing Group","note":"number: 8\npublisher: Nature Publishing Group","page":"627-631","source":"www.nature.com","title":"Abrupt vegetation change after the Late Quaternary megafaunal extinction in southeastern Australia","volume":"6","author":[{"family":"Lopes dos Santos","given":"Raquel A."},{"family":"De Deckker","given":"Patrick"},{"family":"Hopmans","given":"Ellen C."},{"family":"Magee","given":"John W."},{"family":"Mets","given":"Anchelique"},{"family":"Sinninghe Damsté","given":"Jaap S."},{"family":"Schouten","given":"Stefan"}],"issued":{"date-parts":[["2013",8]]}}}],"schema":"https://github.com/citation-style-language/schema/raw/master/csl-citation.json"} </w:instrText>
      </w:r>
      <w:r w:rsidR="00B26155">
        <w:rPr>
          <w:rFonts w:ascii="Times New Roman" w:hAnsi="Times New Roman" w:cs="Times New Roman"/>
          <w:sz w:val="24"/>
          <w:szCs w:val="24"/>
        </w:rPr>
        <w:fldChar w:fldCharType="separate"/>
      </w:r>
      <w:r w:rsidR="00B26155" w:rsidRPr="00B26155">
        <w:rPr>
          <w:rFonts w:ascii="Times New Roman" w:hAnsi="Times New Roman" w:cs="Times New Roman"/>
          <w:sz w:val="24"/>
        </w:rPr>
        <w:t>Lopes dos Santos et al.</w:t>
      </w:r>
      <w:r w:rsidR="00B26155">
        <w:rPr>
          <w:rFonts w:ascii="Times New Roman" w:hAnsi="Times New Roman" w:cs="Times New Roman"/>
          <w:sz w:val="24"/>
        </w:rPr>
        <w:t xml:space="preserve"> (</w:t>
      </w:r>
      <w:r w:rsidR="00B26155" w:rsidRPr="00B26155">
        <w:rPr>
          <w:rFonts w:ascii="Times New Roman" w:hAnsi="Times New Roman" w:cs="Times New Roman"/>
          <w:sz w:val="24"/>
        </w:rPr>
        <w:t>2013)</w:t>
      </w:r>
      <w:r w:rsidR="00B26155">
        <w:rPr>
          <w:rFonts w:ascii="Times New Roman" w:hAnsi="Times New Roman" w:cs="Times New Roman"/>
          <w:sz w:val="24"/>
          <w:szCs w:val="24"/>
        </w:rPr>
        <w:fldChar w:fldCharType="end"/>
      </w:r>
      <w:r w:rsidR="00473AAE">
        <w:rPr>
          <w:rFonts w:ascii="Times New Roman" w:hAnsi="Times New Roman" w:cs="Times New Roman"/>
          <w:sz w:val="24"/>
          <w:szCs w:val="24"/>
        </w:rPr>
        <w:t>. T</w:t>
      </w:r>
      <w:r w:rsidR="00623150">
        <w:rPr>
          <w:rFonts w:ascii="Times New Roman" w:hAnsi="Times New Roman" w:cs="Times New Roman"/>
          <w:sz w:val="24"/>
          <w:szCs w:val="24"/>
        </w:rPr>
        <w:t>he t</w:t>
      </w:r>
      <w:r w:rsidR="00473AAE">
        <w:rPr>
          <w:rFonts w:ascii="Times New Roman" w:hAnsi="Times New Roman" w:cs="Times New Roman"/>
          <w:sz w:val="24"/>
          <w:szCs w:val="24"/>
        </w:rPr>
        <w:t xml:space="preserve">op diagram represents the record for the entire </w:t>
      </w:r>
      <w:r w:rsidR="0001403E">
        <w:rPr>
          <w:rFonts w:ascii="Times New Roman" w:hAnsi="Times New Roman" w:cs="Times New Roman"/>
          <w:sz w:val="24"/>
          <w:szCs w:val="24"/>
        </w:rPr>
        <w:t xml:space="preserve">deep-sea core </w:t>
      </w:r>
      <w:r w:rsidR="00473AAE" w:rsidRPr="007207E7">
        <w:rPr>
          <w:rFonts w:ascii="Times New Roman" w:hAnsi="Times New Roman" w:cs="Times New Roman"/>
          <w:sz w:val="24"/>
          <w:szCs w:val="24"/>
        </w:rPr>
        <w:t>MD0</w:t>
      </w:r>
      <w:r w:rsidR="00473AAE">
        <w:rPr>
          <w:rFonts w:ascii="Times New Roman" w:hAnsi="Times New Roman" w:cs="Times New Roman"/>
          <w:sz w:val="24"/>
          <w:szCs w:val="24"/>
        </w:rPr>
        <w:t>3</w:t>
      </w:r>
      <w:r w:rsidR="00473AAE" w:rsidRPr="007207E7">
        <w:rPr>
          <w:rFonts w:ascii="Times New Roman" w:hAnsi="Times New Roman" w:cs="Times New Roman"/>
          <w:sz w:val="24"/>
          <w:szCs w:val="24"/>
        </w:rPr>
        <w:t>-26</w:t>
      </w:r>
      <w:r w:rsidR="00473AAE">
        <w:rPr>
          <w:rFonts w:ascii="Times New Roman" w:hAnsi="Times New Roman" w:cs="Times New Roman"/>
          <w:sz w:val="24"/>
          <w:szCs w:val="24"/>
        </w:rPr>
        <w:t xml:space="preserve">07, </w:t>
      </w:r>
      <w:r w:rsidR="00623150">
        <w:rPr>
          <w:rFonts w:ascii="Times New Roman" w:hAnsi="Times New Roman" w:cs="Times New Roman"/>
          <w:sz w:val="24"/>
          <w:szCs w:val="24"/>
        </w:rPr>
        <w:t xml:space="preserve">and </w:t>
      </w:r>
      <w:r w:rsidR="00274AB6">
        <w:rPr>
          <w:rFonts w:ascii="Times New Roman" w:hAnsi="Times New Roman" w:cs="Times New Roman"/>
          <w:sz w:val="24"/>
          <w:szCs w:val="24"/>
        </w:rPr>
        <w:t>the</w:t>
      </w:r>
      <w:r w:rsidR="00473AAE">
        <w:rPr>
          <w:rFonts w:ascii="Times New Roman" w:hAnsi="Times New Roman" w:cs="Times New Roman"/>
          <w:sz w:val="24"/>
          <w:szCs w:val="24"/>
        </w:rPr>
        <w:t xml:space="preserve"> lower </w:t>
      </w:r>
      <w:r w:rsidR="00274AB6">
        <w:rPr>
          <w:rFonts w:ascii="Times New Roman" w:hAnsi="Times New Roman" w:cs="Times New Roman"/>
          <w:sz w:val="24"/>
          <w:szCs w:val="24"/>
        </w:rPr>
        <w:t>diagram focuses</w:t>
      </w:r>
      <w:r w:rsidR="00473AAE">
        <w:rPr>
          <w:rFonts w:ascii="Times New Roman" w:hAnsi="Times New Roman" w:cs="Times New Roman"/>
          <w:sz w:val="24"/>
          <w:szCs w:val="24"/>
        </w:rPr>
        <w:t xml:space="preserve"> on the 50-30 ka record during which </w:t>
      </w:r>
      <w:r w:rsidR="00CD58E2">
        <w:rPr>
          <w:rFonts w:ascii="Times New Roman" w:hAnsi="Times New Roman" w:cs="Times New Roman"/>
          <w:sz w:val="24"/>
          <w:szCs w:val="24"/>
        </w:rPr>
        <w:t xml:space="preserve"> the timing of </w:t>
      </w:r>
      <w:r w:rsidR="00473AAE">
        <w:rPr>
          <w:rFonts w:ascii="Times New Roman" w:hAnsi="Times New Roman" w:cs="Times New Roman"/>
          <w:sz w:val="24"/>
          <w:szCs w:val="24"/>
        </w:rPr>
        <w:t>the megafauna</w:t>
      </w:r>
      <w:r w:rsidR="00274AB6">
        <w:rPr>
          <w:rFonts w:ascii="Times New Roman" w:hAnsi="Times New Roman" w:cs="Times New Roman"/>
          <w:sz w:val="24"/>
          <w:szCs w:val="24"/>
        </w:rPr>
        <w:t>l</w:t>
      </w:r>
      <w:r w:rsidR="00473AAE">
        <w:rPr>
          <w:rFonts w:ascii="Times New Roman" w:hAnsi="Times New Roman" w:cs="Times New Roman"/>
          <w:sz w:val="24"/>
          <w:szCs w:val="24"/>
        </w:rPr>
        <w:t xml:space="preserve"> extinction is postulated</w:t>
      </w:r>
      <w:r w:rsidR="00623150">
        <w:rPr>
          <w:rFonts w:ascii="Times New Roman" w:hAnsi="Times New Roman" w:cs="Times New Roman"/>
          <w:sz w:val="24"/>
          <w:szCs w:val="24"/>
        </w:rPr>
        <w:t xml:space="preserve"> </w:t>
      </w:r>
      <w:r>
        <w:rPr>
          <w:rFonts w:ascii="Times New Roman" w:hAnsi="Times New Roman" w:cs="Times New Roman"/>
          <w:sz w:val="24"/>
          <w:szCs w:val="24"/>
        </w:rPr>
        <w:t xml:space="preserve">to have occurred </w:t>
      </w:r>
      <w:r w:rsidR="00623150">
        <w:rPr>
          <w:rFonts w:ascii="Times New Roman" w:hAnsi="Times New Roman" w:cs="Times New Roman"/>
          <w:sz w:val="24"/>
          <w:szCs w:val="24"/>
        </w:rPr>
        <w:t xml:space="preserve">at </w:t>
      </w:r>
      <w:r w:rsidR="00623150" w:rsidRPr="00C67754">
        <w:rPr>
          <w:rFonts w:ascii="Times New Roman" w:hAnsi="Times New Roman" w:cs="Times New Roman"/>
          <w:sz w:val="24"/>
          <w:szCs w:val="24"/>
        </w:rPr>
        <w:t>4</w:t>
      </w:r>
      <w:r w:rsidR="00E341E3" w:rsidRPr="00C67754">
        <w:rPr>
          <w:rFonts w:ascii="Times New Roman" w:hAnsi="Times New Roman" w:cs="Times New Roman"/>
          <w:sz w:val="24"/>
          <w:szCs w:val="24"/>
        </w:rPr>
        <w:t>3.5</w:t>
      </w:r>
      <w:r w:rsidR="00623150" w:rsidRPr="00C67754">
        <w:rPr>
          <w:rFonts w:ascii="Times New Roman" w:hAnsi="Times New Roman" w:cs="Times New Roman"/>
          <w:sz w:val="24"/>
          <w:szCs w:val="24"/>
        </w:rPr>
        <w:t xml:space="preserve"> ka</w:t>
      </w:r>
      <w:r w:rsidR="00473AAE" w:rsidRPr="00C67754">
        <w:rPr>
          <w:rFonts w:ascii="Times New Roman" w:hAnsi="Times New Roman" w:cs="Times New Roman"/>
          <w:sz w:val="24"/>
          <w:szCs w:val="24"/>
        </w:rPr>
        <w:t xml:space="preserve">. Note </w:t>
      </w:r>
      <w:r w:rsidR="00473AAE">
        <w:rPr>
          <w:rFonts w:ascii="Times New Roman" w:hAnsi="Times New Roman" w:cs="Times New Roman"/>
          <w:sz w:val="24"/>
          <w:szCs w:val="24"/>
        </w:rPr>
        <w:t>the position of AMS</w:t>
      </w:r>
      <w:r w:rsidR="00473AAE" w:rsidRPr="004B5AA6">
        <w:rPr>
          <w:rFonts w:ascii="Times New Roman" w:hAnsi="Times New Roman" w:cs="Times New Roman"/>
          <w:sz w:val="24"/>
          <w:szCs w:val="24"/>
          <w:vertAlign w:val="superscript"/>
        </w:rPr>
        <w:t>14</w:t>
      </w:r>
      <w:r w:rsidR="00473AAE">
        <w:rPr>
          <w:rFonts w:ascii="Times New Roman" w:hAnsi="Times New Roman" w:cs="Times New Roman"/>
          <w:sz w:val="24"/>
          <w:szCs w:val="24"/>
        </w:rPr>
        <w:t xml:space="preserve">C dates and tie points from </w:t>
      </w:r>
      <w:r w:rsidR="00473AAE" w:rsidRPr="006138FE">
        <w:rPr>
          <w:rFonts w:ascii="Symbol" w:hAnsi="Symbol" w:cs="Times New Roman"/>
          <w:sz w:val="24"/>
          <w:szCs w:val="24"/>
        </w:rPr>
        <w:t></w:t>
      </w:r>
      <w:r w:rsidR="00473AAE" w:rsidRPr="006138FE">
        <w:rPr>
          <w:rFonts w:ascii="Times New Roman" w:hAnsi="Times New Roman" w:cs="Times New Roman"/>
          <w:sz w:val="24"/>
          <w:szCs w:val="24"/>
          <w:vertAlign w:val="superscript"/>
        </w:rPr>
        <w:t>18</w:t>
      </w:r>
      <w:r w:rsidR="00473AAE">
        <w:rPr>
          <w:rFonts w:ascii="Times New Roman" w:hAnsi="Times New Roman" w:cs="Times New Roman"/>
          <w:sz w:val="24"/>
          <w:szCs w:val="24"/>
        </w:rPr>
        <w:t>O of planktic foraminifera</w:t>
      </w:r>
      <w:r>
        <w:rPr>
          <w:rFonts w:ascii="Times New Roman" w:hAnsi="Times New Roman" w:cs="Times New Roman"/>
          <w:sz w:val="24"/>
          <w:szCs w:val="24"/>
        </w:rPr>
        <w:t xml:space="preserve"> (see Fig. </w:t>
      </w:r>
      <w:r w:rsidR="00574E62">
        <w:rPr>
          <w:rFonts w:ascii="Times New Roman" w:hAnsi="Times New Roman" w:cs="Times New Roman"/>
          <w:sz w:val="24"/>
          <w:szCs w:val="24"/>
        </w:rPr>
        <w:t>3 in main text</w:t>
      </w:r>
      <w:r>
        <w:rPr>
          <w:rFonts w:ascii="Times New Roman" w:hAnsi="Times New Roman" w:cs="Times New Roman"/>
          <w:sz w:val="24"/>
          <w:szCs w:val="24"/>
        </w:rPr>
        <w:t xml:space="preserve"> for more details)</w:t>
      </w:r>
      <w:r w:rsidR="00473AAE">
        <w:rPr>
          <w:rFonts w:ascii="Times New Roman" w:hAnsi="Times New Roman" w:cs="Times New Roman"/>
          <w:sz w:val="24"/>
          <w:szCs w:val="24"/>
        </w:rPr>
        <w:t>.</w:t>
      </w:r>
      <w:r w:rsidR="00623150">
        <w:rPr>
          <w:rFonts w:ascii="Times New Roman" w:hAnsi="Times New Roman" w:cs="Times New Roman"/>
          <w:sz w:val="24"/>
          <w:szCs w:val="24"/>
        </w:rPr>
        <w:t xml:space="preserve"> </w:t>
      </w:r>
      <w:r w:rsidR="00623150" w:rsidRPr="00623150">
        <w:rPr>
          <w:rFonts w:ascii="Times New Roman" w:hAnsi="Times New Roman" w:cs="Times New Roman"/>
          <w:sz w:val="24"/>
          <w:szCs w:val="24"/>
        </w:rPr>
        <w:t xml:space="preserve">The ages listed in the </w:t>
      </w:r>
      <w:proofErr w:type="spellStart"/>
      <w:r w:rsidR="00623150" w:rsidRPr="00623150">
        <w:rPr>
          <w:rFonts w:ascii="Times New Roman" w:hAnsi="Times New Roman" w:cs="Times New Roman"/>
          <w:i/>
          <w:iCs/>
          <w:sz w:val="24"/>
          <w:szCs w:val="24"/>
        </w:rPr>
        <w:t>Sporormiella</w:t>
      </w:r>
      <w:proofErr w:type="spellEnd"/>
      <w:r w:rsidR="00623150" w:rsidRPr="00623150">
        <w:rPr>
          <w:rFonts w:ascii="Times New Roman" w:hAnsi="Times New Roman" w:cs="Times New Roman"/>
          <w:sz w:val="24"/>
          <w:szCs w:val="24"/>
        </w:rPr>
        <w:t xml:space="preserve"> diagram indicate shifts in spore abundance</w:t>
      </w:r>
      <w:r w:rsidR="00623150">
        <w:rPr>
          <w:rFonts w:ascii="Times New Roman" w:hAnsi="Times New Roman" w:cs="Times New Roman"/>
          <w:sz w:val="24"/>
          <w:szCs w:val="24"/>
        </w:rPr>
        <w:t>.</w:t>
      </w:r>
    </w:p>
    <w:p w14:paraId="0878745E" w14:textId="3B8DDFF9" w:rsidR="00B26683" w:rsidRDefault="006A0B8F" w:rsidP="008C6C40">
      <w:r w:rsidRPr="006A0B8F">
        <w:lastRenderedPageBreak/>
        <w:t xml:space="preserve"> </w:t>
      </w:r>
      <w:r w:rsidR="00C55817">
        <w:rPr>
          <w:noProof/>
        </w:rPr>
        <w:drawing>
          <wp:inline distT="0" distB="0" distL="0" distR="0" wp14:anchorId="39489A82" wp14:editId="1D7A188E">
            <wp:extent cx="2834010" cy="8007512"/>
            <wp:effectExtent l="0" t="0" r="444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2609" cy="8031809"/>
                    </a:xfrm>
                    <a:prstGeom prst="rect">
                      <a:avLst/>
                    </a:prstGeom>
                    <a:noFill/>
                    <a:ln>
                      <a:noFill/>
                    </a:ln>
                  </pic:spPr>
                </pic:pic>
              </a:graphicData>
            </a:graphic>
          </wp:inline>
        </w:drawing>
      </w:r>
    </w:p>
    <w:p w14:paraId="0749924E" w14:textId="49FADBD9" w:rsidR="000F42D5" w:rsidRDefault="00E61DB8" w:rsidP="008C6C40">
      <w:pPr>
        <w:rPr>
          <w:rFonts w:ascii="Times New Roman" w:hAnsi="Times New Roman" w:cs="Times New Roman"/>
          <w:sz w:val="24"/>
          <w:szCs w:val="24"/>
        </w:rPr>
      </w:pPr>
      <w:r>
        <w:rPr>
          <w:rFonts w:ascii="Times New Roman" w:hAnsi="Times New Roman" w:cs="Times New Roman"/>
          <w:b/>
          <w:bCs/>
          <w:sz w:val="24"/>
          <w:szCs w:val="24"/>
        </w:rPr>
        <w:t>Supplementary f</w:t>
      </w:r>
      <w:r w:rsidR="00017927">
        <w:rPr>
          <w:rFonts w:ascii="Times New Roman" w:hAnsi="Times New Roman" w:cs="Times New Roman"/>
          <w:b/>
          <w:bCs/>
          <w:sz w:val="24"/>
          <w:szCs w:val="24"/>
        </w:rPr>
        <w:t xml:space="preserve">igure </w:t>
      </w:r>
      <w:r w:rsidR="0006032F">
        <w:rPr>
          <w:rFonts w:ascii="Times New Roman" w:hAnsi="Times New Roman" w:cs="Times New Roman"/>
          <w:b/>
          <w:bCs/>
          <w:sz w:val="24"/>
          <w:szCs w:val="24"/>
        </w:rPr>
        <w:t>5</w:t>
      </w:r>
      <w:r w:rsidR="00017927">
        <w:rPr>
          <w:rFonts w:ascii="Times New Roman" w:hAnsi="Times New Roman" w:cs="Times New Roman"/>
          <w:b/>
          <w:bCs/>
          <w:sz w:val="24"/>
          <w:szCs w:val="24"/>
        </w:rPr>
        <w:t xml:space="preserve">: </w:t>
      </w:r>
      <w:r w:rsidR="00E85B37">
        <w:rPr>
          <w:rFonts w:ascii="Times New Roman" w:hAnsi="Times New Roman" w:cs="Times New Roman"/>
          <w:sz w:val="24"/>
          <w:szCs w:val="24"/>
        </w:rPr>
        <w:t xml:space="preserve">Percentage abundance of large-seeded pollen taxa during the megafauna extinction </w:t>
      </w:r>
      <w:r w:rsidR="00E85B37" w:rsidRPr="00C67754">
        <w:rPr>
          <w:rFonts w:ascii="Times New Roman" w:hAnsi="Times New Roman" w:cs="Times New Roman"/>
          <w:sz w:val="24"/>
          <w:szCs w:val="24"/>
        </w:rPr>
        <w:t>window</w:t>
      </w:r>
      <w:r w:rsidR="00E341E3" w:rsidRPr="00C67754">
        <w:rPr>
          <w:rFonts w:ascii="Times New Roman" w:hAnsi="Times New Roman" w:cs="Times New Roman"/>
          <w:sz w:val="24"/>
          <w:szCs w:val="24"/>
        </w:rPr>
        <w:t xml:space="preserve"> from core MD03-2607</w:t>
      </w:r>
      <w:r w:rsidR="00E85B37" w:rsidRPr="00C67754">
        <w:rPr>
          <w:rFonts w:ascii="Times New Roman" w:hAnsi="Times New Roman" w:cs="Times New Roman"/>
          <w:sz w:val="24"/>
          <w:szCs w:val="24"/>
        </w:rPr>
        <w:t>.</w:t>
      </w:r>
      <w:r w:rsidR="00C20F76" w:rsidRPr="00C67754">
        <w:rPr>
          <w:rFonts w:ascii="Times New Roman" w:hAnsi="Times New Roman" w:cs="Times New Roman"/>
          <w:sz w:val="24"/>
          <w:szCs w:val="24"/>
        </w:rPr>
        <w:t xml:space="preserve"> Refer to </w:t>
      </w:r>
      <w:r w:rsidR="007C5534">
        <w:rPr>
          <w:rFonts w:ascii="Times New Roman" w:hAnsi="Times New Roman" w:cs="Times New Roman"/>
          <w:sz w:val="24"/>
          <w:szCs w:val="24"/>
        </w:rPr>
        <w:t>Supplementary t</w:t>
      </w:r>
      <w:r w:rsidR="00C20F76">
        <w:rPr>
          <w:rFonts w:ascii="Times New Roman" w:hAnsi="Times New Roman" w:cs="Times New Roman"/>
          <w:sz w:val="24"/>
          <w:szCs w:val="24"/>
        </w:rPr>
        <w:t>able 1</w:t>
      </w:r>
      <w:r w:rsidR="007C5534">
        <w:rPr>
          <w:rFonts w:ascii="Times New Roman" w:hAnsi="Times New Roman" w:cs="Times New Roman"/>
          <w:sz w:val="24"/>
          <w:szCs w:val="24"/>
        </w:rPr>
        <w:t xml:space="preserve"> </w:t>
      </w:r>
      <w:r w:rsidR="00C20F76">
        <w:rPr>
          <w:rFonts w:ascii="Times New Roman" w:hAnsi="Times New Roman" w:cs="Times New Roman"/>
          <w:sz w:val="24"/>
          <w:szCs w:val="24"/>
        </w:rPr>
        <w:t>for dispersal modes.</w:t>
      </w:r>
    </w:p>
    <w:p w14:paraId="36075887" w14:textId="6A5C2489" w:rsidR="00AB2F8B" w:rsidRPr="00AB2F8B" w:rsidRDefault="00AB2F8B" w:rsidP="008C6C40">
      <w:pPr>
        <w:rPr>
          <w:rFonts w:ascii="Times New Roman" w:hAnsi="Times New Roman" w:cs="Times New Roman"/>
          <w:b/>
          <w:bCs/>
          <w:sz w:val="24"/>
          <w:szCs w:val="24"/>
        </w:rPr>
      </w:pPr>
      <w:r w:rsidRPr="00AB2F8B">
        <w:rPr>
          <w:rFonts w:ascii="Times New Roman" w:hAnsi="Times New Roman" w:cs="Times New Roman"/>
          <w:b/>
          <w:bCs/>
          <w:sz w:val="24"/>
          <w:szCs w:val="24"/>
        </w:rPr>
        <w:lastRenderedPageBreak/>
        <w:t>References</w:t>
      </w:r>
    </w:p>
    <w:p w14:paraId="4707CA44" w14:textId="77777777" w:rsidR="00005BE7" w:rsidRPr="00005BE7" w:rsidRDefault="00AB2F8B" w:rsidP="00005BE7">
      <w:pPr>
        <w:pStyle w:val="Bibliography"/>
        <w:rPr>
          <w:rFonts w:ascii="Times New Roman" w:hAnsi="Times New Roman" w:cs="Times New Roman"/>
          <w:sz w:val="24"/>
        </w:rPr>
      </w:pPr>
      <w:r>
        <w:fldChar w:fldCharType="begin"/>
      </w:r>
      <w:r w:rsidR="00005BE7">
        <w:instrText xml:space="preserve"> ADDIN ZOTERO_BIBL {"uncited":[],"omitted":[],"custom":[]} CSL_BIBLIOGRAPHY </w:instrText>
      </w:r>
      <w:r>
        <w:fldChar w:fldCharType="separate"/>
      </w:r>
      <w:r w:rsidR="00005BE7" w:rsidRPr="00005BE7">
        <w:rPr>
          <w:rFonts w:ascii="Times New Roman" w:hAnsi="Times New Roman" w:cs="Times New Roman"/>
          <w:sz w:val="24"/>
        </w:rPr>
        <w:t>De Deckker, P., van der Kaars, S., Haberle, S., Hua, Q., Stuut, J.-B.W., 2021. The pollen record from marine core MD03-2607 from offshore Kangaroo Island spanning the last 125 ka; implications for vegetation changes across the Murray-Darling Basin. Australian Journal of Earth Sciences 68, 928–951. https://doi.org/10.1080/08120099.2021.1896578</w:t>
      </w:r>
    </w:p>
    <w:p w14:paraId="10E76401" w14:textId="77777777" w:rsidR="00005BE7" w:rsidRPr="00005BE7" w:rsidRDefault="00005BE7" w:rsidP="00005BE7">
      <w:pPr>
        <w:pStyle w:val="Bibliography"/>
        <w:rPr>
          <w:rFonts w:ascii="Times New Roman" w:hAnsi="Times New Roman" w:cs="Times New Roman"/>
          <w:sz w:val="24"/>
        </w:rPr>
      </w:pPr>
      <w:r w:rsidRPr="00005BE7">
        <w:rPr>
          <w:rFonts w:ascii="Times New Roman" w:hAnsi="Times New Roman" w:cs="Times New Roman"/>
          <w:sz w:val="24"/>
        </w:rPr>
        <w:t>Lisiecki, L.E., Stern, J.V., 2016. Regional and global benthic δ18O stacks for the last glacial cycle. Paleoceanography 31, 1368–1394. https://doi.org/10.1002/2016PA003002</w:t>
      </w:r>
    </w:p>
    <w:p w14:paraId="17F430EA" w14:textId="77777777" w:rsidR="00005BE7" w:rsidRPr="00005BE7" w:rsidRDefault="00005BE7" w:rsidP="00005BE7">
      <w:pPr>
        <w:pStyle w:val="Bibliography"/>
        <w:rPr>
          <w:rFonts w:ascii="Times New Roman" w:hAnsi="Times New Roman" w:cs="Times New Roman"/>
          <w:sz w:val="24"/>
        </w:rPr>
      </w:pPr>
      <w:r w:rsidRPr="00005BE7">
        <w:rPr>
          <w:rFonts w:ascii="Times New Roman" w:hAnsi="Times New Roman" w:cs="Times New Roman"/>
          <w:sz w:val="24"/>
        </w:rPr>
        <w:t>Lopes dos Santos, R.A., De Deckker, P., Hopmans, E.C., Magee, J.W., Mets, A., Sinninghe Damsté, J.S., Schouten, S., 2013. Abrupt vegetation change after the Late Quaternary megafaunal extinction in southeastern Australia. Nature Geosci 6, 627–631. https://doi.org/10.1038/ngeo1856</w:t>
      </w:r>
    </w:p>
    <w:p w14:paraId="0E053D7A" w14:textId="77777777" w:rsidR="00005BE7" w:rsidRPr="00005BE7" w:rsidRDefault="00005BE7" w:rsidP="00005BE7">
      <w:pPr>
        <w:pStyle w:val="Bibliography"/>
        <w:rPr>
          <w:rFonts w:ascii="Times New Roman" w:hAnsi="Times New Roman" w:cs="Times New Roman"/>
          <w:sz w:val="24"/>
        </w:rPr>
      </w:pPr>
      <w:r w:rsidRPr="00005BE7">
        <w:rPr>
          <w:rFonts w:ascii="Times New Roman" w:hAnsi="Times New Roman" w:cs="Times New Roman"/>
          <w:sz w:val="24"/>
        </w:rPr>
        <w:t>Lopes dos Santos, R.A., Wilkins, D., De Deckker, P., Schouten, S., 2012. Late Quaternary productivity changes from offshore Southeastern Australia: A biomarker approach. Palaeogeography, Palaeoclimatology, Palaeoecology 363–364, 48–56. https://doi.org/10.1016/j.palaeo.2012.08.013</w:t>
      </w:r>
    </w:p>
    <w:p w14:paraId="42CEE8A6" w14:textId="752FF11C" w:rsidR="00AB2F8B" w:rsidRPr="008C6C40" w:rsidRDefault="00AB2F8B" w:rsidP="008C6C40">
      <w:pPr>
        <w:rPr>
          <w:rFonts w:ascii="Times New Roman" w:hAnsi="Times New Roman" w:cs="Times New Roman"/>
          <w:sz w:val="24"/>
          <w:szCs w:val="24"/>
        </w:rPr>
      </w:pPr>
      <w:r>
        <w:rPr>
          <w:rFonts w:ascii="Times New Roman" w:hAnsi="Times New Roman" w:cs="Times New Roman"/>
          <w:sz w:val="24"/>
          <w:szCs w:val="24"/>
        </w:rPr>
        <w:fldChar w:fldCharType="end"/>
      </w:r>
    </w:p>
    <w:sectPr w:rsidR="00AB2F8B" w:rsidRPr="008C6C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37D20" w14:textId="77777777" w:rsidR="00BD7ACF" w:rsidRDefault="00BD7ACF" w:rsidP="004E19F5">
      <w:pPr>
        <w:spacing w:after="0" w:line="240" w:lineRule="auto"/>
      </w:pPr>
      <w:r>
        <w:separator/>
      </w:r>
    </w:p>
  </w:endnote>
  <w:endnote w:type="continuationSeparator" w:id="0">
    <w:p w14:paraId="6B9E66DC" w14:textId="77777777" w:rsidR="00BD7ACF" w:rsidRDefault="00BD7ACF" w:rsidP="004E1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8953B" w14:textId="77777777" w:rsidR="00BD7ACF" w:rsidRDefault="00BD7ACF" w:rsidP="004E19F5">
      <w:pPr>
        <w:spacing w:after="0" w:line="240" w:lineRule="auto"/>
      </w:pPr>
      <w:r>
        <w:separator/>
      </w:r>
    </w:p>
  </w:footnote>
  <w:footnote w:type="continuationSeparator" w:id="0">
    <w:p w14:paraId="00701C9D" w14:textId="77777777" w:rsidR="00BD7ACF" w:rsidRDefault="00BD7ACF" w:rsidP="004E19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C8F"/>
    <w:rsid w:val="0000149F"/>
    <w:rsid w:val="00005BE7"/>
    <w:rsid w:val="0001403E"/>
    <w:rsid w:val="00017927"/>
    <w:rsid w:val="00025782"/>
    <w:rsid w:val="00042017"/>
    <w:rsid w:val="000421D9"/>
    <w:rsid w:val="00044237"/>
    <w:rsid w:val="00050DA7"/>
    <w:rsid w:val="0006032F"/>
    <w:rsid w:val="0008374E"/>
    <w:rsid w:val="000B67E9"/>
    <w:rsid w:val="000F42D5"/>
    <w:rsid w:val="00111A8E"/>
    <w:rsid w:val="00122D07"/>
    <w:rsid w:val="00124CA0"/>
    <w:rsid w:val="001413E3"/>
    <w:rsid w:val="00141E85"/>
    <w:rsid w:val="00153551"/>
    <w:rsid w:val="001676E7"/>
    <w:rsid w:val="001B4AAA"/>
    <w:rsid w:val="001E7550"/>
    <w:rsid w:val="001F247A"/>
    <w:rsid w:val="002219E7"/>
    <w:rsid w:val="002302A0"/>
    <w:rsid w:val="00230386"/>
    <w:rsid w:val="00274AB6"/>
    <w:rsid w:val="002C1856"/>
    <w:rsid w:val="002D3557"/>
    <w:rsid w:val="002E6882"/>
    <w:rsid w:val="002F3B22"/>
    <w:rsid w:val="00302466"/>
    <w:rsid w:val="003372CF"/>
    <w:rsid w:val="0034116A"/>
    <w:rsid w:val="00351835"/>
    <w:rsid w:val="00365CEC"/>
    <w:rsid w:val="003878DB"/>
    <w:rsid w:val="003D2197"/>
    <w:rsid w:val="003E204C"/>
    <w:rsid w:val="003F42B5"/>
    <w:rsid w:val="003F5651"/>
    <w:rsid w:val="00403766"/>
    <w:rsid w:val="00436D77"/>
    <w:rsid w:val="00473AAE"/>
    <w:rsid w:val="0049190D"/>
    <w:rsid w:val="004B5AA6"/>
    <w:rsid w:val="004C3DB4"/>
    <w:rsid w:val="004D4F1E"/>
    <w:rsid w:val="004E19F5"/>
    <w:rsid w:val="00574E62"/>
    <w:rsid w:val="00584E9B"/>
    <w:rsid w:val="005A6E66"/>
    <w:rsid w:val="005A7CB3"/>
    <w:rsid w:val="005B2F2E"/>
    <w:rsid w:val="005C77B0"/>
    <w:rsid w:val="005D2AA0"/>
    <w:rsid w:val="006113DD"/>
    <w:rsid w:val="00616885"/>
    <w:rsid w:val="00623150"/>
    <w:rsid w:val="00665A42"/>
    <w:rsid w:val="00672360"/>
    <w:rsid w:val="006A0B8F"/>
    <w:rsid w:val="006A1C77"/>
    <w:rsid w:val="00720420"/>
    <w:rsid w:val="00747B64"/>
    <w:rsid w:val="00762AAD"/>
    <w:rsid w:val="00764ED0"/>
    <w:rsid w:val="0078403D"/>
    <w:rsid w:val="007C5534"/>
    <w:rsid w:val="007C70E3"/>
    <w:rsid w:val="007D70EE"/>
    <w:rsid w:val="007F21F6"/>
    <w:rsid w:val="00803D4A"/>
    <w:rsid w:val="008050B9"/>
    <w:rsid w:val="00834A31"/>
    <w:rsid w:val="008716C7"/>
    <w:rsid w:val="00886CB9"/>
    <w:rsid w:val="008962E5"/>
    <w:rsid w:val="008B3784"/>
    <w:rsid w:val="008C50C6"/>
    <w:rsid w:val="008C6C40"/>
    <w:rsid w:val="008D067E"/>
    <w:rsid w:val="008D73F9"/>
    <w:rsid w:val="008E3F41"/>
    <w:rsid w:val="008E4B5A"/>
    <w:rsid w:val="008F17E2"/>
    <w:rsid w:val="00905013"/>
    <w:rsid w:val="00931FFB"/>
    <w:rsid w:val="00952147"/>
    <w:rsid w:val="009A1A42"/>
    <w:rsid w:val="009B0509"/>
    <w:rsid w:val="009C1E64"/>
    <w:rsid w:val="009C5C37"/>
    <w:rsid w:val="009F460D"/>
    <w:rsid w:val="009F50F1"/>
    <w:rsid w:val="00A20D6B"/>
    <w:rsid w:val="00A27237"/>
    <w:rsid w:val="00A36412"/>
    <w:rsid w:val="00A41D00"/>
    <w:rsid w:val="00A4375E"/>
    <w:rsid w:val="00A4685B"/>
    <w:rsid w:val="00A5104A"/>
    <w:rsid w:val="00A636AD"/>
    <w:rsid w:val="00A63A8E"/>
    <w:rsid w:val="00A76370"/>
    <w:rsid w:val="00A80EE5"/>
    <w:rsid w:val="00A871ED"/>
    <w:rsid w:val="00AA0FE0"/>
    <w:rsid w:val="00AB2F8B"/>
    <w:rsid w:val="00B26155"/>
    <w:rsid w:val="00B26683"/>
    <w:rsid w:val="00B34792"/>
    <w:rsid w:val="00B60D5E"/>
    <w:rsid w:val="00B9063F"/>
    <w:rsid w:val="00B9278B"/>
    <w:rsid w:val="00BC6694"/>
    <w:rsid w:val="00BD61AB"/>
    <w:rsid w:val="00BD7ACF"/>
    <w:rsid w:val="00C13C0D"/>
    <w:rsid w:val="00C15512"/>
    <w:rsid w:val="00C20F76"/>
    <w:rsid w:val="00C22A66"/>
    <w:rsid w:val="00C2311E"/>
    <w:rsid w:val="00C55817"/>
    <w:rsid w:val="00C609CC"/>
    <w:rsid w:val="00C67754"/>
    <w:rsid w:val="00C94DA3"/>
    <w:rsid w:val="00CA0FAE"/>
    <w:rsid w:val="00CC22E8"/>
    <w:rsid w:val="00CC6028"/>
    <w:rsid w:val="00CD58E2"/>
    <w:rsid w:val="00D36EB7"/>
    <w:rsid w:val="00D5404D"/>
    <w:rsid w:val="00D7456B"/>
    <w:rsid w:val="00D76E78"/>
    <w:rsid w:val="00D974FA"/>
    <w:rsid w:val="00DA0F18"/>
    <w:rsid w:val="00DD5231"/>
    <w:rsid w:val="00E10BA6"/>
    <w:rsid w:val="00E30991"/>
    <w:rsid w:val="00E341E3"/>
    <w:rsid w:val="00E37747"/>
    <w:rsid w:val="00E61DB8"/>
    <w:rsid w:val="00E70733"/>
    <w:rsid w:val="00E85B37"/>
    <w:rsid w:val="00E94DEB"/>
    <w:rsid w:val="00EB160E"/>
    <w:rsid w:val="00F03333"/>
    <w:rsid w:val="00F15F53"/>
    <w:rsid w:val="00F238CC"/>
    <w:rsid w:val="00F76595"/>
    <w:rsid w:val="00FB6C8F"/>
    <w:rsid w:val="00FC4BA0"/>
    <w:rsid w:val="00FD6727"/>
    <w:rsid w:val="00FE7A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5EE06"/>
  <w15:chartTrackingRefBased/>
  <w15:docId w15:val="{A95080F3-B47F-4311-825D-B1314B726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C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19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9F5"/>
  </w:style>
  <w:style w:type="paragraph" w:styleId="Footer">
    <w:name w:val="footer"/>
    <w:basedOn w:val="Normal"/>
    <w:link w:val="FooterChar"/>
    <w:uiPriority w:val="99"/>
    <w:unhideWhenUsed/>
    <w:rsid w:val="004E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9F5"/>
  </w:style>
  <w:style w:type="character" w:styleId="Hyperlink">
    <w:name w:val="Hyperlink"/>
    <w:basedOn w:val="DefaultParagraphFont"/>
    <w:uiPriority w:val="99"/>
    <w:unhideWhenUsed/>
    <w:rsid w:val="005A6E66"/>
    <w:rPr>
      <w:color w:val="0563C1" w:themeColor="hyperlink"/>
      <w:u w:val="single"/>
    </w:rPr>
  </w:style>
  <w:style w:type="paragraph" w:styleId="Bibliography">
    <w:name w:val="Bibliography"/>
    <w:basedOn w:val="Normal"/>
    <w:next w:val="Normal"/>
    <w:uiPriority w:val="37"/>
    <w:unhideWhenUsed/>
    <w:rsid w:val="002D3557"/>
    <w:pPr>
      <w:spacing w:after="0" w:line="240" w:lineRule="auto"/>
      <w:ind w:left="720" w:hanging="720"/>
    </w:pPr>
  </w:style>
  <w:style w:type="paragraph" w:styleId="BalloonText">
    <w:name w:val="Balloon Text"/>
    <w:basedOn w:val="Normal"/>
    <w:link w:val="BalloonTextChar"/>
    <w:uiPriority w:val="99"/>
    <w:semiHidden/>
    <w:unhideWhenUsed/>
    <w:rsid w:val="00A636A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36AD"/>
    <w:rPr>
      <w:rFonts w:ascii="Times New Roman" w:hAnsi="Times New Roman" w:cs="Times New Roman"/>
      <w:sz w:val="18"/>
      <w:szCs w:val="18"/>
    </w:rPr>
  </w:style>
  <w:style w:type="paragraph" w:styleId="Revision">
    <w:name w:val="Revision"/>
    <w:hidden/>
    <w:uiPriority w:val="99"/>
    <w:semiHidden/>
    <w:rsid w:val="00A468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903409">
      <w:bodyDiv w:val="1"/>
      <w:marLeft w:val="0"/>
      <w:marRight w:val="0"/>
      <w:marTop w:val="0"/>
      <w:marBottom w:val="0"/>
      <w:divBdr>
        <w:top w:val="none" w:sz="0" w:space="0" w:color="auto"/>
        <w:left w:val="none" w:sz="0" w:space="0" w:color="auto"/>
        <w:bottom w:val="none" w:sz="0" w:space="0" w:color="auto"/>
        <w:right w:val="none" w:sz="0" w:space="0" w:color="auto"/>
      </w:divBdr>
      <w:divsChild>
        <w:div w:id="167991583">
          <w:marLeft w:val="0"/>
          <w:marRight w:val="0"/>
          <w:marTop w:val="0"/>
          <w:marBottom w:val="0"/>
          <w:divBdr>
            <w:top w:val="none" w:sz="0" w:space="0" w:color="auto"/>
            <w:left w:val="none" w:sz="0" w:space="0" w:color="auto"/>
            <w:bottom w:val="none" w:sz="0" w:space="0" w:color="auto"/>
            <w:right w:val="none" w:sz="0" w:space="0" w:color="auto"/>
          </w:divBdr>
          <w:divsChild>
            <w:div w:id="563832022">
              <w:marLeft w:val="0"/>
              <w:marRight w:val="0"/>
              <w:marTop w:val="0"/>
              <w:marBottom w:val="0"/>
              <w:divBdr>
                <w:top w:val="none" w:sz="0" w:space="0" w:color="auto"/>
                <w:left w:val="none" w:sz="0" w:space="0" w:color="auto"/>
                <w:bottom w:val="none" w:sz="0" w:space="0" w:color="auto"/>
                <w:right w:val="none" w:sz="0" w:space="0" w:color="auto"/>
              </w:divBdr>
              <w:divsChild>
                <w:div w:id="18579559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77230031">
      <w:bodyDiv w:val="1"/>
      <w:marLeft w:val="0"/>
      <w:marRight w:val="0"/>
      <w:marTop w:val="0"/>
      <w:marBottom w:val="0"/>
      <w:divBdr>
        <w:top w:val="none" w:sz="0" w:space="0" w:color="auto"/>
        <w:left w:val="none" w:sz="0" w:space="0" w:color="auto"/>
        <w:bottom w:val="none" w:sz="0" w:space="0" w:color="auto"/>
        <w:right w:val="none" w:sz="0" w:space="0" w:color="auto"/>
      </w:divBdr>
    </w:div>
    <w:div w:id="1541283495">
      <w:bodyDiv w:val="1"/>
      <w:marLeft w:val="0"/>
      <w:marRight w:val="0"/>
      <w:marTop w:val="0"/>
      <w:marBottom w:val="0"/>
      <w:divBdr>
        <w:top w:val="none" w:sz="0" w:space="0" w:color="auto"/>
        <w:left w:val="none" w:sz="0" w:space="0" w:color="auto"/>
        <w:bottom w:val="none" w:sz="0" w:space="0" w:color="auto"/>
        <w:right w:val="none" w:sz="0" w:space="0" w:color="auto"/>
      </w:divBdr>
    </w:div>
    <w:div w:id="1758668149">
      <w:bodyDiv w:val="1"/>
      <w:marLeft w:val="0"/>
      <w:marRight w:val="0"/>
      <w:marTop w:val="0"/>
      <w:marBottom w:val="0"/>
      <w:divBdr>
        <w:top w:val="none" w:sz="0" w:space="0" w:color="auto"/>
        <w:left w:val="none" w:sz="0" w:space="0" w:color="auto"/>
        <w:bottom w:val="none" w:sz="0" w:space="0" w:color="auto"/>
        <w:right w:val="none" w:sz="0" w:space="0" w:color="auto"/>
      </w:divBdr>
      <w:divsChild>
        <w:div w:id="1764765362">
          <w:marLeft w:val="0"/>
          <w:marRight w:val="0"/>
          <w:marTop w:val="0"/>
          <w:marBottom w:val="0"/>
          <w:divBdr>
            <w:top w:val="none" w:sz="0" w:space="0" w:color="auto"/>
            <w:left w:val="none" w:sz="0" w:space="0" w:color="auto"/>
            <w:bottom w:val="none" w:sz="0" w:space="0" w:color="auto"/>
            <w:right w:val="none" w:sz="0" w:space="0" w:color="auto"/>
          </w:divBdr>
          <w:divsChild>
            <w:div w:id="1034505017">
              <w:marLeft w:val="0"/>
              <w:marRight w:val="0"/>
              <w:marTop w:val="0"/>
              <w:marBottom w:val="0"/>
              <w:divBdr>
                <w:top w:val="none" w:sz="0" w:space="0" w:color="auto"/>
                <w:left w:val="none" w:sz="0" w:space="0" w:color="auto"/>
                <w:bottom w:val="none" w:sz="0" w:space="0" w:color="auto"/>
                <w:right w:val="none" w:sz="0" w:space="0" w:color="auto"/>
              </w:divBdr>
              <w:divsChild>
                <w:div w:id="25290489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2854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atthew.adeleye@anu.edu.au"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rcid.org/0000-0002-6034-5807"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3094</Words>
  <Characters>17636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adeleye</dc:creator>
  <cp:keywords/>
  <dc:description/>
  <cp:lastModifiedBy>matthew adeleye</cp:lastModifiedBy>
  <cp:revision>2</cp:revision>
  <dcterms:created xsi:type="dcterms:W3CDTF">2023-06-23T16:15:00Z</dcterms:created>
  <dcterms:modified xsi:type="dcterms:W3CDTF">2023-06-23T16:15:00Z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id="HGVDu3Ie"/&gt;&lt;style id="http://www.zotero.org/styles/quaternary-science-reviews" hasBibliography="1" bibliographyStyleHasBeenSet="1"/&gt;&lt;prefs&gt;&lt;pref name="fieldType" value="Field"/&gt;&lt;/prefs&gt;&lt;/data&gt;</vt:lpwstr>
  </property>
</Properties>
</file>