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1549D3" w:rsidRDefault="00654E8F" w:rsidP="0001436A">
      <w:pPr>
        <w:pStyle w:val="SupplementaryMaterial"/>
        <w:rPr>
          <w:b w:val="0"/>
        </w:rPr>
      </w:pPr>
      <w:r w:rsidRPr="001549D3">
        <w:t>Supplementary Material</w:t>
      </w:r>
    </w:p>
    <w:p w14:paraId="092556B3" w14:textId="77777777" w:rsidR="00423B6E" w:rsidRPr="001C7D09" w:rsidRDefault="00423B6E" w:rsidP="00423B6E">
      <w:pPr>
        <w:jc w:val="center"/>
        <w:rPr>
          <w:rFonts w:cs="Times New Roman"/>
          <w:b/>
          <w:sz w:val="28"/>
          <w:szCs w:val="28"/>
        </w:rPr>
      </w:pPr>
      <w:r w:rsidRPr="001C7D09">
        <w:rPr>
          <w:rFonts w:cs="Times New Roman"/>
          <w:b/>
          <w:sz w:val="28"/>
          <w:szCs w:val="28"/>
        </w:rPr>
        <w:t>The role of humic</w:t>
      </w:r>
      <w:r>
        <w:rPr>
          <w:rFonts w:cs="Times New Roman"/>
          <w:b/>
          <w:sz w:val="28"/>
          <w:szCs w:val="28"/>
        </w:rPr>
        <w:t>-</w:t>
      </w:r>
      <w:r w:rsidRPr="001C7D09">
        <w:rPr>
          <w:rFonts w:cs="Times New Roman"/>
          <w:b/>
          <w:sz w:val="28"/>
          <w:szCs w:val="28"/>
        </w:rPr>
        <w:t>type ligands in the bioavailability and stabilization of dissolved iron in the Western Tropical South Pacific Ocean</w:t>
      </w:r>
    </w:p>
    <w:p w14:paraId="787BBCA2" w14:textId="77777777" w:rsidR="00423B6E" w:rsidRPr="00206EB6" w:rsidRDefault="00423B6E" w:rsidP="00423B6E">
      <w:pPr>
        <w:rPr>
          <w:rFonts w:cs="Times New Roman"/>
          <w:b/>
          <w:szCs w:val="28"/>
        </w:rPr>
      </w:pPr>
      <w:r w:rsidRPr="00206EB6">
        <w:rPr>
          <w:rFonts w:cs="Times New Roman"/>
          <w:b/>
          <w:szCs w:val="28"/>
        </w:rPr>
        <w:t>Gabriel Dulaquais</w:t>
      </w:r>
      <w:r w:rsidRPr="00206EB6">
        <w:rPr>
          <w:rFonts w:cs="Times New Roman"/>
          <w:b/>
          <w:szCs w:val="28"/>
          <w:vertAlign w:val="superscript"/>
        </w:rPr>
        <w:t>1</w:t>
      </w:r>
      <w:r w:rsidRPr="00206EB6">
        <w:rPr>
          <w:rFonts w:cs="Times New Roman"/>
          <w:b/>
          <w:szCs w:val="28"/>
        </w:rPr>
        <w:t>*, Pierre Fourrier</w:t>
      </w:r>
      <w:r w:rsidRPr="00206EB6">
        <w:rPr>
          <w:rFonts w:cs="Times New Roman"/>
          <w:b/>
          <w:szCs w:val="28"/>
          <w:vertAlign w:val="superscript"/>
        </w:rPr>
        <w:t>1</w:t>
      </w:r>
      <w:r w:rsidRPr="00206EB6">
        <w:rPr>
          <w:rFonts w:cs="Times New Roman"/>
          <w:b/>
          <w:szCs w:val="28"/>
        </w:rPr>
        <w:t>, Cécile Guieu</w:t>
      </w:r>
      <w:r w:rsidRPr="00206EB6">
        <w:rPr>
          <w:rFonts w:cs="Times New Roman"/>
          <w:b/>
          <w:szCs w:val="28"/>
          <w:vertAlign w:val="superscript"/>
        </w:rPr>
        <w:t>2</w:t>
      </w:r>
      <w:r w:rsidRPr="00206EB6">
        <w:rPr>
          <w:rFonts w:cs="Times New Roman"/>
          <w:b/>
          <w:szCs w:val="28"/>
        </w:rPr>
        <w:t>, Léo Mahieu</w:t>
      </w:r>
      <w:r w:rsidRPr="00206EB6">
        <w:rPr>
          <w:rFonts w:cs="Times New Roman"/>
          <w:b/>
          <w:szCs w:val="28"/>
          <w:vertAlign w:val="superscript"/>
        </w:rPr>
        <w:t>3</w:t>
      </w:r>
      <w:r w:rsidRPr="00206EB6">
        <w:rPr>
          <w:rFonts w:cs="Times New Roman"/>
          <w:b/>
          <w:szCs w:val="28"/>
        </w:rPr>
        <w:t>, Ricardo Riso</w:t>
      </w:r>
      <w:r w:rsidRPr="00206EB6">
        <w:rPr>
          <w:rFonts w:cs="Times New Roman"/>
          <w:b/>
          <w:szCs w:val="28"/>
          <w:vertAlign w:val="superscript"/>
        </w:rPr>
        <w:t>1</w:t>
      </w:r>
      <w:r w:rsidRPr="00206EB6">
        <w:rPr>
          <w:rFonts w:cs="Times New Roman"/>
          <w:b/>
          <w:szCs w:val="28"/>
        </w:rPr>
        <w:t>, Pascal Salaun</w:t>
      </w:r>
      <w:r w:rsidRPr="00206EB6">
        <w:rPr>
          <w:rFonts w:cs="Times New Roman"/>
          <w:b/>
          <w:szCs w:val="28"/>
          <w:vertAlign w:val="superscript"/>
        </w:rPr>
        <w:t>3</w:t>
      </w:r>
      <w:r w:rsidRPr="00206EB6">
        <w:rPr>
          <w:rFonts w:cs="Times New Roman"/>
          <w:b/>
          <w:szCs w:val="28"/>
        </w:rPr>
        <w:t>, Chloé Tilliette</w:t>
      </w:r>
      <w:r w:rsidRPr="00206EB6">
        <w:rPr>
          <w:rFonts w:cs="Times New Roman"/>
          <w:b/>
          <w:szCs w:val="28"/>
          <w:vertAlign w:val="superscript"/>
        </w:rPr>
        <w:t>2</w:t>
      </w:r>
      <w:r w:rsidRPr="00206EB6">
        <w:rPr>
          <w:rFonts w:cs="Times New Roman"/>
          <w:b/>
          <w:szCs w:val="28"/>
        </w:rPr>
        <w:t>, Hannah Whitby</w:t>
      </w:r>
      <w:r w:rsidRPr="00206EB6">
        <w:rPr>
          <w:rFonts w:cs="Times New Roman"/>
          <w:b/>
          <w:szCs w:val="28"/>
          <w:vertAlign w:val="superscript"/>
        </w:rPr>
        <w:t>3</w:t>
      </w:r>
      <w:r w:rsidRPr="00206EB6">
        <w:rPr>
          <w:rFonts w:cs="Times New Roman"/>
          <w:b/>
          <w:szCs w:val="28"/>
        </w:rPr>
        <w:t xml:space="preserve"> </w:t>
      </w:r>
    </w:p>
    <w:p w14:paraId="3E00881D" w14:textId="77777777" w:rsidR="00423B6E" w:rsidRDefault="00423B6E" w:rsidP="00423B6E">
      <w:pPr>
        <w:spacing w:before="240" w:after="0"/>
        <w:rPr>
          <w:rFonts w:eastAsia="Times New Roman" w:cs="Times New Roman"/>
          <w:szCs w:val="20"/>
          <w:lang w:eastAsia="fr-FR"/>
        </w:rPr>
      </w:pPr>
      <w:r w:rsidRPr="00206EB6">
        <w:rPr>
          <w:rFonts w:eastAsia="Times New Roman" w:cs="Times New Roman"/>
          <w:szCs w:val="20"/>
          <w:vertAlign w:val="superscript"/>
          <w:lang w:eastAsia="fr-FR"/>
        </w:rPr>
        <w:t>1</w:t>
      </w:r>
      <w:r w:rsidRPr="00206EB6">
        <w:rPr>
          <w:rFonts w:eastAsia="Times New Roman" w:cs="Times New Roman"/>
          <w:szCs w:val="20"/>
          <w:lang w:eastAsia="fr-FR"/>
        </w:rPr>
        <w:t>Laboratoire des Sciences de l’Environnement Marin CNRS UMR 6539, Institut Universitaire Européen de la Mer, Université de Bretagne Occidentale. Place Nicolas Cop</w:t>
      </w:r>
      <w:r>
        <w:rPr>
          <w:rFonts w:eastAsia="Times New Roman" w:cs="Times New Roman"/>
          <w:szCs w:val="20"/>
          <w:lang w:eastAsia="fr-FR"/>
        </w:rPr>
        <w:t>ernic - 29280 Plouzané, France.</w:t>
      </w:r>
    </w:p>
    <w:p w14:paraId="3572A4B7" w14:textId="77777777" w:rsidR="00423B6E" w:rsidRDefault="00423B6E" w:rsidP="00423B6E">
      <w:pPr>
        <w:spacing w:before="0" w:after="0"/>
        <w:rPr>
          <w:rFonts w:eastAsia="Times New Roman" w:cs="Times New Roman"/>
          <w:szCs w:val="20"/>
          <w:lang w:eastAsia="fr-FR"/>
        </w:rPr>
      </w:pPr>
      <w:r w:rsidRPr="00206EB6">
        <w:rPr>
          <w:rFonts w:eastAsia="Times New Roman" w:cs="Times New Roman"/>
          <w:szCs w:val="20"/>
          <w:vertAlign w:val="superscript"/>
          <w:lang w:eastAsia="fr-FR"/>
        </w:rPr>
        <w:t>2</w:t>
      </w:r>
      <w:r w:rsidRPr="00206EB6">
        <w:rPr>
          <w:rFonts w:eastAsia="Times New Roman" w:cs="Times New Roman"/>
          <w:szCs w:val="20"/>
          <w:lang w:eastAsia="fr-FR"/>
        </w:rPr>
        <w:t>Sorbonne Université, CNRS, Laboratoire d'Océanographie de Villefranche, LOV, Villefranche‐sur‐Mer, France.</w:t>
      </w:r>
    </w:p>
    <w:p w14:paraId="0A25D4B4" w14:textId="77777777" w:rsidR="00423B6E" w:rsidRPr="00206EB6" w:rsidRDefault="00423B6E" w:rsidP="00423B6E">
      <w:pPr>
        <w:spacing w:before="0" w:after="0"/>
        <w:rPr>
          <w:rFonts w:cs="Times New Roman"/>
          <w:b/>
          <w:szCs w:val="20"/>
        </w:rPr>
      </w:pPr>
      <w:r w:rsidRPr="00206EB6">
        <w:rPr>
          <w:rFonts w:eastAsia="Times New Roman" w:cs="Times New Roman"/>
          <w:szCs w:val="20"/>
          <w:vertAlign w:val="superscript"/>
          <w:lang w:eastAsia="fr-FR"/>
        </w:rPr>
        <w:t>3</w:t>
      </w:r>
      <w:r w:rsidRPr="00206EB6">
        <w:rPr>
          <w:rFonts w:eastAsia="Times New Roman" w:cs="Times New Roman"/>
          <w:szCs w:val="20"/>
          <w:lang w:eastAsia="fr-FR"/>
        </w:rPr>
        <w:t xml:space="preserve">Department of Earth, </w:t>
      </w:r>
      <w:r w:rsidRPr="00206EB6">
        <w:rPr>
          <w:rFonts w:cs="Times New Roman"/>
          <w:szCs w:val="20"/>
        </w:rPr>
        <w:t>Ocean and Ecological Sciences, School of Environmental Sciences, University of Liverpool, UK</w:t>
      </w:r>
    </w:p>
    <w:p w14:paraId="685DB729" w14:textId="77777777" w:rsidR="00423B6E" w:rsidRPr="00376CC5" w:rsidRDefault="00423B6E" w:rsidP="00423B6E">
      <w:pPr>
        <w:spacing w:before="240" w:after="0"/>
        <w:rPr>
          <w:rFonts w:cs="Times New Roman"/>
          <w:b/>
          <w:szCs w:val="24"/>
        </w:rPr>
      </w:pPr>
      <w:r w:rsidRPr="00376CC5">
        <w:rPr>
          <w:rFonts w:cs="Times New Roman"/>
          <w:b/>
          <w:szCs w:val="24"/>
        </w:rPr>
        <w:t xml:space="preserve">* Correspondence: </w:t>
      </w:r>
      <w:r w:rsidRPr="00376CC5">
        <w:rPr>
          <w:rFonts w:cs="Times New Roman"/>
          <w:b/>
          <w:szCs w:val="24"/>
        </w:rPr>
        <w:br/>
      </w:r>
      <w:r w:rsidRPr="00376CC5">
        <w:rPr>
          <w:rFonts w:cs="Times New Roman"/>
          <w:szCs w:val="24"/>
        </w:rPr>
        <w:t>Corresponding Author</w:t>
      </w:r>
      <w:r>
        <w:rPr>
          <w:rFonts w:cs="Times New Roman"/>
          <w:szCs w:val="24"/>
        </w:rPr>
        <w:t xml:space="preserve">: </w:t>
      </w:r>
      <w:r w:rsidRPr="00206EB6">
        <w:rPr>
          <w:rFonts w:cs="Times New Roman"/>
        </w:rPr>
        <w:t>gabriel.dulaquais@univ-brest.fr</w:t>
      </w:r>
    </w:p>
    <w:p w14:paraId="29026311" w14:textId="338EB9C4" w:rsidR="00EA3D3C" w:rsidRPr="00994A3D" w:rsidRDefault="00654E8F" w:rsidP="0001436A">
      <w:pPr>
        <w:pStyle w:val="Titre1"/>
      </w:pPr>
      <w:r w:rsidRPr="00994A3D">
        <w:t xml:space="preserve">Supplementary </w:t>
      </w:r>
      <w:r w:rsidR="00423B6E">
        <w:t>Text</w:t>
      </w:r>
    </w:p>
    <w:p w14:paraId="040465B8" w14:textId="1014B850" w:rsidR="00423B6E" w:rsidRDefault="00423B6E" w:rsidP="00423B6E">
      <w:pPr>
        <w:jc w:val="both"/>
        <w:rPr>
          <w:rFonts w:cs="Times New Roman"/>
          <w:szCs w:val="24"/>
          <w:lang w:val="en-GB"/>
        </w:rPr>
      </w:pPr>
      <w:r>
        <w:rPr>
          <w:rFonts w:cs="Times New Roman"/>
          <w:szCs w:val="24"/>
          <w:lang w:val="en-GB"/>
        </w:rPr>
        <w:t>Marine eHS</w:t>
      </w:r>
      <w:r w:rsidRPr="005266A4">
        <w:rPr>
          <w:rFonts w:cs="Times New Roman"/>
          <w:szCs w:val="24"/>
          <w:lang w:val="en-GB"/>
        </w:rPr>
        <w:t xml:space="preserve"> </w:t>
      </w:r>
      <w:r>
        <w:rPr>
          <w:rFonts w:cs="Times New Roman"/>
          <w:szCs w:val="24"/>
          <w:lang w:val="en-GB"/>
        </w:rPr>
        <w:t>concentrations (</w:t>
      </w:r>
      <w:r w:rsidR="00CB2E20">
        <w:rPr>
          <w:rFonts w:cs="Times New Roman"/>
          <w:szCs w:val="24"/>
          <w:lang w:val="en-GB"/>
        </w:rPr>
        <w:t>µ</w:t>
      </w:r>
      <w:r>
        <w:rPr>
          <w:rFonts w:cs="Times New Roman"/>
          <w:szCs w:val="24"/>
          <w:lang w:val="en-GB"/>
        </w:rPr>
        <w:t>g.L-1) are determined by the method of standard addition using voltammetric methods. The standard</w:t>
      </w:r>
      <w:r w:rsidR="00CB2E20">
        <w:rPr>
          <w:rFonts w:cs="Times New Roman"/>
          <w:szCs w:val="24"/>
          <w:lang w:val="en-GB"/>
        </w:rPr>
        <w:t>s</w:t>
      </w:r>
      <w:r>
        <w:rPr>
          <w:rFonts w:cs="Times New Roman"/>
          <w:szCs w:val="24"/>
          <w:lang w:val="en-GB"/>
        </w:rPr>
        <w:t xml:space="preserve"> used are often SRFA </w:t>
      </w:r>
      <w:r w:rsidRPr="001459D6">
        <w:rPr>
          <w:rFonts w:cs="Times New Roman"/>
          <w:szCs w:val="24"/>
          <w:lang w:val="en-GB"/>
        </w:rPr>
        <w:t>(Dulaquais et al., 2018 ; Laglera et al., 2019 )</w:t>
      </w:r>
      <w:r>
        <w:rPr>
          <w:rFonts w:cs="Times New Roman"/>
          <w:szCs w:val="24"/>
          <w:lang w:val="en-GB"/>
        </w:rPr>
        <w:t xml:space="preserve"> or SRHA (Whitby and van den berg, 2015) because of a lack of </w:t>
      </w:r>
      <w:r w:rsidR="00CB2E20">
        <w:rPr>
          <w:rFonts w:cs="Times New Roman"/>
          <w:szCs w:val="24"/>
          <w:lang w:val="en-GB"/>
        </w:rPr>
        <w:t xml:space="preserve">eHS </w:t>
      </w:r>
      <w:r>
        <w:rPr>
          <w:rFonts w:cs="Times New Roman"/>
          <w:szCs w:val="24"/>
          <w:lang w:val="en-GB"/>
        </w:rPr>
        <w:t xml:space="preserve">marine standard. Irrespective of the </w:t>
      </w:r>
      <w:r w:rsidR="00CB2E20">
        <w:rPr>
          <w:rFonts w:cs="Times New Roman"/>
          <w:szCs w:val="24"/>
          <w:lang w:val="en-GB"/>
        </w:rPr>
        <w:t>method</w:t>
      </w:r>
      <w:r>
        <w:rPr>
          <w:rFonts w:cs="Times New Roman"/>
          <w:szCs w:val="24"/>
          <w:lang w:val="en-GB"/>
        </w:rPr>
        <w:t>, absolute values of eHS concentrations are dependent on the standard being used, simply because each standard has a different sensitivity. eHS concentrations should therefore always indicate the standard (e.g. µg eqSRFA L</w:t>
      </w:r>
      <w:r w:rsidRPr="00037D62">
        <w:rPr>
          <w:rFonts w:cs="Times New Roman"/>
          <w:szCs w:val="24"/>
          <w:vertAlign w:val="superscript"/>
          <w:lang w:val="en-GB"/>
        </w:rPr>
        <w:t>-1</w:t>
      </w:r>
      <w:r>
        <w:rPr>
          <w:rFonts w:cs="Times New Roman"/>
          <w:szCs w:val="24"/>
          <w:lang w:val="en-GB"/>
        </w:rPr>
        <w:t>). The eHS concentrations are then</w:t>
      </w:r>
      <w:r w:rsidRPr="00B33700">
        <w:rPr>
          <w:rFonts w:cs="Times New Roman"/>
          <w:szCs w:val="24"/>
          <w:lang w:val="en-GB"/>
        </w:rPr>
        <w:t xml:space="preserve"> converted to iron binding ligands of humic nature (L</w:t>
      </w:r>
      <w:r w:rsidRPr="00B33700">
        <w:rPr>
          <w:rFonts w:cs="Times New Roman"/>
          <w:szCs w:val="24"/>
          <w:vertAlign w:val="subscript"/>
          <w:lang w:val="en-GB"/>
        </w:rPr>
        <w:t>FeHS</w:t>
      </w:r>
      <w:r>
        <w:rPr>
          <w:rFonts w:cs="Times New Roman"/>
          <w:szCs w:val="24"/>
          <w:lang w:val="en-GB"/>
        </w:rPr>
        <w:t>, unit: e.g. nmol eqFe L</w:t>
      </w:r>
      <w:r w:rsidRPr="00037D62">
        <w:rPr>
          <w:rFonts w:cs="Times New Roman"/>
          <w:szCs w:val="24"/>
          <w:vertAlign w:val="superscript"/>
          <w:lang w:val="en-GB"/>
        </w:rPr>
        <w:t>-1</w:t>
      </w:r>
      <w:r>
        <w:rPr>
          <w:rFonts w:cs="Times New Roman"/>
          <w:szCs w:val="24"/>
          <w:lang w:val="en-GB"/>
        </w:rPr>
        <w:t>)</w:t>
      </w:r>
      <w:r w:rsidRPr="00B33700">
        <w:rPr>
          <w:rFonts w:cs="Times New Roman"/>
          <w:szCs w:val="24"/>
          <w:lang w:val="en-GB"/>
        </w:rPr>
        <w:t xml:space="preserve"> using the binding ca</w:t>
      </w:r>
      <w:r>
        <w:rPr>
          <w:rFonts w:cs="Times New Roman"/>
          <w:szCs w:val="24"/>
          <w:lang w:val="en-GB"/>
        </w:rPr>
        <w:t xml:space="preserve">pacity of the external standard. This concentration represents the maximum amount of Fe that eHS may complex, based on the known binding capacity of the standard used. </w:t>
      </w:r>
      <w:r w:rsidRPr="00B33700">
        <w:rPr>
          <w:rFonts w:cs="Times New Roman"/>
          <w:szCs w:val="24"/>
          <w:lang w:val="en-GB"/>
        </w:rPr>
        <w:t>It is argued that in the absence of marine external standard an envelope encompassing the binding capacity of both SRHA (32 nmol Fe mgSRHA</w:t>
      </w:r>
      <w:r w:rsidRPr="00B33700">
        <w:rPr>
          <w:rFonts w:cs="Times New Roman"/>
          <w:szCs w:val="24"/>
          <w:vertAlign w:val="superscript"/>
          <w:lang w:val="en-GB"/>
        </w:rPr>
        <w:t>-1 </w:t>
      </w:r>
      <w:r w:rsidRPr="00B33700">
        <w:rPr>
          <w:rFonts w:cs="Times New Roman"/>
          <w:szCs w:val="24"/>
          <w:lang w:val="en-GB"/>
        </w:rPr>
        <w:t>; Laglera and van den berg 2009) and SRFA (14.6 nmol Fe mgSRFA</w:t>
      </w:r>
      <w:r w:rsidRPr="00B33700">
        <w:rPr>
          <w:rFonts w:cs="Times New Roman"/>
          <w:szCs w:val="24"/>
          <w:vertAlign w:val="superscript"/>
          <w:lang w:val="en-GB"/>
        </w:rPr>
        <w:t>-1 </w:t>
      </w:r>
      <w:r w:rsidRPr="00B33700">
        <w:rPr>
          <w:rFonts w:cs="Times New Roman"/>
          <w:szCs w:val="24"/>
          <w:lang w:val="en-GB"/>
        </w:rPr>
        <w:t>; Sukekava et al., 2018) should be used for the conversion, leading to L</w:t>
      </w:r>
      <w:r w:rsidRPr="00B33700">
        <w:rPr>
          <w:rFonts w:cs="Times New Roman"/>
          <w:szCs w:val="24"/>
          <w:vertAlign w:val="subscript"/>
          <w:lang w:val="en-GB"/>
        </w:rPr>
        <w:t>FeHS</w:t>
      </w:r>
      <w:r w:rsidRPr="00B33700">
        <w:rPr>
          <w:rFonts w:cs="Times New Roman"/>
          <w:szCs w:val="24"/>
          <w:lang w:val="en-GB"/>
        </w:rPr>
        <w:t xml:space="preserve"> concentration varying by a factor of 2</w:t>
      </w:r>
      <w:r>
        <w:rPr>
          <w:rFonts w:cs="Times New Roman"/>
          <w:szCs w:val="24"/>
          <w:lang w:val="en-GB"/>
        </w:rPr>
        <w:t xml:space="preserve"> (Whitby et al., 2020)</w:t>
      </w:r>
      <w:r w:rsidRPr="00B33700">
        <w:rPr>
          <w:rFonts w:cs="Times New Roman"/>
          <w:szCs w:val="24"/>
          <w:lang w:val="en-GB"/>
        </w:rPr>
        <w:t xml:space="preserve"> </w:t>
      </w:r>
    </w:p>
    <w:p w14:paraId="37BEF4D9" w14:textId="14128978" w:rsidR="00423B6E" w:rsidRDefault="00423B6E" w:rsidP="00423B6E">
      <w:pPr>
        <w:jc w:val="both"/>
        <w:rPr>
          <w:rFonts w:cs="Times New Roman"/>
          <w:szCs w:val="24"/>
          <w:lang w:val="en-GB"/>
        </w:rPr>
      </w:pPr>
      <w:r>
        <w:rPr>
          <w:rFonts w:cs="Times New Roman"/>
          <w:szCs w:val="24"/>
          <w:lang w:val="en-GB"/>
        </w:rPr>
        <w:t>In this study, the detection of eHS is based on the reduction of adsorbed Fe(III) present in the natural iron-humic complex to Fe(II). To quantify the signal of the sample, a standard addition is performed with successive additions of a Fe-saturated standard (e.g. SRFA). The sensitivity (i.e. slope of the standard addition) is thus directly dependent on the Fe binding capacity of the standard, making L</w:t>
      </w:r>
      <w:r w:rsidRPr="005266A4">
        <w:rPr>
          <w:rFonts w:cs="Times New Roman"/>
          <w:szCs w:val="24"/>
          <w:vertAlign w:val="subscript"/>
          <w:lang w:val="en-GB"/>
        </w:rPr>
        <w:t>FeHS</w:t>
      </w:r>
      <w:r>
        <w:rPr>
          <w:rFonts w:cs="Times New Roman"/>
          <w:szCs w:val="24"/>
          <w:lang w:val="en-GB"/>
        </w:rPr>
        <w:t xml:space="preserve"> independent on the choice</w:t>
      </w:r>
      <w:r w:rsidR="00CB2E20">
        <w:rPr>
          <w:rFonts w:cs="Times New Roman"/>
          <w:szCs w:val="24"/>
          <w:lang w:val="en-GB"/>
        </w:rPr>
        <w:t xml:space="preserve"> of standard</w:t>
      </w:r>
      <w:r>
        <w:rPr>
          <w:rFonts w:cs="Times New Roman"/>
          <w:szCs w:val="24"/>
          <w:lang w:val="en-GB"/>
        </w:rPr>
        <w:t>. We demonstrate this below and therefore highlight that the use of a concentration range for L</w:t>
      </w:r>
      <w:r w:rsidRPr="005266A4">
        <w:rPr>
          <w:rFonts w:cs="Times New Roman"/>
          <w:szCs w:val="24"/>
          <w:vertAlign w:val="subscript"/>
          <w:lang w:val="en-GB"/>
        </w:rPr>
        <w:t>FeHS</w:t>
      </w:r>
      <w:r>
        <w:rPr>
          <w:rFonts w:cs="Times New Roman"/>
          <w:szCs w:val="24"/>
          <w:lang w:val="en-GB"/>
        </w:rPr>
        <w:t xml:space="preserve"> is not required as long as the binding capacity of the </w:t>
      </w:r>
      <w:r w:rsidR="00CB2E20">
        <w:rPr>
          <w:rFonts w:cs="Times New Roman"/>
          <w:szCs w:val="24"/>
          <w:lang w:val="en-GB"/>
        </w:rPr>
        <w:t xml:space="preserve">specific </w:t>
      </w:r>
      <w:r>
        <w:rPr>
          <w:rFonts w:cs="Times New Roman"/>
          <w:szCs w:val="24"/>
          <w:lang w:val="en-GB"/>
        </w:rPr>
        <w:t xml:space="preserve">standard </w:t>
      </w:r>
      <w:r w:rsidR="00CB2E20">
        <w:rPr>
          <w:rFonts w:cs="Times New Roman"/>
          <w:szCs w:val="24"/>
          <w:lang w:val="en-GB"/>
        </w:rPr>
        <w:t xml:space="preserve">used </w:t>
      </w:r>
      <w:r>
        <w:rPr>
          <w:rFonts w:cs="Times New Roman"/>
          <w:szCs w:val="24"/>
          <w:lang w:val="en-GB"/>
        </w:rPr>
        <w:t xml:space="preserve">is known. </w:t>
      </w:r>
    </w:p>
    <w:p w14:paraId="08451C38" w14:textId="30A417E2" w:rsidR="00994A3D" w:rsidRPr="00994A3D" w:rsidRDefault="00CB2E20" w:rsidP="00423B6E">
      <w:pPr>
        <w:spacing w:before="100" w:beforeAutospacing="1" w:after="100" w:afterAutospacing="1"/>
        <w:jc w:val="both"/>
        <w:rPr>
          <w:rFonts w:eastAsia="Times New Roman" w:cs="Times New Roman"/>
          <w:szCs w:val="24"/>
          <w:lang w:val="en-GB" w:eastAsia="en-GB"/>
        </w:rPr>
      </w:pPr>
      <w:r>
        <w:rPr>
          <w:rFonts w:cs="Times New Roman"/>
          <w:szCs w:val="24"/>
          <w:lang w:val="en-GB"/>
        </w:rPr>
        <w:t>W</w:t>
      </w:r>
      <w:r w:rsidR="00423B6E" w:rsidRPr="005266A4">
        <w:rPr>
          <w:rFonts w:cs="Times New Roman"/>
          <w:szCs w:val="24"/>
          <w:lang w:val="en-GB"/>
        </w:rPr>
        <w:t xml:space="preserve">e analysed eHS in a surface seawater sample collected from the TONGA expedition (15 m depth, LD5-T3) using </w:t>
      </w:r>
      <w:r>
        <w:rPr>
          <w:rFonts w:cs="Times New Roman"/>
          <w:szCs w:val="24"/>
          <w:lang w:val="en-GB"/>
        </w:rPr>
        <w:t>both</w:t>
      </w:r>
      <w:r w:rsidR="00423B6E" w:rsidRPr="005266A4">
        <w:rPr>
          <w:rFonts w:cs="Times New Roman"/>
          <w:szCs w:val="24"/>
          <w:lang w:val="en-GB"/>
        </w:rPr>
        <w:t xml:space="preserve"> Suwannee River Humic Acids (SRHA) </w:t>
      </w:r>
      <w:r>
        <w:rPr>
          <w:rFonts w:cs="Times New Roman"/>
          <w:szCs w:val="24"/>
          <w:lang w:val="en-GB"/>
        </w:rPr>
        <w:t>and</w:t>
      </w:r>
      <w:r w:rsidR="00423B6E" w:rsidRPr="005266A4">
        <w:rPr>
          <w:rFonts w:cs="Times New Roman"/>
          <w:szCs w:val="24"/>
          <w:lang w:val="en-GB"/>
        </w:rPr>
        <w:t xml:space="preserve"> Suwannee River Fulvic Acids (SRFA) as an external standard (Figure S1). The eHS concentrations determined using SRHA result in an </w:t>
      </w:r>
      <w:r w:rsidR="00423B6E" w:rsidRPr="005266A4">
        <w:rPr>
          <w:rFonts w:cs="Times New Roman"/>
          <w:szCs w:val="24"/>
          <w:lang w:val="en-GB"/>
        </w:rPr>
        <w:lastRenderedPageBreak/>
        <w:t>ambient concentration of 62.8 ± 9.4 µg eqSRHA L</w:t>
      </w:r>
      <w:r w:rsidR="00423B6E" w:rsidRPr="005266A4">
        <w:rPr>
          <w:rFonts w:cs="Times New Roman"/>
          <w:szCs w:val="24"/>
          <w:vertAlign w:val="superscript"/>
          <w:lang w:val="en-GB"/>
        </w:rPr>
        <w:t>-1</w:t>
      </w:r>
      <w:r w:rsidR="00423B6E" w:rsidRPr="005266A4">
        <w:rPr>
          <w:rFonts w:cs="Times New Roman"/>
          <w:szCs w:val="24"/>
          <w:lang w:val="en-GB"/>
        </w:rPr>
        <w:t>. eHS concentrations determined using SRHA result in an ambient concentration of 143.3 ± 9.5 µg eqSRFA L</w:t>
      </w:r>
      <w:r w:rsidR="00423B6E" w:rsidRPr="005266A4">
        <w:rPr>
          <w:rFonts w:cs="Times New Roman"/>
          <w:szCs w:val="24"/>
          <w:vertAlign w:val="superscript"/>
          <w:lang w:val="en-GB"/>
        </w:rPr>
        <w:t>-1</w:t>
      </w:r>
      <w:r w:rsidR="00423B6E" w:rsidRPr="005266A4">
        <w:rPr>
          <w:rFonts w:cs="Times New Roman"/>
          <w:szCs w:val="24"/>
          <w:lang w:val="en-GB"/>
        </w:rPr>
        <w:t>. We then converted to L</w:t>
      </w:r>
      <w:r w:rsidR="00423B6E" w:rsidRPr="005266A4">
        <w:rPr>
          <w:rFonts w:cs="Times New Roman"/>
          <w:szCs w:val="24"/>
          <w:vertAlign w:val="subscript"/>
          <w:lang w:val="en-GB"/>
        </w:rPr>
        <w:t>FeHS</w:t>
      </w:r>
      <w:r w:rsidR="00423B6E" w:rsidRPr="005266A4">
        <w:rPr>
          <w:rFonts w:cs="Times New Roman"/>
          <w:szCs w:val="24"/>
          <w:lang w:val="en-GB"/>
        </w:rPr>
        <w:t xml:space="preserve"> considering the iron binding capacity of SRHA and SRFA in seawater. L</w:t>
      </w:r>
      <w:r w:rsidR="00423B6E" w:rsidRPr="005266A4">
        <w:rPr>
          <w:rFonts w:cs="Times New Roman"/>
          <w:szCs w:val="24"/>
          <w:vertAlign w:val="subscript"/>
          <w:lang w:val="en-GB"/>
        </w:rPr>
        <w:t>FeHS</w:t>
      </w:r>
      <w:r w:rsidR="00423B6E" w:rsidRPr="005266A4">
        <w:rPr>
          <w:rFonts w:cs="Times New Roman"/>
          <w:szCs w:val="24"/>
          <w:lang w:val="en-GB"/>
        </w:rPr>
        <w:t xml:space="preserve"> were calculated as 2.09 ± 0.30 nmol eq Fe L</w:t>
      </w:r>
      <w:r w:rsidR="00423B6E" w:rsidRPr="005266A4">
        <w:rPr>
          <w:rFonts w:cs="Times New Roman"/>
          <w:szCs w:val="24"/>
          <w:vertAlign w:val="superscript"/>
          <w:lang w:val="en-GB"/>
        </w:rPr>
        <w:t>-1</w:t>
      </w:r>
      <w:r w:rsidR="00423B6E" w:rsidRPr="005266A4">
        <w:rPr>
          <w:rFonts w:cs="Times New Roman"/>
          <w:szCs w:val="24"/>
          <w:lang w:val="en-GB"/>
        </w:rPr>
        <w:t xml:space="preserve"> using SRHA and as 2.09 ± 0.14 nmol eq Fe L</w:t>
      </w:r>
      <w:r w:rsidR="00423B6E" w:rsidRPr="005266A4">
        <w:rPr>
          <w:rFonts w:cs="Times New Roman"/>
          <w:szCs w:val="24"/>
          <w:vertAlign w:val="superscript"/>
          <w:lang w:val="en-GB"/>
        </w:rPr>
        <w:t>-1</w:t>
      </w:r>
      <w:r w:rsidR="00423B6E" w:rsidRPr="005266A4">
        <w:rPr>
          <w:rFonts w:cs="Times New Roman"/>
          <w:szCs w:val="24"/>
          <w:lang w:val="en-GB"/>
        </w:rPr>
        <w:t xml:space="preserve"> using SRFA. The determination of L</w:t>
      </w:r>
      <w:r w:rsidR="00423B6E" w:rsidRPr="005266A4">
        <w:rPr>
          <w:rFonts w:cs="Times New Roman"/>
          <w:szCs w:val="24"/>
          <w:vertAlign w:val="subscript"/>
          <w:lang w:val="en-GB"/>
        </w:rPr>
        <w:t>FeHS</w:t>
      </w:r>
      <w:r w:rsidR="00423B6E" w:rsidRPr="005266A4">
        <w:rPr>
          <w:rFonts w:cs="Times New Roman"/>
          <w:szCs w:val="24"/>
          <w:lang w:val="en-GB"/>
        </w:rPr>
        <w:t xml:space="preserve"> is similar using SRHA or SRFA when uncertainties are taken into account.</w:t>
      </w:r>
      <w:r w:rsidR="00994A3D" w:rsidRPr="00994A3D">
        <w:rPr>
          <w:rFonts w:eastAsia="Times New Roman" w:cs="Times New Roman"/>
          <w:szCs w:val="24"/>
          <w:lang w:val="en-GB" w:eastAsia="en-GB"/>
        </w:rPr>
        <w:t xml:space="preserve">. </w:t>
      </w:r>
    </w:p>
    <w:p w14:paraId="4916FCC9" w14:textId="7F654585" w:rsidR="00994A3D" w:rsidRDefault="00654E8F" w:rsidP="00423B6E">
      <w:pPr>
        <w:pStyle w:val="Titre1"/>
      </w:pPr>
      <w:r w:rsidRPr="00994A3D">
        <w:t xml:space="preserve">Supplementary Figures </w:t>
      </w:r>
    </w:p>
    <w:p w14:paraId="7871C272" w14:textId="77777777" w:rsidR="00423B6E" w:rsidRPr="00423A50" w:rsidRDefault="00423B6E" w:rsidP="00423B6E">
      <w:pPr>
        <w:rPr>
          <w:rFonts w:cs="Times New Roman"/>
          <w:szCs w:val="24"/>
        </w:rPr>
      </w:pPr>
      <w:r w:rsidRPr="00423A50">
        <w:rPr>
          <w:rFonts w:cs="Times New Roman"/>
          <w:noProof/>
          <w:szCs w:val="24"/>
          <w:lang w:val="fr-FR" w:eastAsia="fr-FR"/>
        </w:rPr>
        <w:drawing>
          <wp:inline distT="0" distB="0" distL="0" distR="0" wp14:anchorId="078DF369" wp14:editId="6BBFB605">
            <wp:extent cx="4928123" cy="2752793"/>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4488" cy="2761934"/>
                    </a:xfrm>
                    <a:prstGeom prst="rect">
                      <a:avLst/>
                    </a:prstGeom>
                    <a:noFill/>
                  </pic:spPr>
                </pic:pic>
              </a:graphicData>
            </a:graphic>
          </wp:inline>
        </w:drawing>
      </w:r>
    </w:p>
    <w:p w14:paraId="3F3D814E" w14:textId="30C1E8E1" w:rsidR="00423B6E" w:rsidRPr="005266A4" w:rsidRDefault="00423B6E" w:rsidP="00423B6E">
      <w:pPr>
        <w:jc w:val="both"/>
        <w:rPr>
          <w:rFonts w:cs="Times New Roman"/>
          <w:szCs w:val="24"/>
          <w:lang w:val="en-GB"/>
        </w:rPr>
      </w:pPr>
      <w:r>
        <w:rPr>
          <w:rFonts w:cs="Times New Roman"/>
          <w:b/>
          <w:szCs w:val="24"/>
        </w:rPr>
        <w:t xml:space="preserve">Supplementary </w:t>
      </w:r>
      <w:r w:rsidRPr="00423A50">
        <w:rPr>
          <w:rFonts w:cs="Times New Roman"/>
          <w:b/>
          <w:szCs w:val="24"/>
        </w:rPr>
        <w:t>Figure</w:t>
      </w:r>
      <w:r w:rsidRPr="005266A4">
        <w:rPr>
          <w:rFonts w:cs="Times New Roman"/>
          <w:b/>
          <w:szCs w:val="24"/>
          <w:lang w:val="en-GB"/>
        </w:rPr>
        <w:t xml:space="preserve"> 1</w:t>
      </w:r>
      <w:r w:rsidRPr="005266A4">
        <w:rPr>
          <w:rFonts w:cs="Times New Roman"/>
          <w:szCs w:val="24"/>
          <w:lang w:val="en-GB"/>
        </w:rPr>
        <w:t> : Analysis of electroactive humic substances (eHS) in a surface seawater sample from the TONGA expedition (15 m depth, LD5-T3) using either Suwannee River Humic Acids (SRHA) or Suwannee River Fulvic Acids (SRFA) as external standard. Sensitivity of the method is standard dependant and provides different eHS concentrations. After conversion into iron binding ligands of humic nature (L</w:t>
      </w:r>
      <w:r w:rsidRPr="005266A4">
        <w:rPr>
          <w:rFonts w:cs="Times New Roman"/>
          <w:szCs w:val="24"/>
          <w:vertAlign w:val="subscript"/>
          <w:lang w:val="en-GB"/>
        </w:rPr>
        <w:t>FeHS</w:t>
      </w:r>
      <w:r w:rsidRPr="005266A4">
        <w:rPr>
          <w:rFonts w:cs="Times New Roman"/>
          <w:szCs w:val="24"/>
          <w:lang w:val="en-GB"/>
        </w:rPr>
        <w:t>) considering the iron binding capacity of the two external standards, L</w:t>
      </w:r>
      <w:r w:rsidRPr="005266A4">
        <w:rPr>
          <w:rFonts w:cs="Times New Roman"/>
          <w:szCs w:val="24"/>
          <w:vertAlign w:val="subscript"/>
          <w:lang w:val="en-GB"/>
        </w:rPr>
        <w:t>FeHS</w:t>
      </w:r>
      <w:r w:rsidRPr="005266A4">
        <w:rPr>
          <w:rFonts w:cs="Times New Roman"/>
          <w:szCs w:val="24"/>
          <w:lang w:val="en-GB"/>
        </w:rPr>
        <w:t xml:space="preserve"> determined were similar when uncertainties were considered (see Text S1). </w:t>
      </w:r>
    </w:p>
    <w:p w14:paraId="668AF4CF" w14:textId="77777777" w:rsidR="00423B6E" w:rsidRPr="00423A50" w:rsidRDefault="00423B6E" w:rsidP="00423B6E">
      <w:pPr>
        <w:rPr>
          <w:rFonts w:cs="Times New Roman"/>
          <w:szCs w:val="24"/>
        </w:rPr>
      </w:pPr>
      <w:r w:rsidRPr="00423A50">
        <w:rPr>
          <w:rFonts w:cs="Times New Roman"/>
          <w:noProof/>
          <w:szCs w:val="24"/>
          <w:lang w:val="fr-FR" w:eastAsia="fr-FR"/>
        </w:rPr>
        <w:drawing>
          <wp:inline distT="0" distB="0" distL="0" distR="0" wp14:anchorId="34B6C478" wp14:editId="629C03BD">
            <wp:extent cx="4671842" cy="31287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7872" cy="3132759"/>
                    </a:xfrm>
                    <a:prstGeom prst="rect">
                      <a:avLst/>
                    </a:prstGeom>
                    <a:noFill/>
                  </pic:spPr>
                </pic:pic>
              </a:graphicData>
            </a:graphic>
          </wp:inline>
        </w:drawing>
      </w:r>
    </w:p>
    <w:p w14:paraId="7BDEA2F4" w14:textId="7DE998DE" w:rsidR="00423B6E" w:rsidRPr="00423A50" w:rsidRDefault="00423B6E" w:rsidP="00423B6E">
      <w:pPr>
        <w:contextualSpacing/>
        <w:jc w:val="both"/>
        <w:rPr>
          <w:rFonts w:cs="Times New Roman"/>
          <w:szCs w:val="24"/>
        </w:rPr>
      </w:pPr>
      <w:r>
        <w:rPr>
          <w:rFonts w:cs="Times New Roman"/>
          <w:b/>
          <w:szCs w:val="24"/>
        </w:rPr>
        <w:t xml:space="preserve">Supplementary </w:t>
      </w:r>
      <w:r w:rsidRPr="00423A50">
        <w:rPr>
          <w:rFonts w:cs="Times New Roman"/>
          <w:b/>
          <w:szCs w:val="24"/>
        </w:rPr>
        <w:t>Figure 2:</w:t>
      </w:r>
      <w:r w:rsidRPr="00423A50">
        <w:rPr>
          <w:rFonts w:cs="Times New Roman"/>
          <w:szCs w:val="24"/>
        </w:rPr>
        <w:t xml:space="preserve"> Chart of the experimental settings of the iron binding ligand competition experiments between </w:t>
      </w:r>
      <w:r>
        <w:rPr>
          <w:rFonts w:cs="Times New Roman"/>
          <w:szCs w:val="24"/>
        </w:rPr>
        <w:t>ambient iron binding ligands (L</w:t>
      </w:r>
      <w:r w:rsidRPr="00AB2C5D">
        <w:rPr>
          <w:rFonts w:cs="Times New Roman"/>
          <w:szCs w:val="24"/>
          <w:vertAlign w:val="subscript"/>
        </w:rPr>
        <w:t>Fe</w:t>
      </w:r>
      <w:r>
        <w:rPr>
          <w:rFonts w:cs="Times New Roman"/>
          <w:szCs w:val="24"/>
        </w:rPr>
        <w:t xml:space="preserve">) including </w:t>
      </w:r>
      <w:r w:rsidRPr="00423A50">
        <w:rPr>
          <w:rFonts w:cs="Times New Roman"/>
          <w:szCs w:val="24"/>
        </w:rPr>
        <w:t>humic type ligands</w:t>
      </w:r>
      <w:r>
        <w:rPr>
          <w:rFonts w:cs="Times New Roman"/>
          <w:szCs w:val="24"/>
        </w:rPr>
        <w:t xml:space="preserve"> (L</w:t>
      </w:r>
      <w:r w:rsidRPr="00AB2C5D">
        <w:rPr>
          <w:rFonts w:cs="Times New Roman"/>
          <w:szCs w:val="24"/>
          <w:vertAlign w:val="subscript"/>
        </w:rPr>
        <w:t>FeHS</w:t>
      </w:r>
      <w:r>
        <w:rPr>
          <w:rFonts w:cs="Times New Roman"/>
          <w:szCs w:val="24"/>
        </w:rPr>
        <w:t>)</w:t>
      </w:r>
      <w:r w:rsidRPr="00423A50">
        <w:rPr>
          <w:rFonts w:cs="Times New Roman"/>
          <w:szCs w:val="24"/>
        </w:rPr>
        <w:t xml:space="preserve"> and Gallic Acid. </w:t>
      </w:r>
      <w:r>
        <w:rPr>
          <w:rFonts w:cs="Times New Roman"/>
          <w:szCs w:val="24"/>
        </w:rPr>
        <w:t>(see section 2.5 in main text)</w:t>
      </w:r>
    </w:p>
    <w:p w14:paraId="271E7137" w14:textId="77777777" w:rsidR="00423B6E" w:rsidRPr="005266A4" w:rsidRDefault="00423B6E" w:rsidP="00423B6E">
      <w:pPr>
        <w:rPr>
          <w:rFonts w:cs="Times New Roman"/>
          <w:szCs w:val="24"/>
          <w:lang w:val="en-GB"/>
        </w:rPr>
      </w:pPr>
    </w:p>
    <w:p w14:paraId="0E21112D" w14:textId="77777777" w:rsidR="00423B6E" w:rsidRPr="00423A50" w:rsidRDefault="00423B6E" w:rsidP="00423B6E">
      <w:pPr>
        <w:rPr>
          <w:rFonts w:cs="Times New Roman"/>
          <w:szCs w:val="24"/>
        </w:rPr>
      </w:pPr>
      <w:r>
        <w:rPr>
          <w:rFonts w:cs="Times New Roman"/>
          <w:noProof/>
          <w:szCs w:val="24"/>
          <w:lang w:val="fr-FR" w:eastAsia="fr-FR"/>
        </w:rPr>
        <w:drawing>
          <wp:inline distT="0" distB="0" distL="0" distR="0" wp14:anchorId="164842D4" wp14:editId="6D387855">
            <wp:extent cx="5459228" cy="5172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1240" cy="5192929"/>
                    </a:xfrm>
                    <a:prstGeom prst="rect">
                      <a:avLst/>
                    </a:prstGeom>
                    <a:noFill/>
                  </pic:spPr>
                </pic:pic>
              </a:graphicData>
            </a:graphic>
          </wp:inline>
        </w:drawing>
      </w:r>
    </w:p>
    <w:p w14:paraId="259CB30E" w14:textId="1B4A2A7C" w:rsidR="00423B6E" w:rsidRDefault="00423B6E" w:rsidP="00423B6E">
      <w:pPr>
        <w:jc w:val="both"/>
        <w:rPr>
          <w:rFonts w:cs="Times New Roman"/>
          <w:szCs w:val="24"/>
        </w:rPr>
      </w:pPr>
      <w:r>
        <w:rPr>
          <w:rFonts w:cs="Times New Roman"/>
          <w:b/>
          <w:szCs w:val="24"/>
        </w:rPr>
        <w:t xml:space="preserve">Supplementary </w:t>
      </w:r>
      <w:r w:rsidRPr="00423A50">
        <w:rPr>
          <w:rFonts w:cs="Times New Roman"/>
          <w:b/>
          <w:szCs w:val="24"/>
        </w:rPr>
        <w:t>Figure 3 :</w:t>
      </w:r>
      <w:r w:rsidRPr="00423A50">
        <w:rPr>
          <w:rFonts w:cs="Times New Roman"/>
          <w:szCs w:val="24"/>
        </w:rPr>
        <w:t xml:space="preserve"> Vertical distribution of humic-type ligands concentrations (L</w:t>
      </w:r>
      <w:r w:rsidRPr="00423A50">
        <w:rPr>
          <w:rFonts w:cs="Times New Roman"/>
          <w:szCs w:val="24"/>
          <w:vertAlign w:val="subscript"/>
        </w:rPr>
        <w:t>FeHS</w:t>
      </w:r>
      <w:r w:rsidRPr="00423A50">
        <w:rPr>
          <w:rFonts w:cs="Times New Roman"/>
          <w:szCs w:val="24"/>
        </w:rPr>
        <w:t>) above and in the vicinity of ST10 volcanic site. Dashed lines indicate the approximate depth of the hydrothermal plume at ST10-T5 (~190m). Associated concentrations of dissolved iron complexed by L</w:t>
      </w:r>
      <w:r w:rsidRPr="00423A50">
        <w:rPr>
          <w:rFonts w:cs="Times New Roman"/>
          <w:szCs w:val="24"/>
          <w:vertAlign w:val="subscript"/>
        </w:rPr>
        <w:t>FeHS</w:t>
      </w:r>
      <w:r w:rsidRPr="00423A50">
        <w:rPr>
          <w:rFonts w:cs="Times New Roman"/>
          <w:szCs w:val="24"/>
        </w:rPr>
        <w:t xml:space="preserve"> (</w:t>
      </w:r>
      <w:r>
        <w:rPr>
          <w:rFonts w:cs="Times New Roman"/>
          <w:szCs w:val="24"/>
        </w:rPr>
        <w:t>D</w:t>
      </w:r>
      <w:r w:rsidRPr="00423A50">
        <w:rPr>
          <w:rFonts w:cs="Times New Roman"/>
          <w:szCs w:val="24"/>
        </w:rPr>
        <w:t xml:space="preserve">Fe-HS) and of dissolved organic </w:t>
      </w:r>
      <w:r w:rsidR="00CB2E20">
        <w:rPr>
          <w:rFonts w:cs="Times New Roman"/>
          <w:szCs w:val="24"/>
        </w:rPr>
        <w:t xml:space="preserve">carbon </w:t>
      </w:r>
      <w:r w:rsidRPr="00423A50">
        <w:rPr>
          <w:rFonts w:cs="Times New Roman"/>
          <w:szCs w:val="24"/>
        </w:rPr>
        <w:t>(DOC) are presented for the upper 300 meters. The impact of the Metis volcano on L</w:t>
      </w:r>
      <w:r w:rsidRPr="00423A50">
        <w:rPr>
          <w:rFonts w:cs="Times New Roman"/>
          <w:szCs w:val="24"/>
          <w:vertAlign w:val="subscript"/>
        </w:rPr>
        <w:t>FeHS</w:t>
      </w:r>
      <w:r w:rsidRPr="00423A50">
        <w:rPr>
          <w:rFonts w:cs="Times New Roman"/>
          <w:szCs w:val="24"/>
        </w:rPr>
        <w:t xml:space="preserve"> is seen in the 1200-100 meters layer (Proxnov). T5 is the closest subcast</w:t>
      </w:r>
      <w:r w:rsidR="00CB2E20">
        <w:rPr>
          <w:rFonts w:cs="Times New Roman"/>
          <w:szCs w:val="24"/>
        </w:rPr>
        <w:t xml:space="preserve"> to the volcano</w:t>
      </w:r>
      <w:r w:rsidRPr="00423A50">
        <w:rPr>
          <w:rFonts w:cs="Times New Roman"/>
          <w:szCs w:val="24"/>
        </w:rPr>
        <w:t>, T1 the most distant.</w:t>
      </w:r>
    </w:p>
    <w:p w14:paraId="074C8CED" w14:textId="1237E01D" w:rsidR="00DA7162" w:rsidRDefault="00DA7162">
      <w:pPr>
        <w:spacing w:before="0" w:after="200" w:line="276" w:lineRule="auto"/>
        <w:rPr>
          <w:rFonts w:cs="Times New Roman"/>
          <w:szCs w:val="24"/>
        </w:rPr>
      </w:pPr>
      <w:r>
        <w:rPr>
          <w:rFonts w:cs="Times New Roman"/>
          <w:szCs w:val="24"/>
        </w:rPr>
        <w:br w:type="page"/>
      </w:r>
    </w:p>
    <w:p w14:paraId="049D74DB" w14:textId="68A0EF99" w:rsidR="00DA7162" w:rsidRDefault="00DA7162" w:rsidP="00423B6E">
      <w:pPr>
        <w:jc w:val="both"/>
        <w:rPr>
          <w:rFonts w:cs="Times New Roman"/>
          <w:szCs w:val="24"/>
        </w:rPr>
      </w:pPr>
      <w:bookmarkStart w:id="0" w:name="_GoBack"/>
      <w:r>
        <w:rPr>
          <w:rFonts w:cs="Times New Roman"/>
          <w:noProof/>
          <w:szCs w:val="24"/>
          <w:lang w:val="fr-FR" w:eastAsia="fr-FR"/>
        </w:rPr>
        <w:drawing>
          <wp:inline distT="0" distB="0" distL="0" distR="0" wp14:anchorId="14814206" wp14:editId="1DA709D5">
            <wp:extent cx="7664953" cy="21721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2391" cy="2174259"/>
                    </a:xfrm>
                    <a:prstGeom prst="rect">
                      <a:avLst/>
                    </a:prstGeom>
                    <a:noFill/>
                  </pic:spPr>
                </pic:pic>
              </a:graphicData>
            </a:graphic>
          </wp:inline>
        </w:drawing>
      </w:r>
      <w:bookmarkEnd w:id="0"/>
    </w:p>
    <w:p w14:paraId="6B28F567" w14:textId="77777777" w:rsidR="00423B6E" w:rsidRPr="00423B6E" w:rsidRDefault="00423B6E" w:rsidP="00423B6E"/>
    <w:p w14:paraId="1DCB8E20" w14:textId="68E8E2DD" w:rsidR="00DA7162" w:rsidRDefault="00DA7162" w:rsidP="00DA7162">
      <w:pPr>
        <w:jc w:val="both"/>
        <w:rPr>
          <w:rFonts w:cs="Times New Roman"/>
          <w:szCs w:val="24"/>
        </w:rPr>
      </w:pPr>
      <w:r>
        <w:rPr>
          <w:rFonts w:cs="Times New Roman"/>
          <w:b/>
          <w:szCs w:val="24"/>
        </w:rPr>
        <w:t xml:space="preserve">Supplementary </w:t>
      </w:r>
      <w:r w:rsidRPr="00423A50">
        <w:rPr>
          <w:rFonts w:cs="Times New Roman"/>
          <w:b/>
          <w:szCs w:val="24"/>
        </w:rPr>
        <w:t xml:space="preserve">Figure </w:t>
      </w:r>
      <w:r>
        <w:rPr>
          <w:rFonts w:cs="Times New Roman"/>
          <w:b/>
          <w:szCs w:val="24"/>
        </w:rPr>
        <w:t>4</w:t>
      </w:r>
      <w:r w:rsidRPr="00423A50">
        <w:rPr>
          <w:rFonts w:cs="Times New Roman"/>
          <w:b/>
          <w:szCs w:val="24"/>
        </w:rPr>
        <w:t> :</w:t>
      </w:r>
      <w:r w:rsidRPr="00423A50">
        <w:rPr>
          <w:rFonts w:cs="Times New Roman"/>
          <w:szCs w:val="24"/>
        </w:rPr>
        <w:t xml:space="preserve"> Vertical distribution of </w:t>
      </w:r>
      <w:r>
        <w:rPr>
          <w:rFonts w:cs="Times New Roman"/>
          <w:szCs w:val="24"/>
        </w:rPr>
        <w:t>pH on total scale (</w:t>
      </w:r>
      <w:r w:rsidRPr="00DA7162">
        <w:rPr>
          <w:rFonts w:cs="Times New Roman"/>
          <w:b/>
          <w:szCs w:val="24"/>
        </w:rPr>
        <w:t>pH</w:t>
      </w:r>
      <w:r w:rsidRPr="00DA7162">
        <w:rPr>
          <w:rFonts w:cs="Times New Roman"/>
          <w:b/>
          <w:szCs w:val="24"/>
          <w:vertAlign w:val="subscript"/>
        </w:rPr>
        <w:t>T</w:t>
      </w:r>
      <w:r>
        <w:rPr>
          <w:rFonts w:cs="Times New Roman"/>
          <w:szCs w:val="24"/>
        </w:rPr>
        <w:t>), temperature (</w:t>
      </w:r>
      <w:r w:rsidRPr="00DA7162">
        <w:rPr>
          <w:rFonts w:cs="Times New Roman"/>
          <w:b/>
          <w:szCs w:val="24"/>
        </w:rPr>
        <w:t>T</w:t>
      </w:r>
      <w:r>
        <w:rPr>
          <w:rFonts w:cs="Times New Roman"/>
          <w:szCs w:val="24"/>
        </w:rPr>
        <w:t xml:space="preserve"> in Celcius degree) and dissolved oxygen derived from CTD sensor (</w:t>
      </w:r>
      <w:r w:rsidRPr="00DA7162">
        <w:rPr>
          <w:rFonts w:cs="Times New Roman"/>
          <w:b/>
          <w:szCs w:val="24"/>
        </w:rPr>
        <w:t>O</w:t>
      </w:r>
      <w:r w:rsidRPr="00DA7162">
        <w:rPr>
          <w:rFonts w:cs="Times New Roman"/>
          <w:b/>
          <w:szCs w:val="24"/>
          <w:vertAlign w:val="subscript"/>
        </w:rPr>
        <w:t>2</w:t>
      </w:r>
      <w:r w:rsidRPr="00DA7162">
        <w:rPr>
          <w:rFonts w:cs="Times New Roman"/>
          <w:szCs w:val="24"/>
          <w:vertAlign w:val="subscript"/>
        </w:rPr>
        <w:t xml:space="preserve"> </w:t>
      </w:r>
      <w:r>
        <w:rPr>
          <w:rFonts w:cs="Times New Roman"/>
          <w:szCs w:val="24"/>
        </w:rPr>
        <w:t xml:space="preserve">in µM) </w:t>
      </w:r>
      <w:r w:rsidRPr="00423A50">
        <w:rPr>
          <w:rFonts w:cs="Times New Roman"/>
          <w:szCs w:val="24"/>
        </w:rPr>
        <w:t xml:space="preserve">at </w:t>
      </w:r>
      <w:r>
        <w:rPr>
          <w:rFonts w:cs="Times New Roman"/>
          <w:szCs w:val="24"/>
        </w:rPr>
        <w:t xml:space="preserve">LD5-T5. </w:t>
      </w:r>
      <w:r w:rsidRPr="00423A50">
        <w:rPr>
          <w:rFonts w:cs="Times New Roman"/>
          <w:szCs w:val="24"/>
        </w:rPr>
        <w:t xml:space="preserve">Dashed lines indicate the approximate depth of the hydrothermal </w:t>
      </w:r>
      <w:r>
        <w:rPr>
          <w:rFonts w:cs="Times New Roman"/>
          <w:szCs w:val="24"/>
        </w:rPr>
        <w:t>plume</w:t>
      </w:r>
      <w:r w:rsidRPr="00423A50">
        <w:rPr>
          <w:rFonts w:cs="Times New Roman"/>
          <w:szCs w:val="24"/>
        </w:rPr>
        <w:t xml:space="preserve"> (~19</w:t>
      </w:r>
      <w:r>
        <w:rPr>
          <w:rFonts w:cs="Times New Roman"/>
          <w:szCs w:val="24"/>
        </w:rPr>
        <w:t>6</w:t>
      </w:r>
      <w:r w:rsidRPr="00423A50">
        <w:rPr>
          <w:rFonts w:cs="Times New Roman"/>
          <w:szCs w:val="24"/>
        </w:rPr>
        <w:t xml:space="preserve">m). </w:t>
      </w:r>
    </w:p>
    <w:p w14:paraId="58F1AED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3742D" w14:textId="77777777" w:rsidR="00402281" w:rsidRDefault="00402281" w:rsidP="00117666">
      <w:pPr>
        <w:spacing w:after="0"/>
      </w:pPr>
      <w:r>
        <w:separator/>
      </w:r>
    </w:p>
  </w:endnote>
  <w:endnote w:type="continuationSeparator" w:id="0">
    <w:p w14:paraId="305C5103" w14:textId="77777777" w:rsidR="00402281" w:rsidRDefault="0040228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995F6A" w:rsidRPr="00577C4C" w:rsidRDefault="00C52A7B">
    <w:pPr>
      <w:rPr>
        <w:color w:val="C00000"/>
        <w:szCs w:val="24"/>
      </w:rPr>
    </w:pPr>
    <w:r>
      <w:rPr>
        <w:noProof/>
        <w:lang w:val="fr-FR" w:eastAsia="fr-FR"/>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1037D7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1BCB">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1037D7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1BCB">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995F6A" w:rsidRPr="00577C4C" w:rsidRDefault="00C52A7B">
    <w:pPr>
      <w:rPr>
        <w:b/>
        <w:sz w:val="20"/>
        <w:szCs w:val="24"/>
      </w:rPr>
    </w:pPr>
    <w:r>
      <w:rPr>
        <w:noProof/>
        <w:lang w:val="fr-FR" w:eastAsia="fr-FR"/>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0CC11B8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1BCB">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0CC11B8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E1BCB">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420B5" w14:textId="77777777" w:rsidR="00402281" w:rsidRDefault="00402281" w:rsidP="00117666">
      <w:pPr>
        <w:spacing w:after="0"/>
      </w:pPr>
      <w:r>
        <w:separator/>
      </w:r>
    </w:p>
  </w:footnote>
  <w:footnote w:type="continuationSeparator" w:id="0">
    <w:p w14:paraId="63DDA75A" w14:textId="77777777" w:rsidR="00402281" w:rsidRDefault="0040228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995F6A" w:rsidRDefault="0093429D" w:rsidP="0093429D">
    <w:r w:rsidRPr="005A1D84">
      <w:rPr>
        <w:b/>
        <w:noProof/>
        <w:color w:val="A6A6A6" w:themeColor="background1" w:themeShade="A6"/>
        <w:lang w:val="fr-FR" w:eastAsia="fr-FR"/>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097945"/>
    <w:rsid w:val="00105FD9"/>
    <w:rsid w:val="00117666"/>
    <w:rsid w:val="001549D3"/>
    <w:rsid w:val="00160065"/>
    <w:rsid w:val="00177D84"/>
    <w:rsid w:val="00267D18"/>
    <w:rsid w:val="002868E2"/>
    <w:rsid w:val="002869C3"/>
    <w:rsid w:val="002936E4"/>
    <w:rsid w:val="002B4A57"/>
    <w:rsid w:val="002C74CA"/>
    <w:rsid w:val="003544FB"/>
    <w:rsid w:val="003D2F2D"/>
    <w:rsid w:val="00401590"/>
    <w:rsid w:val="00402281"/>
    <w:rsid w:val="00423B6E"/>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8A0062"/>
    <w:rsid w:val="009151AA"/>
    <w:rsid w:val="0093429D"/>
    <w:rsid w:val="00943573"/>
    <w:rsid w:val="00970F7D"/>
    <w:rsid w:val="00994A3D"/>
    <w:rsid w:val="009C2B12"/>
    <w:rsid w:val="009C70F3"/>
    <w:rsid w:val="00A174D9"/>
    <w:rsid w:val="00A569CD"/>
    <w:rsid w:val="00AB6715"/>
    <w:rsid w:val="00AE1BCB"/>
    <w:rsid w:val="00B1671E"/>
    <w:rsid w:val="00B25EB8"/>
    <w:rsid w:val="00B354E1"/>
    <w:rsid w:val="00B37F4D"/>
    <w:rsid w:val="00C52A7B"/>
    <w:rsid w:val="00C56BAF"/>
    <w:rsid w:val="00C679AA"/>
    <w:rsid w:val="00C75972"/>
    <w:rsid w:val="00CB2E20"/>
    <w:rsid w:val="00CC0A3A"/>
    <w:rsid w:val="00CD066B"/>
    <w:rsid w:val="00CE4FEE"/>
    <w:rsid w:val="00DA7162"/>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styleId="R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8DB5D76B-0A69-4556-B8AB-0B4F9F109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5</Pages>
  <Words>767</Words>
  <Characters>4219</Characters>
  <Application>Microsoft Office Word</Application>
  <DocSecurity>0</DocSecurity>
  <Lines>35</Lines>
  <Paragraphs>9</Paragraphs>
  <ScaleCrop>false</ScaleCrop>
  <HeadingPairs>
    <vt:vector size="6" baseType="variant">
      <vt:variant>
        <vt:lpstr>Titre</vt:lpstr>
      </vt:variant>
      <vt:variant>
        <vt:i4>1</vt:i4>
      </vt:variant>
      <vt:variant>
        <vt:lpstr>Titres</vt:lpstr>
      </vt:variant>
      <vt:variant>
        <vt:i4>2</vt:i4>
      </vt:variant>
      <vt:variant>
        <vt:lpstr>Title</vt:lpstr>
      </vt:variant>
      <vt:variant>
        <vt:i4>1</vt:i4>
      </vt:variant>
    </vt:vector>
  </HeadingPairs>
  <TitlesOfParts>
    <vt:vector size="4" baseType="lpstr">
      <vt:lpstr/>
      <vt:lpstr>Supplementary Text</vt:lpstr>
      <vt:lpstr>Supplementary Figures </vt:lpstr>
      <vt:lpstr/>
    </vt:vector>
  </TitlesOfParts>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dulaquais</cp:lastModifiedBy>
  <cp:revision>2</cp:revision>
  <cp:lastPrinted>2013-10-03T12:51:00Z</cp:lastPrinted>
  <dcterms:created xsi:type="dcterms:W3CDTF">2023-06-18T23:53:00Z</dcterms:created>
  <dcterms:modified xsi:type="dcterms:W3CDTF">2023-06-18T23:53:00Z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