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3E5C" w14:textId="6ACD0A40" w:rsidR="00340A22" w:rsidRPr="00A9305C" w:rsidRDefault="00340A22" w:rsidP="00340A22">
      <w:pPr>
        <w:suppressLineNumbers/>
        <w:spacing w:line="240" w:lineRule="atLeast"/>
        <w:jc w:val="center"/>
        <w:rPr>
          <w:b/>
          <w:color w:val="000000" w:themeColor="text1"/>
          <w:lang w:val="en-US"/>
        </w:rPr>
      </w:pPr>
      <w:r w:rsidRPr="00A9305C">
        <w:rPr>
          <w:b/>
          <w:color w:val="000000" w:themeColor="text1"/>
          <w:lang w:val="en-US"/>
        </w:rPr>
        <w:t>_____________________________________________________________________________</w:t>
      </w:r>
    </w:p>
    <w:p w14:paraId="708FFA81" w14:textId="77777777" w:rsidR="00340A22" w:rsidRPr="00A9305C" w:rsidRDefault="00340A22" w:rsidP="00340A22">
      <w:pPr>
        <w:pStyle w:val="Rientrocorpodeltesto21"/>
        <w:spacing w:line="276" w:lineRule="auto"/>
        <w:ind w:right="0" w:firstLine="0"/>
        <w:jc w:val="both"/>
        <w:rPr>
          <w:b/>
          <w:color w:val="000000" w:themeColor="text1"/>
          <w:szCs w:val="24"/>
        </w:rPr>
      </w:pPr>
    </w:p>
    <w:p w14:paraId="680A1C5F" w14:textId="6D4E23C5" w:rsidR="00D073FE" w:rsidRPr="00A9305C" w:rsidRDefault="00D073FE" w:rsidP="001277C5">
      <w:pPr>
        <w:suppressLineNumbers/>
        <w:spacing w:after="120" w:line="360" w:lineRule="auto"/>
        <w:jc w:val="center"/>
        <w:rPr>
          <w:b/>
          <w:bCs/>
          <w:iCs/>
          <w:color w:val="000000" w:themeColor="text1"/>
          <w:lang w:val="en-US"/>
        </w:rPr>
      </w:pPr>
      <w:r w:rsidRPr="00A9305C">
        <w:rPr>
          <w:b/>
          <w:bCs/>
          <w:iCs/>
          <w:color w:val="000000" w:themeColor="text1"/>
          <w:lang w:val="en-US"/>
        </w:rPr>
        <w:t>THE ZIRCON STORY OF THE NIGER RIVER: TIME‐STRUCTURE MAPS OF THE WEST AFRICAN CRATON AND DISCONTINUOUS PROPAGATION OF PROVENANCE SIGNALS ACROSS A DISCONNECTED SEDIMENT-ROUTING SYSTEM</w:t>
      </w:r>
    </w:p>
    <w:p w14:paraId="7829E326" w14:textId="77777777" w:rsidR="00D073FE" w:rsidRPr="00A9305C" w:rsidRDefault="00D073FE" w:rsidP="00D073FE">
      <w:pPr>
        <w:suppressLineNumbers/>
        <w:spacing w:line="360" w:lineRule="auto"/>
        <w:jc w:val="center"/>
        <w:rPr>
          <w:iCs/>
          <w:color w:val="000000" w:themeColor="text1"/>
          <w:sz w:val="26"/>
          <w:szCs w:val="26"/>
        </w:rPr>
      </w:pPr>
      <w:r w:rsidRPr="00A9305C">
        <w:rPr>
          <w:iCs/>
          <w:color w:val="000000" w:themeColor="text1"/>
          <w:sz w:val="26"/>
          <w:szCs w:val="26"/>
        </w:rPr>
        <w:t xml:space="preserve">Guido Pastore, Eduardo Garzanti, Pieter Vermeesch, </w:t>
      </w:r>
    </w:p>
    <w:p w14:paraId="0EDC21D9" w14:textId="357DF5CB" w:rsidR="00D073FE" w:rsidRPr="00A9305C" w:rsidRDefault="00D073FE" w:rsidP="00D073FE">
      <w:pPr>
        <w:suppressLineNumbers/>
        <w:spacing w:line="360" w:lineRule="auto"/>
        <w:jc w:val="center"/>
        <w:rPr>
          <w:iCs/>
          <w:color w:val="000000" w:themeColor="text1"/>
          <w:sz w:val="26"/>
          <w:szCs w:val="26"/>
        </w:rPr>
      </w:pPr>
      <w:r w:rsidRPr="00A9305C">
        <w:rPr>
          <w:iCs/>
          <w:color w:val="000000" w:themeColor="text1"/>
          <w:sz w:val="26"/>
          <w:szCs w:val="26"/>
        </w:rPr>
        <w:t xml:space="preserve">Germain Bayon, Alberto Resentini, Nadine Braquet, Brume Overare. </w:t>
      </w:r>
    </w:p>
    <w:p w14:paraId="4CFFD113" w14:textId="52DD4CE7" w:rsidR="00357154" w:rsidRPr="00A9305C" w:rsidRDefault="00753284" w:rsidP="00D073FE">
      <w:pPr>
        <w:suppressLineNumbers/>
        <w:spacing w:line="360" w:lineRule="auto"/>
        <w:jc w:val="center"/>
        <w:rPr>
          <w:b/>
          <w:color w:val="000000" w:themeColor="text1"/>
          <w:lang w:val="en-GB"/>
        </w:rPr>
      </w:pPr>
      <w:r w:rsidRPr="00A9305C">
        <w:rPr>
          <w:b/>
          <w:color w:val="000000" w:themeColor="text1"/>
          <w:lang w:val="en-GB"/>
        </w:rPr>
        <w:t>_______________________________________________________________________________</w:t>
      </w:r>
    </w:p>
    <w:p w14:paraId="59808AC3" w14:textId="77777777" w:rsidR="00D073FE" w:rsidRPr="00A9305C" w:rsidRDefault="00D073FE" w:rsidP="00A42104">
      <w:pPr>
        <w:suppressLineNumbers/>
        <w:spacing w:after="200"/>
        <w:jc w:val="center"/>
        <w:rPr>
          <w:b/>
          <w:color w:val="000000" w:themeColor="text1"/>
          <w:sz w:val="32"/>
          <w:szCs w:val="32"/>
          <w:lang w:val="en-US"/>
        </w:rPr>
      </w:pPr>
    </w:p>
    <w:p w14:paraId="18AF7D33" w14:textId="023885DC" w:rsidR="00A42104" w:rsidRPr="00A9305C" w:rsidRDefault="00A42104" w:rsidP="00A42104">
      <w:pPr>
        <w:suppressLineNumbers/>
        <w:spacing w:after="200"/>
        <w:jc w:val="center"/>
        <w:rPr>
          <w:b/>
          <w:color w:val="000000" w:themeColor="text1"/>
          <w:sz w:val="32"/>
          <w:szCs w:val="32"/>
          <w:lang w:val="en-US"/>
        </w:rPr>
      </w:pPr>
      <w:r w:rsidRPr="00A9305C">
        <w:rPr>
          <w:b/>
          <w:color w:val="000000" w:themeColor="text1"/>
          <w:sz w:val="32"/>
          <w:szCs w:val="32"/>
          <w:lang w:val="en-US"/>
        </w:rPr>
        <w:t xml:space="preserve">APPENDIX </w:t>
      </w:r>
      <w:r w:rsidR="00C81FE4">
        <w:rPr>
          <w:b/>
          <w:color w:val="000000" w:themeColor="text1"/>
          <w:sz w:val="32"/>
          <w:szCs w:val="32"/>
          <w:lang w:val="en-US"/>
        </w:rPr>
        <w:t>S</w:t>
      </w:r>
      <w:r w:rsidR="003E405E">
        <w:rPr>
          <w:b/>
          <w:color w:val="000000" w:themeColor="text1"/>
          <w:sz w:val="32"/>
          <w:szCs w:val="32"/>
          <w:lang w:val="en-US"/>
        </w:rPr>
        <w:t>1</w:t>
      </w:r>
      <w:r w:rsidRPr="00A9305C">
        <w:rPr>
          <w:b/>
          <w:color w:val="000000" w:themeColor="text1"/>
          <w:sz w:val="32"/>
          <w:szCs w:val="32"/>
          <w:lang w:val="en-US"/>
        </w:rPr>
        <w:t xml:space="preserve"> </w:t>
      </w:r>
      <w:r w:rsidR="00050E91" w:rsidRPr="00A9305C">
        <w:rPr>
          <w:b/>
          <w:color w:val="000000" w:themeColor="text1"/>
          <w:sz w:val="32"/>
          <w:szCs w:val="32"/>
          <w:lang w:val="en-US"/>
        </w:rPr>
        <w:t>– Sampling, compositional, and textural information</w:t>
      </w:r>
    </w:p>
    <w:p w14:paraId="0D04A690" w14:textId="77777777" w:rsidR="0092173A" w:rsidRPr="00A9305C" w:rsidRDefault="0092173A" w:rsidP="008C656D">
      <w:pPr>
        <w:tabs>
          <w:tab w:val="left" w:pos="3686"/>
        </w:tabs>
        <w:spacing w:line="360" w:lineRule="auto"/>
        <w:jc w:val="center"/>
        <w:rPr>
          <w:b/>
          <w:color w:val="000000" w:themeColor="text1"/>
          <w:lang w:val="en-US"/>
        </w:rPr>
      </w:pPr>
    </w:p>
    <w:p w14:paraId="1ACC7565" w14:textId="5272510F" w:rsidR="001277C5" w:rsidRPr="00A9305C" w:rsidRDefault="00673ED3" w:rsidP="00E06A3E">
      <w:pPr>
        <w:tabs>
          <w:tab w:val="left" w:pos="3686"/>
        </w:tabs>
        <w:spacing w:after="200" w:line="480" w:lineRule="auto"/>
        <w:jc w:val="both"/>
        <w:rPr>
          <w:b/>
          <w:color w:val="000000" w:themeColor="text1"/>
          <w:lang w:val="en-GB"/>
        </w:rPr>
      </w:pPr>
      <w:r w:rsidRPr="00A9305C">
        <w:rPr>
          <w:b/>
          <w:color w:val="000000" w:themeColor="text1"/>
          <w:lang w:val="en-US"/>
        </w:rPr>
        <w:t xml:space="preserve">Table </w:t>
      </w:r>
      <w:r w:rsidR="00C81FE4">
        <w:rPr>
          <w:b/>
          <w:color w:val="000000" w:themeColor="text1"/>
          <w:lang w:val="en-US"/>
        </w:rPr>
        <w:t>S</w:t>
      </w:r>
      <w:r w:rsidRPr="00A9305C">
        <w:rPr>
          <w:b/>
          <w:color w:val="000000" w:themeColor="text1"/>
          <w:lang w:val="en-US"/>
        </w:rPr>
        <w:t xml:space="preserve">1. </w:t>
      </w:r>
      <w:r w:rsidR="00BB0641" w:rsidRPr="00A9305C">
        <w:rPr>
          <w:b/>
          <w:color w:val="000000" w:themeColor="text1"/>
          <w:lang w:val="en-US"/>
        </w:rPr>
        <w:t xml:space="preserve">Sample information. </w:t>
      </w:r>
      <w:r w:rsidRPr="00A9305C">
        <w:rPr>
          <w:color w:val="000000" w:themeColor="text1"/>
          <w:lang w:val="en-US"/>
        </w:rPr>
        <w:t xml:space="preserve">Location of </w:t>
      </w:r>
      <w:r w:rsidR="00167608" w:rsidRPr="00A9305C">
        <w:rPr>
          <w:color w:val="000000" w:themeColor="text1"/>
          <w:lang w:val="en-US"/>
        </w:rPr>
        <w:t>the</w:t>
      </w:r>
      <w:r w:rsidRPr="00A9305C">
        <w:rPr>
          <w:color w:val="000000" w:themeColor="text1"/>
          <w:lang w:val="en-US"/>
        </w:rPr>
        <w:t xml:space="preserve"> </w:t>
      </w:r>
      <w:r w:rsidR="00BB2F9C" w:rsidRPr="00A9305C">
        <w:rPr>
          <w:color w:val="000000" w:themeColor="text1"/>
          <w:lang w:val="en-US"/>
        </w:rPr>
        <w:t>studied</w:t>
      </w:r>
      <w:r w:rsidRPr="00A9305C">
        <w:rPr>
          <w:color w:val="000000" w:themeColor="text1"/>
          <w:lang w:val="en-US"/>
        </w:rPr>
        <w:t xml:space="preserve"> sediment samples </w:t>
      </w:r>
      <w:r w:rsidR="00273223" w:rsidRPr="00A9305C">
        <w:rPr>
          <w:color w:val="000000" w:themeColor="text1"/>
          <w:lang w:val="en-US"/>
        </w:rPr>
        <w:t>from</w:t>
      </w:r>
      <w:r w:rsidR="00A42104" w:rsidRPr="00A9305C">
        <w:rPr>
          <w:color w:val="000000" w:themeColor="text1"/>
          <w:lang w:val="en-US"/>
        </w:rPr>
        <w:t xml:space="preserve"> the </w:t>
      </w:r>
      <w:r w:rsidR="002E64BC" w:rsidRPr="00A9305C">
        <w:rPr>
          <w:color w:val="000000" w:themeColor="text1"/>
          <w:lang w:val="en-US"/>
        </w:rPr>
        <w:t>Niger</w:t>
      </w:r>
      <w:r w:rsidR="00A42104" w:rsidRPr="00A9305C">
        <w:rPr>
          <w:color w:val="000000" w:themeColor="text1"/>
          <w:lang w:val="en-US"/>
        </w:rPr>
        <w:t xml:space="preserve"> </w:t>
      </w:r>
      <w:r w:rsidR="00273223" w:rsidRPr="00A9305C">
        <w:rPr>
          <w:color w:val="000000" w:themeColor="text1"/>
          <w:lang w:val="en-US"/>
        </w:rPr>
        <w:t>catchment.</w:t>
      </w:r>
      <w:r w:rsidR="009B2A94" w:rsidRPr="00A9305C">
        <w:rPr>
          <w:color w:val="000000" w:themeColor="text1"/>
          <w:lang w:val="en-US"/>
        </w:rPr>
        <w:t xml:space="preserve"> </w:t>
      </w:r>
    </w:p>
    <w:p w14:paraId="04FD7C9A" w14:textId="56D482BB" w:rsidR="000E4437" w:rsidRPr="00A9305C" w:rsidRDefault="00E05CC2" w:rsidP="000E4437">
      <w:pPr>
        <w:tabs>
          <w:tab w:val="left" w:pos="3686"/>
        </w:tabs>
        <w:spacing w:after="200" w:line="480" w:lineRule="auto"/>
        <w:jc w:val="both"/>
        <w:rPr>
          <w:color w:val="000000" w:themeColor="text1"/>
          <w:lang w:val="en-US"/>
        </w:rPr>
      </w:pPr>
      <w:r w:rsidRPr="00A9305C">
        <w:rPr>
          <w:b/>
          <w:color w:val="000000" w:themeColor="text1"/>
          <w:lang w:val="en-GB"/>
        </w:rPr>
        <w:t xml:space="preserve">Table </w:t>
      </w:r>
      <w:r w:rsidR="00C81FE4">
        <w:rPr>
          <w:b/>
          <w:color w:val="000000" w:themeColor="text1"/>
          <w:lang w:val="en-GB"/>
        </w:rPr>
        <w:t>S</w:t>
      </w:r>
      <w:r w:rsidRPr="00A9305C">
        <w:rPr>
          <w:b/>
          <w:color w:val="000000" w:themeColor="text1"/>
          <w:lang w:val="en-GB"/>
        </w:rPr>
        <w:t xml:space="preserve">2. </w:t>
      </w:r>
      <w:r w:rsidR="001277C5" w:rsidRPr="00A9305C">
        <w:rPr>
          <w:b/>
          <w:color w:val="000000" w:themeColor="text1"/>
          <w:lang w:val="en-GB"/>
        </w:rPr>
        <w:t>Key petrographic, heavy-mineral, and geochemical parameters for Niger River sediments</w:t>
      </w:r>
      <w:r w:rsidR="00BB0641" w:rsidRPr="00A9305C">
        <w:rPr>
          <w:bCs/>
          <w:color w:val="000000" w:themeColor="text1"/>
          <w:lang w:val="en-GB"/>
        </w:rPr>
        <w:t>.</w:t>
      </w:r>
      <w:r w:rsidR="001277C5" w:rsidRPr="00A9305C">
        <w:rPr>
          <w:bCs/>
          <w:color w:val="000000" w:themeColor="text1"/>
          <w:lang w:val="en-GB"/>
        </w:rPr>
        <w:t xml:space="preserve"> GSZ, median grain size in microns, determined by ranking </w:t>
      </w:r>
      <w:r w:rsidR="000E4437" w:rsidRPr="00A9305C">
        <w:rPr>
          <w:bCs/>
          <w:color w:val="000000" w:themeColor="text1"/>
          <w:lang w:val="en-GB"/>
        </w:rPr>
        <w:t xml:space="preserve">of </w:t>
      </w:r>
      <w:r w:rsidR="001277C5" w:rsidRPr="00A9305C">
        <w:rPr>
          <w:bCs/>
          <w:color w:val="000000" w:themeColor="text1"/>
          <w:lang w:val="en-GB"/>
        </w:rPr>
        <w:t>thin section</w:t>
      </w:r>
      <w:r w:rsidR="000E4437" w:rsidRPr="00A9305C">
        <w:rPr>
          <w:bCs/>
          <w:color w:val="000000" w:themeColor="text1"/>
          <w:lang w:val="en-GB"/>
        </w:rPr>
        <w:t>s</w:t>
      </w:r>
      <w:r w:rsidR="001277C5" w:rsidRPr="00A9305C">
        <w:rPr>
          <w:bCs/>
          <w:color w:val="000000" w:themeColor="text1"/>
          <w:lang w:val="en-GB"/>
        </w:rPr>
        <w:t xml:space="preserve"> </w:t>
      </w:r>
      <w:r w:rsidR="001277C5" w:rsidRPr="00A9305C">
        <w:rPr>
          <w:color w:val="000000" w:themeColor="text1"/>
          <w:lang w:val="en-GB"/>
        </w:rPr>
        <w:t>from coarsest to finest followed by</w:t>
      </w:r>
      <w:r w:rsidR="001277C5" w:rsidRPr="00A9305C">
        <w:rPr>
          <w:bCs/>
          <w:color w:val="000000" w:themeColor="text1"/>
          <w:lang w:val="en-GB"/>
        </w:rPr>
        <w:t xml:space="preserve"> visual comparison with </w:t>
      </w:r>
      <w:r w:rsidR="001277C5" w:rsidRPr="00A9305C">
        <w:rPr>
          <w:color w:val="000000" w:themeColor="text1"/>
          <w:lang w:val="en-GB"/>
        </w:rPr>
        <w:t xml:space="preserve">in-house standards sieved at 0.25 </w:t>
      </w:r>
      <w:r w:rsidR="001277C5" w:rsidRPr="00A9305C">
        <w:rPr>
          <w:color w:val="000000" w:themeColor="text1"/>
        </w:rPr>
        <w:t>ϕ</w:t>
      </w:r>
      <w:r w:rsidR="001277C5" w:rsidRPr="00A9305C">
        <w:rPr>
          <w:bCs/>
          <w:color w:val="000000" w:themeColor="text1"/>
          <w:lang w:val="en-GB"/>
        </w:rPr>
        <w:t>. Q, quartz; KF, K-feldspar; P, plagioclase; L, lithic fragments; HM, heavy minerals; tHMC, transparent heavy-mineral concentration</w:t>
      </w:r>
      <w:r w:rsidR="00B01EE7" w:rsidRPr="00A9305C">
        <w:rPr>
          <w:bCs/>
          <w:color w:val="000000" w:themeColor="text1"/>
          <w:lang w:val="en-GB"/>
        </w:rPr>
        <w:t xml:space="preserve">; </w:t>
      </w:r>
      <w:r w:rsidR="00B01EE7" w:rsidRPr="00A9305C">
        <w:rPr>
          <w:color w:val="000000" w:themeColor="text1"/>
          <w:lang w:val="en-US"/>
        </w:rPr>
        <w:t>n.d. = not determined</w:t>
      </w:r>
      <w:r w:rsidR="001277C5" w:rsidRPr="00A9305C">
        <w:rPr>
          <w:bCs/>
          <w:color w:val="000000" w:themeColor="text1"/>
          <w:lang w:val="en-GB"/>
        </w:rPr>
        <w:t xml:space="preserve">. </w:t>
      </w:r>
      <w:r w:rsidR="001277C5" w:rsidRPr="00A9305C">
        <w:rPr>
          <w:color w:val="000000" w:themeColor="text1"/>
          <w:lang w:val="en-US"/>
        </w:rPr>
        <w:t xml:space="preserve">Sand classification after Garzanti (2019). </w:t>
      </w:r>
      <w:r w:rsidR="006A0875" w:rsidRPr="00A9305C">
        <w:rPr>
          <w:color w:val="000000" w:themeColor="text1"/>
          <w:lang w:val="en-US"/>
        </w:rPr>
        <w:t>Trace elements analyzed a</w:t>
      </w:r>
      <w:r w:rsidR="001277C5" w:rsidRPr="00A9305C">
        <w:rPr>
          <w:color w:val="000000" w:themeColor="text1"/>
          <w:lang w:val="en-US"/>
        </w:rPr>
        <w:t xml:space="preserve">t the Pôle Spectrométrie Océan (Plouzané, France) </w:t>
      </w:r>
      <w:r w:rsidR="006A0875" w:rsidRPr="00A9305C">
        <w:rPr>
          <w:color w:val="000000" w:themeColor="text1"/>
          <w:lang w:val="en-US"/>
        </w:rPr>
        <w:t xml:space="preserve">using a Thermo Scientific Element XR sector field ICP-MS, using the Tm addition method (Barrat et al. 1996). </w:t>
      </w:r>
      <w:r w:rsidR="000E4437" w:rsidRPr="00A9305C">
        <w:rPr>
          <w:color w:val="000000" w:themeColor="text1"/>
          <w:lang w:val="en-US"/>
        </w:rPr>
        <w:t xml:space="preserve">Gd, </w:t>
      </w:r>
      <w:r w:rsidR="006A0875" w:rsidRPr="00A9305C">
        <w:rPr>
          <w:color w:val="000000" w:themeColor="text1"/>
          <w:lang w:val="en-US"/>
        </w:rPr>
        <w:t>Ho</w:t>
      </w:r>
      <w:r w:rsidR="000E4437" w:rsidRPr="00A9305C">
        <w:rPr>
          <w:color w:val="000000" w:themeColor="text1"/>
          <w:lang w:val="en-US"/>
        </w:rPr>
        <w:t>,</w:t>
      </w:r>
      <w:r w:rsidR="006A0875" w:rsidRPr="00A9305C">
        <w:rPr>
          <w:color w:val="000000" w:themeColor="text1"/>
          <w:lang w:val="en-US"/>
        </w:rPr>
        <w:t xml:space="preserve"> and Yb </w:t>
      </w:r>
      <w:r w:rsidR="001277C5" w:rsidRPr="00A9305C">
        <w:rPr>
          <w:color w:val="000000" w:themeColor="text1"/>
          <w:lang w:val="en-US"/>
        </w:rPr>
        <w:t>concentrations are normalized to CI carbonaceous chondrites according to values in Barrat et al. (2012).</w:t>
      </w:r>
      <w:r w:rsidR="000E4437" w:rsidRPr="00A9305C">
        <w:rPr>
          <w:color w:val="000000" w:themeColor="text1"/>
          <w:lang w:val="en-US"/>
        </w:rPr>
        <w:t xml:space="preserve"> Neodymium and hafnium isotopes were measured using a Thermo Scientific Neptune multi-collector ICP-MS, after Nd and Hf purification by conventional ion chromatography. Epsilon Nd values were calculated using the present-day chondritic (CHUR) values </w:t>
      </w:r>
      <w:r w:rsidR="000E4437" w:rsidRPr="00A9305C">
        <w:rPr>
          <w:color w:val="000000" w:themeColor="text1"/>
          <w:vertAlign w:val="superscript"/>
          <w:lang w:val="en-US"/>
        </w:rPr>
        <w:t>143</w:t>
      </w:r>
      <w:r w:rsidR="000E4437" w:rsidRPr="00A9305C">
        <w:rPr>
          <w:color w:val="000000" w:themeColor="text1"/>
          <w:lang w:val="en-US"/>
        </w:rPr>
        <w:t>Nd/</w:t>
      </w:r>
      <w:r w:rsidR="000E4437" w:rsidRPr="00A9305C">
        <w:rPr>
          <w:color w:val="000000" w:themeColor="text1"/>
          <w:vertAlign w:val="superscript"/>
          <w:lang w:val="en-US"/>
        </w:rPr>
        <w:t>144</w:t>
      </w:r>
      <w:r w:rsidR="000E4437" w:rsidRPr="00A9305C">
        <w:rPr>
          <w:color w:val="000000" w:themeColor="text1"/>
          <w:lang w:val="en-US"/>
        </w:rPr>
        <w:t xml:space="preserve">Nd = 0.512630 and </w:t>
      </w:r>
      <w:r w:rsidR="000E4437" w:rsidRPr="00A9305C">
        <w:rPr>
          <w:color w:val="000000" w:themeColor="text1"/>
          <w:vertAlign w:val="superscript"/>
          <w:lang w:val="en-US"/>
        </w:rPr>
        <w:t>147</w:t>
      </w:r>
      <w:r w:rsidR="000E4437" w:rsidRPr="00A9305C">
        <w:rPr>
          <w:color w:val="000000" w:themeColor="text1"/>
          <w:lang w:val="en-US"/>
        </w:rPr>
        <w:t>Sm/</w:t>
      </w:r>
      <w:r w:rsidR="000E4437" w:rsidRPr="00A9305C">
        <w:rPr>
          <w:color w:val="000000" w:themeColor="text1"/>
          <w:vertAlign w:val="superscript"/>
          <w:lang w:val="en-US"/>
        </w:rPr>
        <w:t>144</w:t>
      </w:r>
      <w:r w:rsidR="000E4437" w:rsidRPr="00A9305C">
        <w:rPr>
          <w:color w:val="000000" w:themeColor="text1"/>
          <w:lang w:val="en-US"/>
        </w:rPr>
        <w:t>Nd = 0.196 (Bouvier et al., 2008). Neodymium depleted mantle model ages (T</w:t>
      </w:r>
      <w:r w:rsidR="000E4437" w:rsidRPr="00A9305C">
        <w:rPr>
          <w:color w:val="000000" w:themeColor="text1"/>
          <w:vertAlign w:val="subscript"/>
          <w:lang w:val="en-US"/>
        </w:rPr>
        <w:t>Nd,DM</w:t>
      </w:r>
      <w:r w:rsidR="000E4437" w:rsidRPr="00A9305C">
        <w:rPr>
          <w:color w:val="000000" w:themeColor="text1"/>
          <w:lang w:val="en-US"/>
        </w:rPr>
        <w:t>) were calculated following De Paolo (1981) and using measured Sm and Nd concentrations (</w:t>
      </w:r>
      <w:r w:rsidR="000E4437" w:rsidRPr="00A9305C">
        <w:rPr>
          <w:color w:val="000000" w:themeColor="text1"/>
          <w:vertAlign w:val="superscript"/>
          <w:lang w:val="en-US"/>
        </w:rPr>
        <w:t>147</w:t>
      </w:r>
      <w:r w:rsidR="000E4437" w:rsidRPr="00A9305C">
        <w:rPr>
          <w:color w:val="000000" w:themeColor="text1"/>
          <w:lang w:val="en-US"/>
        </w:rPr>
        <w:t>Sm/</w:t>
      </w:r>
      <w:r w:rsidR="000E4437" w:rsidRPr="00A9305C">
        <w:rPr>
          <w:color w:val="000000" w:themeColor="text1"/>
          <w:vertAlign w:val="superscript"/>
          <w:lang w:val="en-US"/>
        </w:rPr>
        <w:t>144</w:t>
      </w:r>
      <w:r w:rsidR="000E4437" w:rsidRPr="00A9305C">
        <w:rPr>
          <w:color w:val="000000" w:themeColor="text1"/>
          <w:lang w:val="en-US"/>
        </w:rPr>
        <w:t xml:space="preserve">Nd = Sm/Nd × 0.6049) and present-day depleted mantle values of </w:t>
      </w:r>
      <w:r w:rsidR="000E4437" w:rsidRPr="00A9305C">
        <w:rPr>
          <w:color w:val="000000" w:themeColor="text1"/>
          <w:vertAlign w:val="superscript"/>
          <w:lang w:val="en-US"/>
        </w:rPr>
        <w:t>143</w:t>
      </w:r>
      <w:r w:rsidR="000E4437" w:rsidRPr="00A9305C">
        <w:rPr>
          <w:color w:val="000000" w:themeColor="text1"/>
          <w:lang w:val="en-US"/>
        </w:rPr>
        <w:t>Nd/</w:t>
      </w:r>
      <w:r w:rsidR="000E4437" w:rsidRPr="00A9305C">
        <w:rPr>
          <w:color w:val="000000" w:themeColor="text1"/>
          <w:vertAlign w:val="superscript"/>
          <w:lang w:val="en-US"/>
        </w:rPr>
        <w:t>144</w:t>
      </w:r>
      <w:r w:rsidR="000E4437" w:rsidRPr="00A9305C">
        <w:rPr>
          <w:color w:val="000000" w:themeColor="text1"/>
          <w:lang w:val="en-US"/>
        </w:rPr>
        <w:t xml:space="preserve">Nd = 0.513073 and </w:t>
      </w:r>
      <w:r w:rsidR="000E4437" w:rsidRPr="00A9305C">
        <w:rPr>
          <w:color w:val="000000" w:themeColor="text1"/>
          <w:vertAlign w:val="superscript"/>
          <w:lang w:val="en-US"/>
        </w:rPr>
        <w:t>147</w:t>
      </w:r>
      <w:r w:rsidR="000E4437" w:rsidRPr="00A9305C">
        <w:rPr>
          <w:color w:val="000000" w:themeColor="text1"/>
          <w:lang w:val="en-US"/>
        </w:rPr>
        <w:t>Sm/</w:t>
      </w:r>
      <w:r w:rsidR="000E4437" w:rsidRPr="00A9305C">
        <w:rPr>
          <w:color w:val="000000" w:themeColor="text1"/>
          <w:vertAlign w:val="superscript"/>
          <w:lang w:val="en-US"/>
        </w:rPr>
        <w:t>144</w:t>
      </w:r>
      <w:r w:rsidR="000E4437" w:rsidRPr="00A9305C">
        <w:rPr>
          <w:color w:val="000000" w:themeColor="text1"/>
          <w:lang w:val="en-US"/>
        </w:rPr>
        <w:t xml:space="preserve">Nd = 0.21083 (Garçon 2021). Epsilon Hf values were calculated using the present-day chondritic (CHUR) values </w:t>
      </w:r>
      <w:r w:rsidR="000E4437" w:rsidRPr="00A9305C">
        <w:rPr>
          <w:color w:val="000000" w:themeColor="text1"/>
          <w:vertAlign w:val="superscript"/>
          <w:lang w:val="en-US"/>
        </w:rPr>
        <w:t>176</w:t>
      </w:r>
      <w:r w:rsidR="000E4437" w:rsidRPr="00A9305C">
        <w:rPr>
          <w:color w:val="000000" w:themeColor="text1"/>
          <w:lang w:val="en-US"/>
        </w:rPr>
        <w:t>Hf/</w:t>
      </w:r>
      <w:r w:rsidR="000E4437" w:rsidRPr="00A9305C">
        <w:rPr>
          <w:color w:val="000000" w:themeColor="text1"/>
          <w:vertAlign w:val="superscript"/>
          <w:lang w:val="en-US"/>
        </w:rPr>
        <w:t>177</w:t>
      </w:r>
      <w:r w:rsidR="000E4437" w:rsidRPr="00A9305C">
        <w:rPr>
          <w:color w:val="000000" w:themeColor="text1"/>
          <w:lang w:val="en-US"/>
        </w:rPr>
        <w:t xml:space="preserve">Hf = 0.282785 and </w:t>
      </w:r>
      <w:r w:rsidR="000E4437" w:rsidRPr="00A9305C">
        <w:rPr>
          <w:color w:val="000000" w:themeColor="text1"/>
          <w:vertAlign w:val="superscript"/>
          <w:lang w:val="en-US"/>
        </w:rPr>
        <w:t>176</w:t>
      </w:r>
      <w:r w:rsidR="000E4437" w:rsidRPr="00A9305C">
        <w:rPr>
          <w:color w:val="000000" w:themeColor="text1"/>
          <w:lang w:val="en-US"/>
        </w:rPr>
        <w:t>Lu/</w:t>
      </w:r>
      <w:r w:rsidR="000E4437" w:rsidRPr="00A9305C">
        <w:rPr>
          <w:color w:val="000000" w:themeColor="text1"/>
          <w:vertAlign w:val="superscript"/>
          <w:lang w:val="en-US"/>
        </w:rPr>
        <w:t>177</w:t>
      </w:r>
      <w:r w:rsidR="000E4437" w:rsidRPr="00A9305C">
        <w:rPr>
          <w:color w:val="000000" w:themeColor="text1"/>
          <w:lang w:val="en-US"/>
        </w:rPr>
        <w:t xml:space="preserve">Hf = 0.03360 (Bouvier et al., 2008). Hafnium </w:t>
      </w:r>
      <w:r w:rsidR="000E4437" w:rsidRPr="00A9305C">
        <w:rPr>
          <w:color w:val="000000" w:themeColor="text1"/>
          <w:lang w:val="en-US"/>
        </w:rPr>
        <w:lastRenderedPageBreak/>
        <w:t>depleted mantle model ages (T</w:t>
      </w:r>
      <w:r w:rsidR="000E4437" w:rsidRPr="00A9305C">
        <w:rPr>
          <w:color w:val="000000" w:themeColor="text1"/>
          <w:vertAlign w:val="subscript"/>
          <w:lang w:val="en-US"/>
        </w:rPr>
        <w:t>Hf,DM</w:t>
      </w:r>
      <w:r w:rsidR="000E4437" w:rsidRPr="00A9305C">
        <w:rPr>
          <w:color w:val="000000" w:themeColor="text1"/>
          <w:lang w:val="en-US"/>
        </w:rPr>
        <w:t>) were calculated using measured Lu and Hf concentrations (</w:t>
      </w:r>
      <w:r w:rsidR="000E4437" w:rsidRPr="00A9305C">
        <w:rPr>
          <w:color w:val="000000" w:themeColor="text1"/>
          <w:vertAlign w:val="superscript"/>
          <w:lang w:val="en-US"/>
        </w:rPr>
        <w:t>176</w:t>
      </w:r>
      <w:r w:rsidR="000E4437" w:rsidRPr="00A9305C">
        <w:rPr>
          <w:color w:val="000000" w:themeColor="text1"/>
          <w:lang w:val="en-US"/>
        </w:rPr>
        <w:t>Lu/</w:t>
      </w:r>
      <w:r w:rsidR="000E4437" w:rsidRPr="00A9305C">
        <w:rPr>
          <w:color w:val="000000" w:themeColor="text1"/>
          <w:vertAlign w:val="superscript"/>
          <w:lang w:val="en-US"/>
        </w:rPr>
        <w:t>177</w:t>
      </w:r>
      <w:r w:rsidR="000E4437" w:rsidRPr="00A9305C">
        <w:rPr>
          <w:color w:val="000000" w:themeColor="text1"/>
          <w:lang w:val="en-US"/>
        </w:rPr>
        <w:t xml:space="preserve">Hf = Lu/Hf × 0.142) and present-day depleted mantle values of </w:t>
      </w:r>
      <w:r w:rsidR="000E4437" w:rsidRPr="00A9305C">
        <w:rPr>
          <w:color w:val="000000" w:themeColor="text1"/>
          <w:vertAlign w:val="superscript"/>
          <w:lang w:val="en-US"/>
        </w:rPr>
        <w:t>176</w:t>
      </w:r>
      <w:r w:rsidR="000E4437" w:rsidRPr="00A9305C">
        <w:rPr>
          <w:color w:val="000000" w:themeColor="text1"/>
          <w:lang w:val="en-US"/>
        </w:rPr>
        <w:t>Hf/</w:t>
      </w:r>
      <w:r w:rsidR="000E4437" w:rsidRPr="00A9305C">
        <w:rPr>
          <w:color w:val="000000" w:themeColor="text1"/>
          <w:vertAlign w:val="superscript"/>
          <w:lang w:val="en-US"/>
        </w:rPr>
        <w:t>177</w:t>
      </w:r>
      <w:r w:rsidR="000E4437" w:rsidRPr="00A9305C">
        <w:rPr>
          <w:color w:val="000000" w:themeColor="text1"/>
          <w:lang w:val="en-US"/>
        </w:rPr>
        <w:t xml:space="preserve">Hf = 0.283294 and </w:t>
      </w:r>
      <w:r w:rsidR="000E4437" w:rsidRPr="00A9305C">
        <w:rPr>
          <w:color w:val="000000" w:themeColor="text1"/>
          <w:vertAlign w:val="superscript"/>
          <w:lang w:val="en-US"/>
        </w:rPr>
        <w:t>176</w:t>
      </w:r>
      <w:r w:rsidR="000E4437" w:rsidRPr="00A9305C">
        <w:rPr>
          <w:color w:val="000000" w:themeColor="text1"/>
          <w:lang w:val="en-US"/>
        </w:rPr>
        <w:t>Lu/</w:t>
      </w:r>
      <w:r w:rsidR="000E4437" w:rsidRPr="00A9305C">
        <w:rPr>
          <w:color w:val="000000" w:themeColor="text1"/>
          <w:vertAlign w:val="superscript"/>
          <w:lang w:val="en-US"/>
        </w:rPr>
        <w:t>177</w:t>
      </w:r>
      <w:r w:rsidR="000E4437" w:rsidRPr="00A9305C">
        <w:rPr>
          <w:color w:val="000000" w:themeColor="text1"/>
          <w:lang w:val="en-US"/>
        </w:rPr>
        <w:t>Hf = 0.03933 (Blichert-Toft and Puchtel, 2010).</w:t>
      </w:r>
    </w:p>
    <w:p w14:paraId="2032A960" w14:textId="03E2C255" w:rsidR="00A42104" w:rsidRPr="00A9305C" w:rsidRDefault="00BB0641" w:rsidP="006A0875">
      <w:pPr>
        <w:tabs>
          <w:tab w:val="left" w:pos="3686"/>
        </w:tabs>
        <w:spacing w:after="200" w:line="480" w:lineRule="auto"/>
        <w:jc w:val="both"/>
        <w:rPr>
          <w:color w:val="000000" w:themeColor="text1"/>
          <w:lang w:val="en-US"/>
        </w:rPr>
      </w:pPr>
      <w:r w:rsidRPr="00A9305C">
        <w:rPr>
          <w:b/>
          <w:color w:val="000000" w:themeColor="text1"/>
          <w:lang w:val="en-US"/>
        </w:rPr>
        <w:t xml:space="preserve">Table </w:t>
      </w:r>
      <w:r w:rsidR="00C81FE4">
        <w:rPr>
          <w:b/>
          <w:color w:val="000000" w:themeColor="text1"/>
          <w:lang w:val="en-US"/>
        </w:rPr>
        <w:t>S</w:t>
      </w:r>
      <w:r w:rsidRPr="00A9305C">
        <w:rPr>
          <w:b/>
          <w:color w:val="000000" w:themeColor="text1"/>
          <w:lang w:val="en-US"/>
        </w:rPr>
        <w:t xml:space="preserve">3. </w:t>
      </w:r>
      <w:r w:rsidR="00FB6F8B" w:rsidRPr="00A9305C">
        <w:rPr>
          <w:b/>
          <w:color w:val="000000" w:themeColor="text1"/>
          <w:lang w:val="en-US"/>
        </w:rPr>
        <w:t>Size distribution of</w:t>
      </w:r>
      <w:r w:rsidR="006A0875" w:rsidRPr="00A9305C">
        <w:rPr>
          <w:b/>
          <w:color w:val="000000" w:themeColor="text1"/>
          <w:lang w:val="en-US"/>
        </w:rPr>
        <w:t xml:space="preserve"> zircon grains. </w:t>
      </w:r>
      <w:r w:rsidR="00FB6F8B" w:rsidRPr="00A9305C">
        <w:rPr>
          <w:color w:val="000000" w:themeColor="text1"/>
          <w:lang w:val="en-GB"/>
        </w:rPr>
        <w:t>For each zircon grain identified by semi-automatic Raman spectroscopy in the studied samples, t</w:t>
      </w:r>
      <w:r w:rsidR="006A0875" w:rsidRPr="00A9305C">
        <w:rPr>
          <w:color w:val="000000" w:themeColor="text1"/>
          <w:lang w:val="en-GB"/>
        </w:rPr>
        <w:t xml:space="preserve">he equivalent diameter </w:t>
      </w:r>
      <w:r w:rsidR="006A0875" w:rsidRPr="00A9305C">
        <w:rPr>
          <w:b/>
          <w:bCs/>
          <w:i/>
          <w:iCs/>
          <w:color w:val="000000" w:themeColor="text1"/>
          <w:lang w:val="en-GB"/>
        </w:rPr>
        <w:t>d</w:t>
      </w:r>
      <w:r w:rsidR="006A0875" w:rsidRPr="00A9305C">
        <w:rPr>
          <w:b/>
          <w:bCs/>
          <w:i/>
          <w:iCs/>
          <w:color w:val="000000" w:themeColor="text1"/>
          <w:vertAlign w:val="subscript"/>
          <w:lang w:val="en-GB"/>
        </w:rPr>
        <w:t>e</w:t>
      </w:r>
      <w:r w:rsidR="006A0875" w:rsidRPr="00A9305C">
        <w:rPr>
          <w:color w:val="000000" w:themeColor="text1"/>
          <w:lang w:val="en-GB"/>
        </w:rPr>
        <w:t xml:space="preserve"> was determined </w:t>
      </w:r>
      <w:r w:rsidR="006A0875" w:rsidRPr="00A9305C">
        <w:rPr>
          <w:color w:val="000000" w:themeColor="text1"/>
          <w:shd w:val="clear" w:color="auto" w:fill="FFFFFF"/>
          <w:lang w:val="en-GB"/>
        </w:rPr>
        <w:t xml:space="preserve">by image analysis </w:t>
      </w:r>
      <w:r w:rsidR="006A0875" w:rsidRPr="00A9305C">
        <w:rPr>
          <w:color w:val="000000" w:themeColor="text1"/>
          <w:lang w:val="en-GB"/>
        </w:rPr>
        <w:t xml:space="preserve">as the geometric mean of long and short axes. </w:t>
      </w:r>
      <w:r w:rsidR="00FB6F8B" w:rsidRPr="00A9305C">
        <w:rPr>
          <w:color w:val="000000" w:themeColor="text1"/>
          <w:lang w:val="en-GB"/>
        </w:rPr>
        <w:t>M</w:t>
      </w:r>
      <w:r w:rsidR="006A0875" w:rsidRPr="00A9305C">
        <w:rPr>
          <w:color w:val="000000" w:themeColor="text1"/>
          <w:lang w:val="en-GB"/>
        </w:rPr>
        <w:t xml:space="preserve">ean size (in </w:t>
      </w:r>
      <w:r w:rsidR="006A0875" w:rsidRPr="00A9305C">
        <w:rPr>
          <w:color w:val="000000" w:themeColor="text1"/>
        </w:rPr>
        <w:t>ϕ</w:t>
      </w:r>
      <w:r w:rsidR="006A0875" w:rsidRPr="00A9305C">
        <w:rPr>
          <w:color w:val="000000" w:themeColor="text1"/>
          <w:lang w:val="en-GB"/>
        </w:rPr>
        <w:t xml:space="preserve"> units</w:t>
      </w:r>
      <w:r w:rsidR="00FB6F8B" w:rsidRPr="00A9305C">
        <w:rPr>
          <w:color w:val="000000" w:themeColor="text1"/>
          <w:lang w:val="en-GB"/>
        </w:rPr>
        <w:t xml:space="preserve"> and in microns</w:t>
      </w:r>
      <w:r w:rsidR="006A0875" w:rsidRPr="00A9305C">
        <w:rPr>
          <w:color w:val="000000" w:themeColor="text1"/>
          <w:lang w:val="en-GB"/>
        </w:rPr>
        <w:t>), sorting (σϕ), and skewness (Sk) of the d</w:t>
      </w:r>
      <w:r w:rsidR="006A0875" w:rsidRPr="00A9305C">
        <w:rPr>
          <w:color w:val="000000" w:themeColor="text1"/>
          <w:vertAlign w:val="subscript"/>
          <w:lang w:val="en-GB"/>
        </w:rPr>
        <w:t xml:space="preserve">e </w:t>
      </w:r>
      <w:r w:rsidR="006A0875" w:rsidRPr="00A9305C">
        <w:rPr>
          <w:color w:val="000000" w:themeColor="text1"/>
          <w:lang w:val="en-GB"/>
        </w:rPr>
        <w:t>distribution w</w:t>
      </w:r>
      <w:r w:rsidR="00B01EE7" w:rsidRPr="00A9305C">
        <w:rPr>
          <w:color w:val="000000" w:themeColor="text1"/>
          <w:lang w:val="en-GB"/>
        </w:rPr>
        <w:t>ere</w:t>
      </w:r>
      <w:r w:rsidR="006A0875" w:rsidRPr="00A9305C">
        <w:rPr>
          <w:color w:val="000000" w:themeColor="text1"/>
          <w:lang w:val="en-GB"/>
        </w:rPr>
        <w:t xml:space="preserve"> calculated following Folk and Ward (1957).</w:t>
      </w:r>
    </w:p>
    <w:p w14:paraId="760CAB4D" w14:textId="7B9EF29F" w:rsidR="00A053BF" w:rsidRPr="00A9305C" w:rsidRDefault="00A053BF" w:rsidP="00A053BF">
      <w:pPr>
        <w:pStyle w:val="Rientrocorpodeltesto21"/>
        <w:spacing w:after="120"/>
        <w:ind w:left="284" w:right="-142" w:hanging="284"/>
        <w:jc w:val="both"/>
        <w:rPr>
          <w:color w:val="000000" w:themeColor="text1"/>
          <w:szCs w:val="24"/>
        </w:rPr>
      </w:pPr>
      <w:r w:rsidRPr="00A9305C">
        <w:rPr>
          <w:color w:val="000000" w:themeColor="text1"/>
          <w:szCs w:val="24"/>
        </w:rPr>
        <w:t>CITED REFERENCES</w:t>
      </w:r>
    </w:p>
    <w:p w14:paraId="48716902" w14:textId="51A6961E" w:rsidR="00FB6F8B" w:rsidRPr="00A9305C" w:rsidRDefault="00FB6F8B" w:rsidP="00A053BF">
      <w:pPr>
        <w:pStyle w:val="Rientrocorpodeltesto21"/>
        <w:spacing w:after="120"/>
        <w:ind w:left="284" w:right="-142" w:hanging="284"/>
        <w:jc w:val="both"/>
        <w:rPr>
          <w:color w:val="000000" w:themeColor="text1"/>
          <w:szCs w:val="24"/>
          <w:lang w:val="en-GB"/>
        </w:rPr>
      </w:pPr>
      <w:r w:rsidRPr="00A9305C">
        <w:rPr>
          <w:color w:val="000000" w:themeColor="text1"/>
          <w:szCs w:val="24"/>
        </w:rPr>
        <w:t xml:space="preserve">Barrat, J.A., Keller, F., Amossé, J., Taylor, R.N., Nesbitt, R.W., and Hirata, T. </w:t>
      </w:r>
      <w:r w:rsidR="00A9305C" w:rsidRPr="00A9305C">
        <w:rPr>
          <w:color w:val="000000" w:themeColor="text1"/>
          <w:szCs w:val="24"/>
        </w:rPr>
        <w:t>(</w:t>
      </w:r>
      <w:r w:rsidRPr="00A9305C">
        <w:rPr>
          <w:color w:val="000000" w:themeColor="text1"/>
          <w:szCs w:val="24"/>
        </w:rPr>
        <w:t>1996</w:t>
      </w:r>
      <w:r w:rsidR="00A9305C" w:rsidRPr="00A9305C">
        <w:rPr>
          <w:color w:val="000000" w:themeColor="text1"/>
          <w:szCs w:val="24"/>
        </w:rPr>
        <w:t>).</w:t>
      </w:r>
      <w:r w:rsidRPr="00A9305C">
        <w:rPr>
          <w:color w:val="000000" w:themeColor="text1"/>
          <w:szCs w:val="24"/>
        </w:rPr>
        <w:t xml:space="preserve"> Determination of rare earth elements in sixteen silicate reference samples by ICP‐MS after Tm addition and ion </w:t>
      </w:r>
      <w:r w:rsidRPr="00A9305C">
        <w:rPr>
          <w:color w:val="000000" w:themeColor="text1"/>
          <w:szCs w:val="24"/>
          <w:lang w:val="en-GB"/>
        </w:rPr>
        <w:t>exchange separation: Geostandards Newsletter, 20(1), 133-139.</w:t>
      </w:r>
    </w:p>
    <w:p w14:paraId="7833983E" w14:textId="50A7F963" w:rsidR="00FB6F8B" w:rsidRPr="00A9305C" w:rsidRDefault="00FB6F8B" w:rsidP="00A053BF">
      <w:pPr>
        <w:autoSpaceDE w:val="0"/>
        <w:autoSpaceDN w:val="0"/>
        <w:adjustRightInd w:val="0"/>
        <w:spacing w:after="120" w:line="360" w:lineRule="auto"/>
        <w:ind w:left="284" w:right="-142" w:hanging="284"/>
        <w:jc w:val="both"/>
        <w:rPr>
          <w:color w:val="000000" w:themeColor="text1"/>
          <w:lang w:val="en-GB"/>
        </w:rPr>
      </w:pPr>
      <w:r w:rsidRPr="00A9305C">
        <w:rPr>
          <w:color w:val="000000" w:themeColor="text1"/>
          <w:lang w:val="en-GB"/>
        </w:rPr>
        <w:t xml:space="preserve">Barrat, J.A., Zanda, B., Moynier, F., Bollinger, C., Liorzou, C., </w:t>
      </w:r>
      <w:r w:rsidR="000E4437" w:rsidRPr="00A9305C">
        <w:rPr>
          <w:color w:val="000000" w:themeColor="text1"/>
          <w:lang w:val="en-GB"/>
        </w:rPr>
        <w:t xml:space="preserve">and </w:t>
      </w:r>
      <w:r w:rsidRPr="00A9305C">
        <w:rPr>
          <w:color w:val="000000" w:themeColor="text1"/>
          <w:lang w:val="en-GB"/>
        </w:rPr>
        <w:t xml:space="preserve">Bayon, G. </w:t>
      </w:r>
      <w:r w:rsidR="00A9305C" w:rsidRPr="00A9305C">
        <w:rPr>
          <w:color w:val="000000" w:themeColor="text1"/>
          <w:lang w:val="en-GB"/>
        </w:rPr>
        <w:t>(</w:t>
      </w:r>
      <w:r w:rsidRPr="00A9305C">
        <w:rPr>
          <w:color w:val="000000" w:themeColor="text1"/>
          <w:lang w:val="en-GB"/>
        </w:rPr>
        <w:t>2012</w:t>
      </w:r>
      <w:r w:rsidR="00A9305C" w:rsidRPr="00A9305C">
        <w:rPr>
          <w:color w:val="000000" w:themeColor="text1"/>
          <w:lang w:val="en-GB"/>
        </w:rPr>
        <w:t>).</w:t>
      </w:r>
      <w:r w:rsidRPr="00A9305C">
        <w:rPr>
          <w:color w:val="000000" w:themeColor="text1"/>
          <w:lang w:val="en-GB"/>
        </w:rPr>
        <w:t xml:space="preserve"> Geochemistry of CI chondrites: Major and trace elements, and Cu and Zn isotopes: Geochimica et Cosmochimica Acta, 83, 79-92.</w:t>
      </w:r>
    </w:p>
    <w:p w14:paraId="4AE360E7" w14:textId="6326AD9A" w:rsidR="00E5736E" w:rsidRPr="00A9305C" w:rsidRDefault="00E5736E" w:rsidP="00A053BF">
      <w:pPr>
        <w:autoSpaceDE w:val="0"/>
        <w:autoSpaceDN w:val="0"/>
        <w:adjustRightInd w:val="0"/>
        <w:spacing w:after="120" w:line="360" w:lineRule="auto"/>
        <w:ind w:left="284" w:right="-142" w:hanging="284"/>
        <w:jc w:val="both"/>
        <w:rPr>
          <w:color w:val="000000" w:themeColor="text1"/>
          <w:lang w:val="en-GB"/>
        </w:rPr>
      </w:pPr>
      <w:r w:rsidRPr="00A9305C">
        <w:rPr>
          <w:color w:val="000000" w:themeColor="text1"/>
          <w:lang w:val="en-GB"/>
        </w:rPr>
        <w:t xml:space="preserve">Blichert-Toft, J., and Puchtel, I.S. </w:t>
      </w:r>
      <w:r w:rsidR="00A9305C" w:rsidRPr="00A9305C">
        <w:rPr>
          <w:color w:val="000000" w:themeColor="text1"/>
          <w:lang w:val="en-GB"/>
        </w:rPr>
        <w:t>(</w:t>
      </w:r>
      <w:r w:rsidRPr="00A9305C">
        <w:rPr>
          <w:color w:val="000000" w:themeColor="text1"/>
          <w:lang w:val="en-GB"/>
        </w:rPr>
        <w:t>2010</w:t>
      </w:r>
      <w:r w:rsidR="00A9305C" w:rsidRPr="00A9305C">
        <w:rPr>
          <w:color w:val="000000" w:themeColor="text1"/>
          <w:lang w:val="en-GB"/>
        </w:rPr>
        <w:t>).</w:t>
      </w:r>
      <w:r w:rsidRPr="00A9305C">
        <w:rPr>
          <w:color w:val="000000" w:themeColor="text1"/>
          <w:lang w:val="en-GB"/>
        </w:rPr>
        <w:t xml:space="preserve"> Depleted mantle sources through time: evidence from Lu–Hf and Sm–Nd isotope systematics of Archean komatiites: Earth and Planetary Science Letters, 297(3-4), 598-606.</w:t>
      </w:r>
    </w:p>
    <w:p w14:paraId="41D65502" w14:textId="5EABD006" w:rsidR="00FB6F8B" w:rsidRPr="00A9305C" w:rsidRDefault="00FB6F8B" w:rsidP="00A053BF">
      <w:pPr>
        <w:autoSpaceDE w:val="0"/>
        <w:autoSpaceDN w:val="0"/>
        <w:adjustRightInd w:val="0"/>
        <w:spacing w:after="120" w:line="360" w:lineRule="auto"/>
        <w:ind w:left="284" w:right="-142" w:hanging="284"/>
        <w:jc w:val="both"/>
        <w:rPr>
          <w:color w:val="000000" w:themeColor="text1"/>
          <w:lang w:val="en-GB"/>
        </w:rPr>
      </w:pPr>
      <w:r w:rsidRPr="00A9305C">
        <w:rPr>
          <w:color w:val="000000" w:themeColor="text1"/>
          <w:lang w:val="en-GB"/>
        </w:rPr>
        <w:t xml:space="preserve">Bouvier, A., Vervoort, J.D., and Patchett, P.J. </w:t>
      </w:r>
      <w:r w:rsidR="00A9305C" w:rsidRPr="00A9305C">
        <w:rPr>
          <w:color w:val="000000" w:themeColor="text1"/>
          <w:lang w:val="en-GB"/>
        </w:rPr>
        <w:t>(</w:t>
      </w:r>
      <w:r w:rsidRPr="00A9305C">
        <w:rPr>
          <w:color w:val="000000" w:themeColor="text1"/>
          <w:lang w:val="en-GB"/>
        </w:rPr>
        <w:t>2008</w:t>
      </w:r>
      <w:r w:rsidR="00A9305C" w:rsidRPr="00A9305C">
        <w:rPr>
          <w:color w:val="000000" w:themeColor="text1"/>
          <w:lang w:val="en-GB"/>
        </w:rPr>
        <w:t>).</w:t>
      </w:r>
      <w:r w:rsidRPr="00A9305C">
        <w:rPr>
          <w:color w:val="000000" w:themeColor="text1"/>
          <w:lang w:val="en-GB"/>
        </w:rPr>
        <w:t xml:space="preserve"> The Lu–Hf and Sm–Nd isotopic composition of CHUR: constraints from unequilibrated chondrites and implications for the bulk composition of terrestrial planets: Earth and Planetary Science Letters, 273, 48</w:t>
      </w:r>
      <w:r w:rsidR="00A053BF" w:rsidRPr="00A9305C">
        <w:rPr>
          <w:color w:val="000000" w:themeColor="text1"/>
          <w:lang w:val="en-GB"/>
        </w:rPr>
        <w:t>-</w:t>
      </w:r>
      <w:r w:rsidRPr="00A9305C">
        <w:rPr>
          <w:color w:val="000000" w:themeColor="text1"/>
          <w:lang w:val="en-GB"/>
        </w:rPr>
        <w:t>57.</w:t>
      </w:r>
    </w:p>
    <w:p w14:paraId="25DB913A" w14:textId="525474DF" w:rsidR="00FB6F8B" w:rsidRPr="00A9305C" w:rsidRDefault="00FB6F8B" w:rsidP="00A053BF">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De Paolo, D.J.</w:t>
      </w:r>
      <w:r w:rsidR="00A9305C" w:rsidRPr="00A9305C">
        <w:rPr>
          <w:color w:val="000000" w:themeColor="text1"/>
          <w:szCs w:val="24"/>
          <w:lang w:val="en-GB"/>
        </w:rPr>
        <w:t xml:space="preserve"> (</w:t>
      </w:r>
      <w:r w:rsidRPr="00A9305C">
        <w:rPr>
          <w:color w:val="000000" w:themeColor="text1"/>
          <w:szCs w:val="24"/>
          <w:lang w:val="en-GB"/>
        </w:rPr>
        <w:t>1981</w:t>
      </w:r>
      <w:r w:rsidR="00A9305C" w:rsidRPr="00A9305C">
        <w:rPr>
          <w:color w:val="000000" w:themeColor="text1"/>
          <w:szCs w:val="24"/>
          <w:lang w:val="en-GB"/>
        </w:rPr>
        <w:t>).</w:t>
      </w:r>
      <w:r w:rsidRPr="00A9305C">
        <w:rPr>
          <w:color w:val="000000" w:themeColor="text1"/>
          <w:szCs w:val="24"/>
          <w:lang w:val="en-GB"/>
        </w:rPr>
        <w:t xml:space="preserve"> Neodymium isotopes in the Colorado Front Range and crust–mantle evolution in the Proterozoic: Nature, 291(5812), 193-196.</w:t>
      </w:r>
    </w:p>
    <w:p w14:paraId="5E09CF0B" w14:textId="0D3F5803" w:rsidR="00FB6F8B" w:rsidRPr="00A9305C" w:rsidRDefault="00FB6F8B" w:rsidP="00A053BF">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Folk, R.L., and Ward, W.C. </w:t>
      </w:r>
      <w:r w:rsidR="00A9305C" w:rsidRPr="00A9305C">
        <w:rPr>
          <w:color w:val="000000" w:themeColor="text1"/>
          <w:szCs w:val="24"/>
          <w:lang w:val="en-GB"/>
        </w:rPr>
        <w:t>(</w:t>
      </w:r>
      <w:r w:rsidRPr="00A9305C">
        <w:rPr>
          <w:color w:val="000000" w:themeColor="text1"/>
          <w:szCs w:val="24"/>
          <w:lang w:val="en-GB"/>
        </w:rPr>
        <w:t>1957</w:t>
      </w:r>
      <w:r w:rsidR="00A9305C" w:rsidRPr="00A9305C">
        <w:rPr>
          <w:color w:val="000000" w:themeColor="text1"/>
          <w:szCs w:val="24"/>
          <w:lang w:val="en-GB"/>
        </w:rPr>
        <w:t>).</w:t>
      </w:r>
      <w:r w:rsidRPr="00A9305C">
        <w:rPr>
          <w:color w:val="000000" w:themeColor="text1"/>
          <w:szCs w:val="24"/>
          <w:lang w:val="en-GB"/>
        </w:rPr>
        <w:t xml:space="preserve"> Brazos River bar; a study in the significance of grain size</w:t>
      </w:r>
      <w:r w:rsidR="00A053BF" w:rsidRPr="00A9305C">
        <w:rPr>
          <w:color w:val="000000" w:themeColor="text1"/>
          <w:szCs w:val="24"/>
          <w:lang w:val="en-GB"/>
        </w:rPr>
        <w:t xml:space="preserve"> </w:t>
      </w:r>
      <w:r w:rsidRPr="00A9305C">
        <w:rPr>
          <w:color w:val="000000" w:themeColor="text1"/>
          <w:szCs w:val="24"/>
          <w:lang w:val="en-GB"/>
        </w:rPr>
        <w:t>parameters</w:t>
      </w:r>
      <w:r w:rsidR="00E5736E" w:rsidRPr="00A9305C">
        <w:rPr>
          <w:color w:val="000000" w:themeColor="text1"/>
          <w:szCs w:val="24"/>
          <w:lang w:val="en-GB"/>
        </w:rPr>
        <w:t>:</w:t>
      </w:r>
      <w:r w:rsidRPr="00A9305C">
        <w:rPr>
          <w:color w:val="000000" w:themeColor="text1"/>
          <w:szCs w:val="24"/>
          <w:lang w:val="en-GB"/>
        </w:rPr>
        <w:t xml:space="preserve"> Journal of Sedimentary Petrology, 27(1), 3-26.</w:t>
      </w:r>
    </w:p>
    <w:p w14:paraId="209BD07B" w14:textId="4943DDD2" w:rsidR="00A053BF" w:rsidRPr="00A9305C" w:rsidRDefault="00A053BF" w:rsidP="00A053BF">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Garçon, M.</w:t>
      </w:r>
      <w:r w:rsidR="00A9305C" w:rsidRPr="00A9305C">
        <w:rPr>
          <w:color w:val="000000" w:themeColor="text1"/>
          <w:szCs w:val="24"/>
          <w:lang w:val="en-GB"/>
        </w:rPr>
        <w:t xml:space="preserve"> (</w:t>
      </w:r>
      <w:r w:rsidRPr="00A9305C">
        <w:rPr>
          <w:color w:val="000000" w:themeColor="text1"/>
          <w:szCs w:val="24"/>
          <w:lang w:val="en-GB"/>
        </w:rPr>
        <w:t>2021</w:t>
      </w:r>
      <w:r w:rsidR="00A9305C" w:rsidRPr="00A9305C">
        <w:rPr>
          <w:color w:val="000000" w:themeColor="text1"/>
          <w:szCs w:val="24"/>
          <w:lang w:val="en-GB"/>
        </w:rPr>
        <w:t>).</w:t>
      </w:r>
      <w:r w:rsidRPr="00A9305C">
        <w:rPr>
          <w:color w:val="000000" w:themeColor="text1"/>
          <w:szCs w:val="24"/>
          <w:lang w:val="en-GB"/>
        </w:rPr>
        <w:t xml:space="preserve"> Episodic growth of felsic continents in the past 3.7 Ga: Science Advances, 7(39), p.eabj1807.</w:t>
      </w:r>
    </w:p>
    <w:p w14:paraId="6D76607E" w14:textId="6C6B24FB" w:rsidR="00A053BF" w:rsidRPr="00A9305C" w:rsidRDefault="00A053BF" w:rsidP="00E5736E">
      <w:pPr>
        <w:pStyle w:val="Rientrocorpodeltesto21"/>
        <w:spacing w:after="120"/>
        <w:ind w:left="426" w:right="-142" w:hanging="426"/>
        <w:jc w:val="both"/>
        <w:rPr>
          <w:color w:val="000000" w:themeColor="text1"/>
        </w:rPr>
      </w:pPr>
      <w:r w:rsidRPr="00A9305C">
        <w:rPr>
          <w:color w:val="000000" w:themeColor="text1"/>
          <w:szCs w:val="24"/>
          <w:lang w:val="en-GB"/>
        </w:rPr>
        <w:t xml:space="preserve">Garzanti, E. </w:t>
      </w:r>
      <w:r w:rsidR="00A9305C" w:rsidRPr="00A9305C">
        <w:rPr>
          <w:color w:val="000000" w:themeColor="text1"/>
          <w:szCs w:val="24"/>
          <w:lang w:val="en-GB"/>
        </w:rPr>
        <w:t>(</w:t>
      </w:r>
      <w:r w:rsidRPr="00A9305C">
        <w:rPr>
          <w:color w:val="000000" w:themeColor="text1"/>
          <w:szCs w:val="24"/>
          <w:lang w:val="en-GB"/>
        </w:rPr>
        <w:t>2019</w:t>
      </w:r>
      <w:r w:rsidR="00A9305C" w:rsidRPr="00A9305C">
        <w:rPr>
          <w:color w:val="000000" w:themeColor="text1"/>
          <w:szCs w:val="24"/>
          <w:lang w:val="en-GB"/>
        </w:rPr>
        <w:t>).</w:t>
      </w:r>
      <w:r w:rsidRPr="00A9305C">
        <w:rPr>
          <w:color w:val="000000" w:themeColor="text1"/>
          <w:szCs w:val="24"/>
          <w:lang w:val="en-GB"/>
        </w:rPr>
        <w:t xml:space="preserve"> Petrographic classification of sand and sandstone</w:t>
      </w:r>
      <w:r w:rsidR="00E5736E" w:rsidRPr="00A9305C">
        <w:rPr>
          <w:color w:val="000000" w:themeColor="text1"/>
          <w:szCs w:val="24"/>
          <w:lang w:val="en-GB"/>
        </w:rPr>
        <w:t>:</w:t>
      </w:r>
      <w:r w:rsidRPr="00A9305C">
        <w:rPr>
          <w:color w:val="000000" w:themeColor="text1"/>
          <w:szCs w:val="24"/>
          <w:lang w:val="en-GB"/>
        </w:rPr>
        <w:t xml:space="preserve"> Earth-Science Reviews, 192, 545-563.</w:t>
      </w:r>
      <w:r w:rsidRPr="00A9305C">
        <w:rPr>
          <w:color w:val="000000" w:themeColor="text1"/>
        </w:rPr>
        <w:br w:type="page"/>
      </w:r>
    </w:p>
    <w:p w14:paraId="439C6B08" w14:textId="747BB42D" w:rsidR="008B0E40" w:rsidRPr="00A9305C" w:rsidRDefault="008B0E40" w:rsidP="008B0E40">
      <w:pPr>
        <w:tabs>
          <w:tab w:val="left" w:pos="3686"/>
        </w:tabs>
        <w:spacing w:line="360" w:lineRule="auto"/>
        <w:jc w:val="center"/>
        <w:rPr>
          <w:b/>
          <w:color w:val="000000" w:themeColor="text1"/>
          <w:sz w:val="32"/>
          <w:szCs w:val="32"/>
          <w:lang w:val="en-US"/>
        </w:rPr>
      </w:pPr>
      <w:r w:rsidRPr="00A9305C">
        <w:rPr>
          <w:b/>
          <w:color w:val="000000" w:themeColor="text1"/>
          <w:sz w:val="32"/>
          <w:szCs w:val="32"/>
          <w:lang w:val="en-US"/>
        </w:rPr>
        <w:lastRenderedPageBreak/>
        <w:t xml:space="preserve">APPENDIX </w:t>
      </w:r>
      <w:r w:rsidR="00C81FE4">
        <w:rPr>
          <w:b/>
          <w:color w:val="000000" w:themeColor="text1"/>
          <w:sz w:val="32"/>
          <w:szCs w:val="32"/>
          <w:lang w:val="en-US"/>
        </w:rPr>
        <w:t>S</w:t>
      </w:r>
      <w:r w:rsidR="003E405E">
        <w:rPr>
          <w:b/>
          <w:color w:val="000000" w:themeColor="text1"/>
          <w:sz w:val="32"/>
          <w:szCs w:val="32"/>
          <w:lang w:val="en-US"/>
        </w:rPr>
        <w:t>2</w:t>
      </w:r>
      <w:r w:rsidR="00050E91" w:rsidRPr="00A9305C">
        <w:rPr>
          <w:b/>
          <w:color w:val="000000" w:themeColor="text1"/>
          <w:sz w:val="32"/>
          <w:szCs w:val="32"/>
          <w:lang w:val="en-US"/>
        </w:rPr>
        <w:t xml:space="preserve"> – Geochronological data</w:t>
      </w:r>
    </w:p>
    <w:p w14:paraId="62C2FB07" w14:textId="77777777" w:rsidR="008B0E40" w:rsidRPr="00A9305C" w:rsidRDefault="008B0E40" w:rsidP="008B0E40">
      <w:pPr>
        <w:tabs>
          <w:tab w:val="left" w:pos="3686"/>
        </w:tabs>
        <w:spacing w:line="360" w:lineRule="auto"/>
        <w:jc w:val="both"/>
        <w:rPr>
          <w:b/>
          <w:bCs/>
          <w:color w:val="000000" w:themeColor="text1"/>
          <w:lang w:val="en-US"/>
        </w:rPr>
      </w:pPr>
    </w:p>
    <w:p w14:paraId="51DA14B3" w14:textId="7DE1BCF1" w:rsidR="00A053BF" w:rsidRPr="00A9305C" w:rsidRDefault="00E5736E" w:rsidP="00273223">
      <w:pPr>
        <w:spacing w:line="480" w:lineRule="auto"/>
        <w:jc w:val="both"/>
        <w:rPr>
          <w:color w:val="000000" w:themeColor="text1"/>
          <w:lang w:val="en-GB"/>
        </w:rPr>
      </w:pPr>
      <w:r w:rsidRPr="00A9305C">
        <w:rPr>
          <w:color w:val="000000" w:themeColor="text1"/>
          <w:lang w:val="en-US"/>
        </w:rPr>
        <w:t>The c</w:t>
      </w:r>
      <w:r w:rsidR="00A053BF" w:rsidRPr="00A9305C">
        <w:rPr>
          <w:color w:val="000000" w:themeColor="text1"/>
          <w:lang w:val="en-US"/>
        </w:rPr>
        <w:t xml:space="preserve">omplete </w:t>
      </w:r>
      <w:r w:rsidR="00A053BF" w:rsidRPr="00A9305C">
        <w:rPr>
          <w:color w:val="000000" w:themeColor="text1"/>
          <w:lang w:val="en-GB"/>
        </w:rPr>
        <w:t>geochronological dataset includ</w:t>
      </w:r>
      <w:r w:rsidRPr="00A9305C">
        <w:rPr>
          <w:color w:val="000000" w:themeColor="text1"/>
          <w:lang w:val="en-GB"/>
        </w:rPr>
        <w:t>es</w:t>
      </w:r>
      <w:r w:rsidR="00A053BF" w:rsidRPr="00A9305C">
        <w:rPr>
          <w:color w:val="000000" w:themeColor="text1"/>
          <w:lang w:val="en-GB"/>
        </w:rPr>
        <w:t xml:space="preserve"> 6677 detrital-zircon U-Pb ages (4299 of which considered concordant) from 35 samples of eolian and fluvial sands collected throughout the Niger River catchment from Guinea to the ocean</w:t>
      </w:r>
      <w:r w:rsidR="00050E91" w:rsidRPr="00A9305C">
        <w:rPr>
          <w:color w:val="000000" w:themeColor="text1"/>
          <w:lang w:val="en-GB"/>
        </w:rPr>
        <w:t xml:space="preserve"> (summary of ages provided in </w:t>
      </w:r>
      <w:r w:rsidR="00050E91" w:rsidRPr="00A9305C">
        <w:rPr>
          <w:b/>
          <w:bCs/>
          <w:color w:val="000000" w:themeColor="text1"/>
          <w:lang w:val="en-GB"/>
        </w:rPr>
        <w:t xml:space="preserve">Table </w:t>
      </w:r>
      <w:r w:rsidR="00C81FE4">
        <w:rPr>
          <w:b/>
          <w:bCs/>
          <w:color w:val="000000" w:themeColor="text1"/>
          <w:lang w:val="en-GB"/>
        </w:rPr>
        <w:t>S4</w:t>
      </w:r>
      <w:r w:rsidR="00050E91" w:rsidRPr="00A9305C">
        <w:rPr>
          <w:color w:val="000000" w:themeColor="text1"/>
          <w:lang w:val="en-GB"/>
        </w:rPr>
        <w:t>)</w:t>
      </w:r>
      <w:r w:rsidR="00A053BF" w:rsidRPr="00A9305C">
        <w:rPr>
          <w:color w:val="000000" w:themeColor="text1"/>
          <w:lang w:val="en-GB"/>
        </w:rPr>
        <w:t xml:space="preserve">. </w:t>
      </w:r>
    </w:p>
    <w:p w14:paraId="704FBE4A" w14:textId="00996FDB" w:rsidR="00C03BBF" w:rsidRPr="00A9305C" w:rsidRDefault="00C03BBF" w:rsidP="00273223">
      <w:pPr>
        <w:spacing w:line="480" w:lineRule="auto"/>
        <w:jc w:val="both"/>
        <w:rPr>
          <w:color w:val="000000" w:themeColor="text1"/>
          <w:lang w:val="en-GB"/>
        </w:rPr>
      </w:pPr>
      <w:r w:rsidRPr="00A9305C">
        <w:rPr>
          <w:color w:val="000000" w:themeColor="text1"/>
          <w:lang w:val="en-GB"/>
        </w:rPr>
        <w:t>From the heavy-mineral separate of 32 fluvial sands obtained by wet sieving (15-500 µm fraction) and of 3 bulk samples of eolian-dune sand,</w:t>
      </w:r>
      <w:r w:rsidR="00A053BF" w:rsidRPr="00A9305C">
        <w:rPr>
          <w:color w:val="000000" w:themeColor="text1"/>
          <w:lang w:val="en-GB"/>
        </w:rPr>
        <w:t xml:space="preserve"> detrital zircons were concentrated with standard magnetic techniques, directly mounted in epoxy resin without any operator selection by hand picking and identified by automated phase mapping (Vermeesch et al. 2017) with a Renishaw inVia</w:t>
      </w:r>
      <w:r w:rsidR="00A053BF" w:rsidRPr="00A9305C">
        <w:rPr>
          <w:color w:val="000000" w:themeColor="text1"/>
          <w:vertAlign w:val="superscript"/>
          <w:lang w:val="en-GB"/>
        </w:rPr>
        <w:t>TM</w:t>
      </w:r>
      <w:r w:rsidR="00A053BF" w:rsidRPr="00A9305C">
        <w:rPr>
          <w:color w:val="000000" w:themeColor="text1"/>
          <w:lang w:val="en-GB"/>
        </w:rPr>
        <w:t xml:space="preserve"> Raman microscope. U-Pb zircon ages were determined at the London Geochronology Centre </w:t>
      </w:r>
      <w:r w:rsidR="00654C0C" w:rsidRPr="00A9305C">
        <w:rPr>
          <w:color w:val="000000" w:themeColor="text1"/>
          <w:lang w:val="en-GB"/>
        </w:rPr>
        <w:t>(</w:t>
      </w:r>
      <w:r w:rsidR="00654C0C" w:rsidRPr="00A9305C">
        <w:rPr>
          <w:bCs/>
          <w:color w:val="000000" w:themeColor="text1"/>
          <w:lang w:val="en-US"/>
        </w:rPr>
        <w:t>University College London)</w:t>
      </w:r>
      <w:r w:rsidR="00654C0C" w:rsidRPr="00A9305C">
        <w:rPr>
          <w:color w:val="000000" w:themeColor="text1"/>
          <w:lang w:val="en-GB"/>
        </w:rPr>
        <w:t xml:space="preserve"> </w:t>
      </w:r>
      <w:r w:rsidR="00A053BF" w:rsidRPr="00A9305C">
        <w:rPr>
          <w:color w:val="000000" w:themeColor="text1"/>
          <w:lang w:val="en-GB"/>
        </w:rPr>
        <w:t>using an Agilent 7</w:t>
      </w:r>
      <w:r w:rsidR="00E5736E" w:rsidRPr="00A9305C">
        <w:rPr>
          <w:color w:val="000000" w:themeColor="text1"/>
          <w:lang w:val="en-GB"/>
        </w:rPr>
        <w:t>9</w:t>
      </w:r>
      <w:r w:rsidR="00A053BF" w:rsidRPr="00A9305C">
        <w:rPr>
          <w:color w:val="000000" w:themeColor="text1"/>
          <w:lang w:val="en-GB"/>
        </w:rPr>
        <w:t xml:space="preserve">00 LA-ICP-MS (laser ablation-inductively coupled plasma-mass spectrometry) system, employing a NewWave NWR193 Excimer Laser operated at 10 Hz with a 25 </w:t>
      </w:r>
      <w:r w:rsidR="00A053BF" w:rsidRPr="00A9305C">
        <w:rPr>
          <w:color w:val="000000" w:themeColor="text1"/>
        </w:rPr>
        <w:t>μ</w:t>
      </w:r>
      <w:r w:rsidR="00A053BF" w:rsidRPr="00A9305C">
        <w:rPr>
          <w:color w:val="000000" w:themeColor="text1"/>
          <w:lang w:val="en-GB"/>
        </w:rPr>
        <w:t>m spot size and ~2.2 J/cm</w:t>
      </w:r>
      <w:r w:rsidR="00A053BF" w:rsidRPr="00A9305C">
        <w:rPr>
          <w:color w:val="000000" w:themeColor="text1"/>
          <w:vertAlign w:val="superscript"/>
          <w:lang w:val="en-GB"/>
        </w:rPr>
        <w:t>2</w:t>
      </w:r>
      <w:r w:rsidR="00A053BF" w:rsidRPr="00A9305C">
        <w:rPr>
          <w:color w:val="000000" w:themeColor="text1"/>
          <w:lang w:val="en-GB"/>
        </w:rPr>
        <w:t xml:space="preserve"> fluence. No cathodo-luminescence imaging was done, and the laser spot was always placed blindly in the middle of zircon grains to treat all samples equally and avoid bias in intersample comparison (“blind-dating approach” as discussed in Garzanti et al. 2018). </w:t>
      </w:r>
      <w:r w:rsidR="00A053BF" w:rsidRPr="00A9305C">
        <w:rPr>
          <w:color w:val="000000" w:themeColor="text1"/>
          <w:lang w:val="en-GB" w:eastAsia="en-GB"/>
        </w:rPr>
        <w:t xml:space="preserve">The mass spectrometer data were converted to isotopic ratios using GLITTER 4.4.2 software (Griffin et al. 2008), employing Plešovice zircon (Sláma et al. 2008) as a primary age standard and GJ-1 (Jackson et al. 2004) </w:t>
      </w:r>
      <w:r w:rsidR="004B14A4" w:rsidRPr="00A9305C">
        <w:rPr>
          <w:color w:val="000000" w:themeColor="text1"/>
          <w:lang w:val="en-GB" w:eastAsia="en-GB"/>
        </w:rPr>
        <w:t xml:space="preserve">and </w:t>
      </w:r>
      <w:r w:rsidR="004B14A4" w:rsidRPr="00A9305C">
        <w:rPr>
          <w:bCs/>
          <w:color w:val="000000" w:themeColor="text1"/>
          <w:lang w:val="en-US"/>
        </w:rPr>
        <w:t xml:space="preserve">91500 (Wiedenbeck et al., 2004) </w:t>
      </w:r>
      <w:r w:rsidR="00A053BF" w:rsidRPr="00A9305C">
        <w:rPr>
          <w:color w:val="000000" w:themeColor="text1"/>
          <w:lang w:val="en-GB" w:eastAsia="en-GB"/>
        </w:rPr>
        <w:t>as secondary age standard</w:t>
      </w:r>
      <w:r w:rsidR="004B14A4" w:rsidRPr="00A9305C">
        <w:rPr>
          <w:color w:val="000000" w:themeColor="text1"/>
          <w:lang w:val="en-GB" w:eastAsia="en-GB"/>
        </w:rPr>
        <w:t>s</w:t>
      </w:r>
      <w:r w:rsidR="00A053BF" w:rsidRPr="00A9305C">
        <w:rPr>
          <w:color w:val="000000" w:themeColor="text1"/>
          <w:lang w:val="en-GB" w:eastAsia="en-GB"/>
        </w:rPr>
        <w:t>.</w:t>
      </w:r>
      <w:r w:rsidR="00A053BF" w:rsidRPr="00A9305C">
        <w:rPr>
          <w:color w:val="000000" w:themeColor="text1"/>
          <w:lang w:val="en-GB"/>
        </w:rPr>
        <w:t xml:space="preserve"> A NIST SRM612 glass</w:t>
      </w:r>
      <w:r w:rsidR="00A053BF" w:rsidRPr="00A9305C">
        <w:rPr>
          <w:color w:val="000000" w:themeColor="text1"/>
          <w:lang w:val="en-GB" w:eastAsia="en-GB"/>
        </w:rPr>
        <w:t xml:space="preserve"> was used as a compositional standard for U and Th concentrations. GLITTER files were post-processed using IsoplotR (Vermeesch 2018). </w:t>
      </w:r>
      <w:r w:rsidR="00A053BF" w:rsidRPr="00A9305C">
        <w:rPr>
          <w:color w:val="000000" w:themeColor="text1"/>
          <w:lang w:val="en-GB"/>
        </w:rPr>
        <w:t xml:space="preserve">Concordia ages were calculated as the maximum likelihood intersection between the concordia line and the error ellipse of </w:t>
      </w:r>
      <w:r w:rsidR="00A053BF" w:rsidRPr="00A9305C">
        <w:rPr>
          <w:color w:val="000000" w:themeColor="text1"/>
          <w:vertAlign w:val="superscript"/>
          <w:lang w:val="en-GB"/>
        </w:rPr>
        <w:t>207</w:t>
      </w:r>
      <w:r w:rsidR="00A053BF" w:rsidRPr="00A9305C">
        <w:rPr>
          <w:color w:val="000000" w:themeColor="text1"/>
          <w:lang w:val="en-GB"/>
        </w:rPr>
        <w:t>Pb/</w:t>
      </w:r>
      <w:r w:rsidR="00A053BF" w:rsidRPr="00A9305C">
        <w:rPr>
          <w:color w:val="000000" w:themeColor="text1"/>
          <w:vertAlign w:val="superscript"/>
          <w:lang w:val="en-GB"/>
        </w:rPr>
        <w:t>235</w:t>
      </w:r>
      <w:r w:rsidR="00A053BF" w:rsidRPr="00A9305C">
        <w:rPr>
          <w:color w:val="000000" w:themeColor="text1"/>
          <w:lang w:val="en-GB"/>
        </w:rPr>
        <w:t xml:space="preserve">U and </w:t>
      </w:r>
      <w:r w:rsidR="00A053BF" w:rsidRPr="00A9305C">
        <w:rPr>
          <w:color w:val="000000" w:themeColor="text1"/>
          <w:vertAlign w:val="superscript"/>
          <w:lang w:val="en-GB"/>
        </w:rPr>
        <w:t>206</w:t>
      </w:r>
      <w:r w:rsidR="00A053BF" w:rsidRPr="00A9305C">
        <w:rPr>
          <w:color w:val="000000" w:themeColor="text1"/>
          <w:lang w:val="en-GB"/>
        </w:rPr>
        <w:t>Pb/</w:t>
      </w:r>
      <w:r w:rsidR="00A053BF" w:rsidRPr="00A9305C">
        <w:rPr>
          <w:color w:val="000000" w:themeColor="text1"/>
          <w:vertAlign w:val="superscript"/>
          <w:lang w:val="en-GB"/>
        </w:rPr>
        <w:t>238</w:t>
      </w:r>
      <w:r w:rsidR="00A053BF" w:rsidRPr="00A9305C">
        <w:rPr>
          <w:color w:val="000000" w:themeColor="text1"/>
          <w:lang w:val="en-GB"/>
        </w:rPr>
        <w:t>U (Ludwig 1998). The discordance cutoff was set at -5/+15 (Vermeesch 2021).</w:t>
      </w:r>
    </w:p>
    <w:p w14:paraId="35DF1DC7" w14:textId="0C6D7D05" w:rsidR="00F01F5B" w:rsidRPr="00A9305C" w:rsidRDefault="00A053BF" w:rsidP="00273223">
      <w:pPr>
        <w:spacing w:line="480" w:lineRule="auto"/>
        <w:jc w:val="both"/>
        <w:rPr>
          <w:b/>
          <w:color w:val="000000" w:themeColor="text1"/>
          <w:lang w:val="en-US"/>
        </w:rPr>
      </w:pPr>
      <w:r w:rsidRPr="00A9305C">
        <w:rPr>
          <w:b/>
          <w:color w:val="000000" w:themeColor="text1"/>
          <w:lang w:val="en-GB"/>
        </w:rPr>
        <w:t xml:space="preserve"> </w:t>
      </w:r>
    </w:p>
    <w:p w14:paraId="53F97D29" w14:textId="37F96663" w:rsidR="004B14A4" w:rsidRPr="00A9305C" w:rsidRDefault="004B14A4" w:rsidP="00273223">
      <w:pPr>
        <w:tabs>
          <w:tab w:val="left" w:pos="3686"/>
        </w:tabs>
        <w:spacing w:after="120" w:line="480" w:lineRule="auto"/>
        <w:ind w:right="-79"/>
        <w:jc w:val="both"/>
        <w:rPr>
          <w:b/>
          <w:color w:val="000000" w:themeColor="text1"/>
          <w:lang w:val="en-US"/>
        </w:rPr>
      </w:pPr>
      <w:r w:rsidRPr="00A9305C">
        <w:rPr>
          <w:b/>
          <w:color w:val="000000" w:themeColor="text1"/>
          <w:lang w:val="en-US"/>
        </w:rPr>
        <w:t>Results of the analysis of g</w:t>
      </w:r>
      <w:r w:rsidR="009C2BFF" w:rsidRPr="00A9305C">
        <w:rPr>
          <w:b/>
          <w:color w:val="000000" w:themeColor="text1"/>
          <w:lang w:val="en-US"/>
        </w:rPr>
        <w:t xml:space="preserve">eochronological </w:t>
      </w:r>
      <w:r w:rsidRPr="00A9305C">
        <w:rPr>
          <w:b/>
          <w:color w:val="000000" w:themeColor="text1"/>
          <w:lang w:val="en-US"/>
        </w:rPr>
        <w:t>standards</w:t>
      </w:r>
    </w:p>
    <w:p w14:paraId="4B204269" w14:textId="0A9E4452" w:rsidR="009C2BFF" w:rsidRPr="00A9305C" w:rsidRDefault="00654C0C" w:rsidP="00273223">
      <w:pPr>
        <w:tabs>
          <w:tab w:val="left" w:pos="3686"/>
        </w:tabs>
        <w:spacing w:after="120" w:line="480" w:lineRule="auto"/>
        <w:ind w:right="-79"/>
        <w:jc w:val="both"/>
        <w:rPr>
          <w:bCs/>
          <w:color w:val="000000" w:themeColor="text1"/>
          <w:lang w:val="en-US"/>
        </w:rPr>
      </w:pPr>
      <w:r w:rsidRPr="00A9305C">
        <w:rPr>
          <w:bCs/>
          <w:color w:val="000000" w:themeColor="text1"/>
          <w:lang w:val="en-US"/>
        </w:rPr>
        <w:t>S</w:t>
      </w:r>
      <w:r w:rsidR="009C2BFF" w:rsidRPr="00A9305C">
        <w:rPr>
          <w:bCs/>
          <w:color w:val="000000" w:themeColor="text1"/>
          <w:lang w:val="en-US"/>
        </w:rPr>
        <w:t>econdary standard</w:t>
      </w:r>
      <w:r w:rsidRPr="00A9305C">
        <w:rPr>
          <w:bCs/>
          <w:color w:val="000000" w:themeColor="text1"/>
          <w:lang w:val="en-US"/>
        </w:rPr>
        <w:t>s</w:t>
      </w:r>
      <w:r w:rsidR="009C2BFF" w:rsidRPr="00A9305C">
        <w:rPr>
          <w:bCs/>
          <w:color w:val="000000" w:themeColor="text1"/>
          <w:lang w:val="en-US"/>
        </w:rPr>
        <w:t xml:space="preserve"> GJ1 (Jackson et al., 2004) </w:t>
      </w:r>
      <w:r w:rsidRPr="00A9305C">
        <w:rPr>
          <w:color w:val="000000" w:themeColor="text1"/>
          <w:lang w:val="en-GB" w:eastAsia="en-GB"/>
        </w:rPr>
        <w:t xml:space="preserve">and </w:t>
      </w:r>
      <w:r w:rsidRPr="00A9305C">
        <w:rPr>
          <w:bCs/>
          <w:color w:val="000000" w:themeColor="text1"/>
          <w:lang w:val="en-US"/>
        </w:rPr>
        <w:t xml:space="preserve">91500 (Wiedenbeck et al., 2004) </w:t>
      </w:r>
      <w:r w:rsidR="009C2BFF" w:rsidRPr="00A9305C">
        <w:rPr>
          <w:bCs/>
          <w:color w:val="000000" w:themeColor="text1"/>
          <w:lang w:val="en-US"/>
        </w:rPr>
        <w:t>were routinely employed during isotopic analys</w:t>
      </w:r>
      <w:r w:rsidRPr="00A9305C">
        <w:rPr>
          <w:bCs/>
          <w:color w:val="000000" w:themeColor="text1"/>
          <w:lang w:val="en-US"/>
        </w:rPr>
        <w:t>e</w:t>
      </w:r>
      <w:r w:rsidR="009C2BFF" w:rsidRPr="00A9305C">
        <w:rPr>
          <w:bCs/>
          <w:color w:val="000000" w:themeColor="text1"/>
          <w:lang w:val="en-US"/>
        </w:rPr>
        <w:t xml:space="preserve">s to assess </w:t>
      </w:r>
      <w:r w:rsidRPr="00A9305C">
        <w:rPr>
          <w:bCs/>
          <w:color w:val="000000" w:themeColor="text1"/>
          <w:lang w:val="en-US"/>
        </w:rPr>
        <w:t>data</w:t>
      </w:r>
      <w:r w:rsidR="009C2BFF" w:rsidRPr="00A9305C">
        <w:rPr>
          <w:bCs/>
          <w:color w:val="000000" w:themeColor="text1"/>
          <w:lang w:val="en-US"/>
        </w:rPr>
        <w:t xml:space="preserve"> accuracy. </w:t>
      </w:r>
      <w:r w:rsidRPr="00A9305C">
        <w:rPr>
          <w:bCs/>
          <w:color w:val="000000" w:themeColor="text1"/>
          <w:lang w:val="en-US"/>
        </w:rPr>
        <w:t xml:space="preserve">Out of 66 analyses </w:t>
      </w:r>
      <w:r w:rsidR="009C2BFF" w:rsidRPr="00A9305C">
        <w:rPr>
          <w:bCs/>
          <w:color w:val="000000" w:themeColor="text1"/>
          <w:lang w:val="en-US"/>
        </w:rPr>
        <w:t>of GJ1</w:t>
      </w:r>
      <w:r w:rsidRPr="00A9305C">
        <w:rPr>
          <w:bCs/>
          <w:color w:val="000000" w:themeColor="text1"/>
          <w:lang w:val="en-US"/>
        </w:rPr>
        <w:t xml:space="preserve">, 65 were </w:t>
      </w:r>
      <w:r w:rsidRPr="00A9305C">
        <w:rPr>
          <w:bCs/>
          <w:color w:val="000000" w:themeColor="text1"/>
          <w:lang w:val="en-US"/>
        </w:rPr>
        <w:lastRenderedPageBreak/>
        <w:t>accepted yielding a</w:t>
      </w:r>
      <w:r w:rsidR="009C2BFF" w:rsidRPr="00A9305C">
        <w:rPr>
          <w:bCs/>
          <w:color w:val="000000" w:themeColor="text1"/>
          <w:lang w:val="en-US"/>
        </w:rPr>
        <w:t xml:space="preserve"> weighted mean age </w:t>
      </w:r>
      <w:r w:rsidRPr="00A9305C">
        <w:rPr>
          <w:bCs/>
          <w:color w:val="000000" w:themeColor="text1"/>
          <w:lang w:val="en-US"/>
        </w:rPr>
        <w:t xml:space="preserve">of </w:t>
      </w:r>
      <w:r w:rsidR="009C2BFF" w:rsidRPr="00A9305C">
        <w:rPr>
          <w:bCs/>
          <w:color w:val="000000" w:themeColor="text1"/>
          <w:lang w:val="en-US"/>
        </w:rPr>
        <w:t>592.3</w:t>
      </w:r>
      <w:r w:rsidRPr="00A9305C">
        <w:rPr>
          <w:bCs/>
          <w:color w:val="000000" w:themeColor="text1"/>
          <w:lang w:val="en-US"/>
        </w:rPr>
        <w:t xml:space="preserve"> </w:t>
      </w:r>
      <w:r w:rsidR="009C2BFF" w:rsidRPr="00A9305C">
        <w:rPr>
          <w:bCs/>
          <w:color w:val="000000" w:themeColor="text1"/>
          <w:lang w:val="en-US"/>
        </w:rPr>
        <w:t>±</w:t>
      </w:r>
      <w:r w:rsidRPr="00A9305C">
        <w:rPr>
          <w:bCs/>
          <w:color w:val="000000" w:themeColor="text1"/>
          <w:lang w:val="en-US"/>
        </w:rPr>
        <w:t xml:space="preserve"> </w:t>
      </w:r>
      <w:r w:rsidR="009C2BFF" w:rsidRPr="00A9305C">
        <w:rPr>
          <w:bCs/>
          <w:color w:val="000000" w:themeColor="text1"/>
          <w:lang w:val="en-US"/>
        </w:rPr>
        <w:t xml:space="preserve">0.9 </w:t>
      </w:r>
      <w:r w:rsidRPr="00A9305C">
        <w:rPr>
          <w:bCs/>
          <w:color w:val="000000" w:themeColor="text1"/>
          <w:lang w:val="en-US"/>
        </w:rPr>
        <w:t>(</w:t>
      </w:r>
      <w:r w:rsidR="009C2BFF" w:rsidRPr="00A9305C">
        <w:rPr>
          <w:bCs/>
          <w:color w:val="000000" w:themeColor="text1"/>
          <w:lang w:val="en-US"/>
        </w:rPr>
        <w:t>MSWD</w:t>
      </w:r>
      <w:r w:rsidRPr="00A9305C">
        <w:rPr>
          <w:bCs/>
          <w:color w:val="000000" w:themeColor="text1"/>
          <w:lang w:val="en-US"/>
        </w:rPr>
        <w:t xml:space="preserve"> </w:t>
      </w:r>
      <w:r w:rsidR="009C2BFF" w:rsidRPr="00A9305C">
        <w:rPr>
          <w:bCs/>
          <w:color w:val="000000" w:themeColor="text1"/>
          <w:lang w:val="en-US"/>
        </w:rPr>
        <w:t>2.4</w:t>
      </w:r>
      <w:r w:rsidRPr="00A9305C">
        <w:rPr>
          <w:bCs/>
          <w:color w:val="000000" w:themeColor="text1"/>
          <w:lang w:val="en-US"/>
        </w:rPr>
        <w:t>)</w:t>
      </w:r>
      <w:r w:rsidR="009C2BFF" w:rsidRPr="00A9305C">
        <w:rPr>
          <w:bCs/>
          <w:color w:val="000000" w:themeColor="text1"/>
          <w:lang w:val="en-US"/>
        </w:rPr>
        <w:t xml:space="preserve">. </w:t>
      </w:r>
      <w:r w:rsidRPr="00A9305C">
        <w:rPr>
          <w:bCs/>
          <w:color w:val="000000" w:themeColor="text1"/>
          <w:lang w:val="en-US"/>
        </w:rPr>
        <w:t xml:space="preserve">Out of 18 analyses of </w:t>
      </w:r>
      <w:r w:rsidR="009C2BFF" w:rsidRPr="00A9305C">
        <w:rPr>
          <w:bCs/>
          <w:color w:val="000000" w:themeColor="text1"/>
          <w:lang w:val="en-US"/>
        </w:rPr>
        <w:t>91500</w:t>
      </w:r>
      <w:r w:rsidRPr="00A9305C">
        <w:rPr>
          <w:bCs/>
          <w:color w:val="000000" w:themeColor="text1"/>
          <w:lang w:val="en-US"/>
        </w:rPr>
        <w:t xml:space="preserve">, 16 </w:t>
      </w:r>
      <w:r w:rsidR="00273223" w:rsidRPr="00A9305C">
        <w:rPr>
          <w:noProof/>
          <w:color w:val="000000" w:themeColor="text1"/>
        </w:rPr>
        <w:drawing>
          <wp:anchor distT="0" distB="0" distL="114300" distR="114300" simplePos="0" relativeHeight="251659264" behindDoc="1" locked="0" layoutInCell="1" allowOverlap="1" wp14:anchorId="5ED3C2C2" wp14:editId="2DE3747A">
            <wp:simplePos x="0" y="0"/>
            <wp:positionH relativeFrom="margin">
              <wp:posOffset>955784</wp:posOffset>
            </wp:positionH>
            <wp:positionV relativeFrom="paragraph">
              <wp:posOffset>636339</wp:posOffset>
            </wp:positionV>
            <wp:extent cx="4448134" cy="4457825"/>
            <wp:effectExtent l="0" t="0" r="0" b="0"/>
            <wp:wrapNone/>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48134" cy="4457825"/>
                    </a:xfrm>
                    <a:prstGeom prst="rect">
                      <a:avLst/>
                    </a:prstGeom>
                  </pic:spPr>
                </pic:pic>
              </a:graphicData>
            </a:graphic>
            <wp14:sizeRelH relativeFrom="margin">
              <wp14:pctWidth>0</wp14:pctWidth>
            </wp14:sizeRelH>
            <wp14:sizeRelV relativeFrom="margin">
              <wp14:pctHeight>0</wp14:pctHeight>
            </wp14:sizeRelV>
          </wp:anchor>
        </w:drawing>
      </w:r>
      <w:r w:rsidRPr="00A9305C">
        <w:rPr>
          <w:bCs/>
          <w:color w:val="000000" w:themeColor="text1"/>
          <w:lang w:val="en-US"/>
        </w:rPr>
        <w:t xml:space="preserve">were accepted yielding </w:t>
      </w:r>
      <w:r w:rsidR="009C2BFF" w:rsidRPr="00A9305C">
        <w:rPr>
          <w:bCs/>
          <w:color w:val="000000" w:themeColor="text1"/>
          <w:lang w:val="en-US"/>
        </w:rPr>
        <w:t>a weighted average age of 1022.4</w:t>
      </w:r>
      <w:r w:rsidRPr="00A9305C">
        <w:rPr>
          <w:bCs/>
          <w:color w:val="000000" w:themeColor="text1"/>
          <w:lang w:val="en-US"/>
        </w:rPr>
        <w:t xml:space="preserve"> </w:t>
      </w:r>
      <w:r w:rsidR="009C2BFF" w:rsidRPr="00A9305C">
        <w:rPr>
          <w:bCs/>
          <w:color w:val="000000" w:themeColor="text1"/>
          <w:lang w:val="en-US"/>
        </w:rPr>
        <w:t>±</w:t>
      </w:r>
      <w:r w:rsidRPr="00A9305C">
        <w:rPr>
          <w:bCs/>
          <w:color w:val="000000" w:themeColor="text1"/>
          <w:lang w:val="en-US"/>
        </w:rPr>
        <w:t xml:space="preserve"> </w:t>
      </w:r>
      <w:r w:rsidR="009C2BFF" w:rsidRPr="00A9305C">
        <w:rPr>
          <w:bCs/>
          <w:color w:val="000000" w:themeColor="text1"/>
          <w:lang w:val="en-US"/>
        </w:rPr>
        <w:t>3.1</w:t>
      </w:r>
      <w:r w:rsidRPr="00A9305C">
        <w:rPr>
          <w:bCs/>
          <w:color w:val="000000" w:themeColor="text1"/>
          <w:lang w:val="en-US"/>
        </w:rPr>
        <w:t xml:space="preserve"> (</w:t>
      </w:r>
      <w:r w:rsidR="009C2BFF" w:rsidRPr="00A9305C">
        <w:rPr>
          <w:bCs/>
          <w:color w:val="000000" w:themeColor="text1"/>
          <w:lang w:val="en-US"/>
        </w:rPr>
        <w:t>MSWD</w:t>
      </w:r>
      <w:r w:rsidRPr="00A9305C">
        <w:rPr>
          <w:bCs/>
          <w:color w:val="000000" w:themeColor="text1"/>
          <w:lang w:val="en-US"/>
        </w:rPr>
        <w:t xml:space="preserve"> </w:t>
      </w:r>
      <w:r w:rsidR="009C2BFF" w:rsidRPr="00A9305C">
        <w:rPr>
          <w:bCs/>
          <w:color w:val="000000" w:themeColor="text1"/>
          <w:lang w:val="en-US"/>
        </w:rPr>
        <w:t>0.8</w:t>
      </w:r>
      <w:r w:rsidRPr="00A9305C">
        <w:rPr>
          <w:bCs/>
          <w:color w:val="000000" w:themeColor="text1"/>
          <w:lang w:val="en-US"/>
        </w:rPr>
        <w:t>)</w:t>
      </w:r>
      <w:r w:rsidR="009C2BFF" w:rsidRPr="00A9305C">
        <w:rPr>
          <w:bCs/>
          <w:color w:val="000000" w:themeColor="text1"/>
          <w:lang w:val="en-US"/>
        </w:rPr>
        <w:t xml:space="preserve">. </w:t>
      </w:r>
    </w:p>
    <w:p w14:paraId="2FA080C6" w14:textId="2632EC41" w:rsidR="009C2BFF" w:rsidRPr="00A9305C" w:rsidRDefault="009C2BFF" w:rsidP="00273223">
      <w:pPr>
        <w:tabs>
          <w:tab w:val="left" w:pos="3686"/>
        </w:tabs>
        <w:spacing w:after="120" w:line="480" w:lineRule="auto"/>
        <w:ind w:right="-79"/>
        <w:jc w:val="both"/>
        <w:rPr>
          <w:bCs/>
          <w:color w:val="000000" w:themeColor="text1"/>
          <w:lang w:val="en-US"/>
        </w:rPr>
      </w:pPr>
      <w:r w:rsidRPr="00A9305C">
        <w:rPr>
          <w:bCs/>
          <w:color w:val="000000" w:themeColor="text1"/>
          <w:lang w:val="en-US"/>
        </w:rPr>
        <w:t xml:space="preserve"> </w:t>
      </w:r>
    </w:p>
    <w:p w14:paraId="3B790279" w14:textId="6ABE21FE" w:rsidR="009C2BFF" w:rsidRPr="00A9305C" w:rsidRDefault="009C2BFF" w:rsidP="00273223">
      <w:pPr>
        <w:tabs>
          <w:tab w:val="left" w:pos="3686"/>
        </w:tabs>
        <w:spacing w:after="120" w:line="480" w:lineRule="auto"/>
        <w:ind w:right="-79"/>
        <w:jc w:val="both"/>
        <w:rPr>
          <w:bCs/>
          <w:color w:val="000000" w:themeColor="text1"/>
          <w:lang w:val="en-US"/>
        </w:rPr>
      </w:pPr>
    </w:p>
    <w:p w14:paraId="2C60ADEE" w14:textId="236802CD" w:rsidR="009C2BFF" w:rsidRPr="00A9305C" w:rsidRDefault="009C2BFF" w:rsidP="00273223">
      <w:pPr>
        <w:tabs>
          <w:tab w:val="left" w:pos="3686"/>
        </w:tabs>
        <w:spacing w:after="120" w:line="480" w:lineRule="auto"/>
        <w:ind w:right="-79"/>
        <w:jc w:val="both"/>
        <w:rPr>
          <w:bCs/>
          <w:color w:val="000000" w:themeColor="text1"/>
          <w:lang w:val="en-US"/>
        </w:rPr>
      </w:pPr>
    </w:p>
    <w:p w14:paraId="0ABA22D8" w14:textId="66E56193" w:rsidR="009C2BFF" w:rsidRPr="00A9305C" w:rsidRDefault="009C2BFF" w:rsidP="009C2BFF">
      <w:pPr>
        <w:tabs>
          <w:tab w:val="left" w:pos="3686"/>
        </w:tabs>
        <w:spacing w:after="120" w:line="360" w:lineRule="auto"/>
        <w:ind w:right="-79"/>
        <w:jc w:val="both"/>
        <w:rPr>
          <w:bCs/>
          <w:color w:val="000000" w:themeColor="text1"/>
          <w:lang w:val="en-US"/>
        </w:rPr>
      </w:pPr>
    </w:p>
    <w:p w14:paraId="5C7DC264" w14:textId="0344F930" w:rsidR="004B14A4" w:rsidRPr="00A9305C" w:rsidRDefault="004B14A4" w:rsidP="009C2BFF">
      <w:pPr>
        <w:tabs>
          <w:tab w:val="left" w:pos="3686"/>
        </w:tabs>
        <w:spacing w:after="120" w:line="360" w:lineRule="auto"/>
        <w:ind w:right="-79"/>
        <w:jc w:val="both"/>
        <w:rPr>
          <w:bCs/>
          <w:color w:val="000000" w:themeColor="text1"/>
          <w:lang w:val="en-US"/>
        </w:rPr>
      </w:pPr>
    </w:p>
    <w:p w14:paraId="4D7D95AD" w14:textId="5BB1D64C" w:rsidR="004B14A4" w:rsidRPr="00A9305C" w:rsidRDefault="004B14A4" w:rsidP="009C2BFF">
      <w:pPr>
        <w:tabs>
          <w:tab w:val="left" w:pos="3686"/>
        </w:tabs>
        <w:spacing w:after="120" w:line="360" w:lineRule="auto"/>
        <w:ind w:right="-79"/>
        <w:jc w:val="both"/>
        <w:rPr>
          <w:bCs/>
          <w:color w:val="000000" w:themeColor="text1"/>
          <w:lang w:val="en-US"/>
        </w:rPr>
      </w:pPr>
    </w:p>
    <w:p w14:paraId="757822DF" w14:textId="02D0195C" w:rsidR="004B14A4" w:rsidRPr="00A9305C" w:rsidRDefault="004B14A4" w:rsidP="009C2BFF">
      <w:pPr>
        <w:tabs>
          <w:tab w:val="left" w:pos="3686"/>
        </w:tabs>
        <w:spacing w:after="120" w:line="360" w:lineRule="auto"/>
        <w:ind w:right="-79"/>
        <w:jc w:val="both"/>
        <w:rPr>
          <w:bCs/>
          <w:color w:val="000000" w:themeColor="text1"/>
          <w:lang w:val="en-US"/>
        </w:rPr>
      </w:pPr>
    </w:p>
    <w:p w14:paraId="27049A64" w14:textId="32A21951" w:rsidR="004B14A4" w:rsidRPr="00A9305C" w:rsidRDefault="004B14A4" w:rsidP="009C2BFF">
      <w:pPr>
        <w:tabs>
          <w:tab w:val="left" w:pos="3686"/>
        </w:tabs>
        <w:spacing w:after="120" w:line="360" w:lineRule="auto"/>
        <w:ind w:right="-79"/>
        <w:jc w:val="both"/>
        <w:rPr>
          <w:bCs/>
          <w:color w:val="000000" w:themeColor="text1"/>
          <w:lang w:val="en-US"/>
        </w:rPr>
      </w:pPr>
    </w:p>
    <w:p w14:paraId="009CB554" w14:textId="4CD84E6F" w:rsidR="004B14A4" w:rsidRPr="00A9305C" w:rsidRDefault="004B14A4" w:rsidP="009C2BFF">
      <w:pPr>
        <w:tabs>
          <w:tab w:val="left" w:pos="3686"/>
        </w:tabs>
        <w:spacing w:after="120" w:line="360" w:lineRule="auto"/>
        <w:ind w:right="-79"/>
        <w:jc w:val="both"/>
        <w:rPr>
          <w:bCs/>
          <w:color w:val="000000" w:themeColor="text1"/>
          <w:lang w:val="en-US"/>
        </w:rPr>
      </w:pPr>
    </w:p>
    <w:p w14:paraId="6B53CA69" w14:textId="31610EB5" w:rsidR="004B14A4" w:rsidRPr="00A9305C" w:rsidRDefault="004B14A4" w:rsidP="009C2BFF">
      <w:pPr>
        <w:tabs>
          <w:tab w:val="left" w:pos="3686"/>
        </w:tabs>
        <w:spacing w:after="120" w:line="360" w:lineRule="auto"/>
        <w:ind w:right="-79"/>
        <w:jc w:val="both"/>
        <w:rPr>
          <w:bCs/>
          <w:color w:val="000000" w:themeColor="text1"/>
          <w:lang w:val="en-US"/>
        </w:rPr>
      </w:pPr>
    </w:p>
    <w:p w14:paraId="67446BDC" w14:textId="363BC183" w:rsidR="004B14A4" w:rsidRPr="00A9305C" w:rsidRDefault="004B14A4" w:rsidP="009C2BFF">
      <w:pPr>
        <w:tabs>
          <w:tab w:val="left" w:pos="3686"/>
        </w:tabs>
        <w:spacing w:after="120" w:line="360" w:lineRule="auto"/>
        <w:ind w:right="-79"/>
        <w:jc w:val="both"/>
        <w:rPr>
          <w:bCs/>
          <w:color w:val="000000" w:themeColor="text1"/>
          <w:lang w:val="en-US"/>
        </w:rPr>
      </w:pPr>
    </w:p>
    <w:p w14:paraId="36B101D0" w14:textId="59763AA9" w:rsidR="004B14A4" w:rsidRPr="00A9305C" w:rsidRDefault="00273223" w:rsidP="009C2BFF">
      <w:pPr>
        <w:tabs>
          <w:tab w:val="left" w:pos="3686"/>
        </w:tabs>
        <w:spacing w:after="120" w:line="360" w:lineRule="auto"/>
        <w:ind w:right="-79"/>
        <w:jc w:val="both"/>
        <w:rPr>
          <w:bCs/>
          <w:color w:val="000000" w:themeColor="text1"/>
          <w:lang w:val="en-US"/>
        </w:rPr>
      </w:pPr>
      <w:r w:rsidRPr="00A9305C">
        <w:rPr>
          <w:noProof/>
          <w:color w:val="000000" w:themeColor="text1"/>
        </w:rPr>
        <w:drawing>
          <wp:anchor distT="0" distB="0" distL="114300" distR="114300" simplePos="0" relativeHeight="251658240" behindDoc="1" locked="0" layoutInCell="1" allowOverlap="1" wp14:anchorId="769E7BDF" wp14:editId="5F04BD1F">
            <wp:simplePos x="0" y="0"/>
            <wp:positionH relativeFrom="margin">
              <wp:posOffset>932856</wp:posOffset>
            </wp:positionH>
            <wp:positionV relativeFrom="paragraph">
              <wp:posOffset>223827</wp:posOffset>
            </wp:positionV>
            <wp:extent cx="4744263" cy="4733925"/>
            <wp:effectExtent l="0" t="0" r="0" b="0"/>
            <wp:wrapNone/>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44263" cy="4733925"/>
                    </a:xfrm>
                    <a:prstGeom prst="rect">
                      <a:avLst/>
                    </a:prstGeom>
                  </pic:spPr>
                </pic:pic>
              </a:graphicData>
            </a:graphic>
            <wp14:sizeRelH relativeFrom="margin">
              <wp14:pctWidth>0</wp14:pctWidth>
            </wp14:sizeRelH>
            <wp14:sizeRelV relativeFrom="margin">
              <wp14:pctHeight>0</wp14:pctHeight>
            </wp14:sizeRelV>
          </wp:anchor>
        </w:drawing>
      </w:r>
    </w:p>
    <w:p w14:paraId="5D83DE23" w14:textId="7980B394" w:rsidR="004B14A4" w:rsidRPr="00A9305C" w:rsidRDefault="004B14A4" w:rsidP="009C2BFF">
      <w:pPr>
        <w:tabs>
          <w:tab w:val="left" w:pos="3686"/>
        </w:tabs>
        <w:spacing w:after="120" w:line="360" w:lineRule="auto"/>
        <w:ind w:right="-79"/>
        <w:jc w:val="both"/>
        <w:rPr>
          <w:bCs/>
          <w:color w:val="000000" w:themeColor="text1"/>
          <w:lang w:val="en-US"/>
        </w:rPr>
      </w:pPr>
    </w:p>
    <w:p w14:paraId="0A46B8AA" w14:textId="751AAB07" w:rsidR="004B14A4" w:rsidRPr="00A9305C" w:rsidRDefault="004B14A4" w:rsidP="009C2BFF">
      <w:pPr>
        <w:tabs>
          <w:tab w:val="left" w:pos="3686"/>
        </w:tabs>
        <w:spacing w:after="120" w:line="360" w:lineRule="auto"/>
        <w:ind w:right="-79"/>
        <w:jc w:val="both"/>
        <w:rPr>
          <w:bCs/>
          <w:color w:val="000000" w:themeColor="text1"/>
          <w:lang w:val="en-US"/>
        </w:rPr>
      </w:pPr>
    </w:p>
    <w:p w14:paraId="34EEDEB7" w14:textId="1907EA40" w:rsidR="004B14A4" w:rsidRPr="00A9305C" w:rsidRDefault="004B14A4" w:rsidP="009C2BFF">
      <w:pPr>
        <w:tabs>
          <w:tab w:val="left" w:pos="3686"/>
        </w:tabs>
        <w:spacing w:after="120" w:line="360" w:lineRule="auto"/>
        <w:ind w:right="-79"/>
        <w:jc w:val="both"/>
        <w:rPr>
          <w:bCs/>
          <w:color w:val="000000" w:themeColor="text1"/>
          <w:lang w:val="en-US"/>
        </w:rPr>
      </w:pPr>
    </w:p>
    <w:p w14:paraId="6C604D84" w14:textId="0CF1C508" w:rsidR="004B14A4" w:rsidRPr="00A9305C" w:rsidRDefault="004B14A4" w:rsidP="009C2BFF">
      <w:pPr>
        <w:tabs>
          <w:tab w:val="left" w:pos="3686"/>
        </w:tabs>
        <w:spacing w:after="120" w:line="360" w:lineRule="auto"/>
        <w:ind w:right="-79"/>
        <w:jc w:val="both"/>
        <w:rPr>
          <w:bCs/>
          <w:color w:val="000000" w:themeColor="text1"/>
          <w:lang w:val="en-US"/>
        </w:rPr>
      </w:pPr>
    </w:p>
    <w:p w14:paraId="7580201A" w14:textId="7E137572" w:rsidR="004B14A4" w:rsidRPr="00A9305C" w:rsidRDefault="004B14A4" w:rsidP="009C2BFF">
      <w:pPr>
        <w:tabs>
          <w:tab w:val="left" w:pos="3686"/>
        </w:tabs>
        <w:spacing w:after="120" w:line="360" w:lineRule="auto"/>
        <w:ind w:right="-79"/>
        <w:jc w:val="both"/>
        <w:rPr>
          <w:bCs/>
          <w:color w:val="000000" w:themeColor="text1"/>
          <w:lang w:val="en-US"/>
        </w:rPr>
      </w:pPr>
    </w:p>
    <w:p w14:paraId="2B15A7EA" w14:textId="038240E5" w:rsidR="004B14A4" w:rsidRPr="00A9305C" w:rsidRDefault="004B14A4" w:rsidP="009C2BFF">
      <w:pPr>
        <w:tabs>
          <w:tab w:val="left" w:pos="3686"/>
        </w:tabs>
        <w:spacing w:after="120" w:line="360" w:lineRule="auto"/>
        <w:ind w:right="-79"/>
        <w:jc w:val="both"/>
        <w:rPr>
          <w:bCs/>
          <w:color w:val="000000" w:themeColor="text1"/>
          <w:lang w:val="en-US"/>
        </w:rPr>
      </w:pPr>
    </w:p>
    <w:p w14:paraId="6AE51FC0" w14:textId="4E55C6D3" w:rsidR="00654C0C" w:rsidRPr="00A9305C" w:rsidRDefault="00654C0C" w:rsidP="009C2BFF">
      <w:pPr>
        <w:tabs>
          <w:tab w:val="left" w:pos="3686"/>
        </w:tabs>
        <w:spacing w:after="120" w:line="360" w:lineRule="auto"/>
        <w:ind w:right="-79"/>
        <w:jc w:val="both"/>
        <w:rPr>
          <w:bCs/>
          <w:color w:val="000000" w:themeColor="text1"/>
          <w:lang w:val="en-US"/>
        </w:rPr>
      </w:pPr>
    </w:p>
    <w:p w14:paraId="5ECC9F5B" w14:textId="23B4EF2F" w:rsidR="00654C0C" w:rsidRPr="00A9305C" w:rsidRDefault="00654C0C" w:rsidP="009C2BFF">
      <w:pPr>
        <w:tabs>
          <w:tab w:val="left" w:pos="3686"/>
        </w:tabs>
        <w:spacing w:after="120" w:line="360" w:lineRule="auto"/>
        <w:ind w:right="-79"/>
        <w:jc w:val="both"/>
        <w:rPr>
          <w:bCs/>
          <w:color w:val="000000" w:themeColor="text1"/>
          <w:lang w:val="en-US"/>
        </w:rPr>
      </w:pPr>
    </w:p>
    <w:p w14:paraId="04EB9917" w14:textId="405FCA40" w:rsidR="00654C0C" w:rsidRPr="00A9305C" w:rsidRDefault="00654C0C" w:rsidP="009C2BFF">
      <w:pPr>
        <w:tabs>
          <w:tab w:val="left" w:pos="3686"/>
        </w:tabs>
        <w:spacing w:after="120" w:line="360" w:lineRule="auto"/>
        <w:ind w:right="-79"/>
        <w:jc w:val="both"/>
        <w:rPr>
          <w:bCs/>
          <w:color w:val="000000" w:themeColor="text1"/>
          <w:lang w:val="en-US"/>
        </w:rPr>
      </w:pPr>
    </w:p>
    <w:p w14:paraId="4A0248D8" w14:textId="77777777" w:rsidR="00654C0C" w:rsidRPr="00A9305C" w:rsidRDefault="00654C0C" w:rsidP="009C2BFF">
      <w:pPr>
        <w:tabs>
          <w:tab w:val="left" w:pos="3686"/>
        </w:tabs>
        <w:spacing w:after="120" w:line="360" w:lineRule="auto"/>
        <w:ind w:right="-79"/>
        <w:jc w:val="both"/>
        <w:rPr>
          <w:bCs/>
          <w:color w:val="000000" w:themeColor="text1"/>
          <w:lang w:val="en-US"/>
        </w:rPr>
      </w:pPr>
    </w:p>
    <w:p w14:paraId="32D1537F" w14:textId="77777777" w:rsidR="00654C0C" w:rsidRPr="00A9305C" w:rsidRDefault="00654C0C" w:rsidP="009C2BFF">
      <w:pPr>
        <w:tabs>
          <w:tab w:val="left" w:pos="3686"/>
        </w:tabs>
        <w:spacing w:after="120" w:line="360" w:lineRule="auto"/>
        <w:ind w:right="-79"/>
        <w:jc w:val="both"/>
        <w:rPr>
          <w:bCs/>
          <w:color w:val="000000" w:themeColor="text1"/>
          <w:lang w:val="en-US"/>
        </w:rPr>
      </w:pPr>
    </w:p>
    <w:p w14:paraId="0A5BE3B5" w14:textId="77777777" w:rsidR="00654C0C" w:rsidRPr="00A9305C" w:rsidRDefault="00654C0C" w:rsidP="009C2BFF">
      <w:pPr>
        <w:tabs>
          <w:tab w:val="left" w:pos="3686"/>
        </w:tabs>
        <w:spacing w:after="120" w:line="360" w:lineRule="auto"/>
        <w:ind w:right="-79"/>
        <w:jc w:val="both"/>
        <w:rPr>
          <w:bCs/>
          <w:color w:val="000000" w:themeColor="text1"/>
          <w:lang w:val="en-US"/>
        </w:rPr>
      </w:pPr>
    </w:p>
    <w:p w14:paraId="4B8633A2" w14:textId="7F84C800" w:rsidR="002E70E7" w:rsidRPr="00A9305C" w:rsidRDefault="002E70E7" w:rsidP="009C2BFF">
      <w:pPr>
        <w:tabs>
          <w:tab w:val="left" w:pos="3686"/>
        </w:tabs>
        <w:spacing w:after="120" w:line="360" w:lineRule="auto"/>
        <w:ind w:right="-79"/>
        <w:jc w:val="both"/>
        <w:rPr>
          <w:bCs/>
          <w:color w:val="000000" w:themeColor="text1"/>
          <w:lang w:val="en-US"/>
        </w:rPr>
      </w:pPr>
      <w:r w:rsidRPr="00A9305C">
        <w:rPr>
          <w:bCs/>
          <w:color w:val="000000" w:themeColor="text1"/>
          <w:lang w:val="en-US"/>
        </w:rPr>
        <w:lastRenderedPageBreak/>
        <w:t>CITED REFERENCES</w:t>
      </w:r>
    </w:p>
    <w:p w14:paraId="584BA856" w14:textId="50EF1101" w:rsidR="00D26700" w:rsidRPr="00A9305C" w:rsidRDefault="00D26700"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Garzanti, E., Vermeesch, P., Rittner, M. and Simmons, M. </w:t>
      </w:r>
      <w:r w:rsidR="00A9305C">
        <w:rPr>
          <w:color w:val="000000" w:themeColor="text1"/>
          <w:szCs w:val="24"/>
          <w:lang w:val="en-GB"/>
        </w:rPr>
        <w:t>(</w:t>
      </w:r>
      <w:r w:rsidRPr="00A9305C">
        <w:rPr>
          <w:color w:val="000000" w:themeColor="text1"/>
          <w:szCs w:val="24"/>
          <w:lang w:val="en-GB"/>
        </w:rPr>
        <w:t>2018</w:t>
      </w:r>
      <w:r w:rsidR="00A9305C">
        <w:rPr>
          <w:color w:val="000000" w:themeColor="text1"/>
          <w:szCs w:val="24"/>
          <w:lang w:val="en-GB"/>
        </w:rPr>
        <w:t>).</w:t>
      </w:r>
      <w:r w:rsidRPr="00A9305C">
        <w:rPr>
          <w:color w:val="000000" w:themeColor="text1"/>
          <w:szCs w:val="24"/>
          <w:lang w:val="en-GB"/>
        </w:rPr>
        <w:t xml:space="preserve"> The zircon story of the Nile: Time‐structure maps of source rocks and discontinuous propagation of detrital signals: Basin Research, 30(6), 1098-1117.</w:t>
      </w:r>
    </w:p>
    <w:p w14:paraId="7AB04DD3" w14:textId="3EA9289A"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Griffin, W.L., Powell, W.J., Pearson, N.J., and O’Reilly, S.Y. </w:t>
      </w:r>
      <w:r w:rsidR="00A9305C">
        <w:rPr>
          <w:color w:val="000000" w:themeColor="text1"/>
          <w:szCs w:val="24"/>
          <w:lang w:val="en-GB"/>
        </w:rPr>
        <w:t>(</w:t>
      </w:r>
      <w:r w:rsidRPr="00A9305C">
        <w:rPr>
          <w:color w:val="000000" w:themeColor="text1"/>
          <w:szCs w:val="24"/>
          <w:lang w:val="en-GB"/>
        </w:rPr>
        <w:t>2008</w:t>
      </w:r>
      <w:r w:rsidR="00A9305C">
        <w:rPr>
          <w:color w:val="000000" w:themeColor="text1"/>
          <w:szCs w:val="24"/>
          <w:lang w:val="en-GB"/>
        </w:rPr>
        <w:t>).</w:t>
      </w:r>
      <w:r w:rsidRPr="00A9305C">
        <w:rPr>
          <w:color w:val="000000" w:themeColor="text1"/>
          <w:szCs w:val="24"/>
          <w:lang w:val="en-GB"/>
        </w:rPr>
        <w:t xml:space="preserve"> GLITTER: Data reduction software for laser ablation ICP-MS, in Sylvester, P., ed., Laser ablation-ICP-MS in the Earth Sciences: Current practices and outstanding issues: Mineralogical Association of Canada, Short Course Series 40, 204</w:t>
      </w:r>
      <w:r w:rsidR="00D26700" w:rsidRPr="00A9305C">
        <w:rPr>
          <w:color w:val="000000" w:themeColor="text1"/>
          <w:szCs w:val="24"/>
          <w:lang w:val="en-GB"/>
        </w:rPr>
        <w:t>-</w:t>
      </w:r>
      <w:r w:rsidRPr="00A9305C">
        <w:rPr>
          <w:color w:val="000000" w:themeColor="text1"/>
          <w:szCs w:val="24"/>
          <w:lang w:val="en-GB"/>
        </w:rPr>
        <w:t>207.</w:t>
      </w:r>
    </w:p>
    <w:p w14:paraId="31A908BB" w14:textId="66395F44"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Jackson, S.E., Pearson, N.J., Griffin, W.L., and Belousova, E.A. </w:t>
      </w:r>
      <w:r w:rsidR="00A9305C">
        <w:rPr>
          <w:color w:val="000000" w:themeColor="text1"/>
          <w:szCs w:val="24"/>
          <w:lang w:val="en-GB"/>
        </w:rPr>
        <w:t>(</w:t>
      </w:r>
      <w:r w:rsidRPr="00A9305C">
        <w:rPr>
          <w:color w:val="000000" w:themeColor="text1"/>
          <w:szCs w:val="24"/>
          <w:lang w:val="en-GB"/>
        </w:rPr>
        <w:t>2004</w:t>
      </w:r>
      <w:r w:rsidR="00A9305C">
        <w:rPr>
          <w:color w:val="000000" w:themeColor="text1"/>
          <w:szCs w:val="24"/>
          <w:lang w:val="en-GB"/>
        </w:rPr>
        <w:t>).</w:t>
      </w:r>
      <w:r w:rsidRPr="00A9305C">
        <w:rPr>
          <w:color w:val="000000" w:themeColor="text1"/>
          <w:szCs w:val="24"/>
          <w:lang w:val="en-GB"/>
        </w:rPr>
        <w:t xml:space="preserve"> The application of laser ablation-inductively coupled plasma-mass spectrometry to in situ U–Pb zircon geochronology: Chemical Geology, 211, 47</w:t>
      </w:r>
      <w:r w:rsidR="00D26700" w:rsidRPr="00A9305C">
        <w:rPr>
          <w:color w:val="000000" w:themeColor="text1"/>
          <w:szCs w:val="24"/>
          <w:lang w:val="en-GB"/>
        </w:rPr>
        <w:t>-</w:t>
      </w:r>
      <w:r w:rsidRPr="00A9305C">
        <w:rPr>
          <w:color w:val="000000" w:themeColor="text1"/>
          <w:szCs w:val="24"/>
          <w:lang w:val="en-GB"/>
        </w:rPr>
        <w:t>69.</w:t>
      </w:r>
    </w:p>
    <w:p w14:paraId="7C8D210E" w14:textId="4AFEFDD1"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Ludwig, K.R.</w:t>
      </w:r>
      <w:r w:rsidR="00A9305C">
        <w:rPr>
          <w:color w:val="000000" w:themeColor="text1"/>
          <w:szCs w:val="24"/>
          <w:lang w:val="en-GB"/>
        </w:rPr>
        <w:t xml:space="preserve"> (</w:t>
      </w:r>
      <w:r w:rsidRPr="00A9305C">
        <w:rPr>
          <w:color w:val="000000" w:themeColor="text1"/>
          <w:szCs w:val="24"/>
          <w:lang w:val="en-GB"/>
        </w:rPr>
        <w:t>1998</w:t>
      </w:r>
      <w:r w:rsidR="00A9305C">
        <w:rPr>
          <w:color w:val="000000" w:themeColor="text1"/>
          <w:szCs w:val="24"/>
          <w:lang w:val="en-GB"/>
        </w:rPr>
        <w:t>).</w:t>
      </w:r>
      <w:r w:rsidRPr="00A9305C">
        <w:rPr>
          <w:color w:val="000000" w:themeColor="text1"/>
          <w:szCs w:val="24"/>
          <w:lang w:val="en-GB"/>
        </w:rPr>
        <w:t xml:space="preserve"> On the treatment of concordant uranium-lead ages: Geochimica et Cosmochimica Acta, 62(4), 665-676.</w:t>
      </w:r>
    </w:p>
    <w:p w14:paraId="0284C1A8" w14:textId="3DFB6943"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Sláma, J., Košler, J., Condon, D.J., Crowley, J.L., Gerdes, A., Hanchar, J.M., Horstwood, M.S., Morris, G.A., Nasdala, L., Norberg, N., and Schaltegger, U. </w:t>
      </w:r>
      <w:r w:rsidR="00A9305C">
        <w:rPr>
          <w:color w:val="000000" w:themeColor="text1"/>
          <w:szCs w:val="24"/>
          <w:lang w:val="en-GB"/>
        </w:rPr>
        <w:t>(</w:t>
      </w:r>
      <w:r w:rsidRPr="00A9305C">
        <w:rPr>
          <w:color w:val="000000" w:themeColor="text1"/>
          <w:szCs w:val="24"/>
          <w:lang w:val="en-GB"/>
        </w:rPr>
        <w:t>2008</w:t>
      </w:r>
      <w:r w:rsidR="00A9305C">
        <w:rPr>
          <w:color w:val="000000" w:themeColor="text1"/>
          <w:szCs w:val="24"/>
          <w:lang w:val="en-GB"/>
        </w:rPr>
        <w:t>).</w:t>
      </w:r>
      <w:r w:rsidRPr="00A9305C">
        <w:rPr>
          <w:color w:val="000000" w:themeColor="text1"/>
          <w:szCs w:val="24"/>
          <w:lang w:val="en-GB"/>
        </w:rPr>
        <w:t xml:space="preserve"> Plešovice zircon — a new natural reference material for U–Pb and Hf isotopic microanalysis: Chemical Geology, 249, 1</w:t>
      </w:r>
      <w:r w:rsidR="00D26700" w:rsidRPr="00A9305C">
        <w:rPr>
          <w:color w:val="000000" w:themeColor="text1"/>
          <w:szCs w:val="24"/>
          <w:lang w:val="en-GB"/>
        </w:rPr>
        <w:t>-</w:t>
      </w:r>
      <w:r w:rsidRPr="00A9305C">
        <w:rPr>
          <w:color w:val="000000" w:themeColor="text1"/>
          <w:szCs w:val="24"/>
          <w:lang w:val="en-GB"/>
        </w:rPr>
        <w:t>35.</w:t>
      </w:r>
    </w:p>
    <w:p w14:paraId="2758CF2B" w14:textId="1816A5B5"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Vermeesch, P., </w:t>
      </w:r>
      <w:r w:rsidR="00A9305C">
        <w:rPr>
          <w:color w:val="000000" w:themeColor="text1"/>
          <w:szCs w:val="24"/>
          <w:lang w:val="en-GB"/>
        </w:rPr>
        <w:t>(</w:t>
      </w:r>
      <w:r w:rsidRPr="00A9305C">
        <w:rPr>
          <w:color w:val="000000" w:themeColor="text1"/>
          <w:szCs w:val="24"/>
          <w:lang w:val="en-GB"/>
        </w:rPr>
        <w:t>2018</w:t>
      </w:r>
      <w:r w:rsidR="00A9305C">
        <w:rPr>
          <w:color w:val="000000" w:themeColor="text1"/>
          <w:szCs w:val="24"/>
          <w:lang w:val="en-GB"/>
        </w:rPr>
        <w:t>).</w:t>
      </w:r>
      <w:r w:rsidRPr="00A9305C">
        <w:rPr>
          <w:color w:val="000000" w:themeColor="text1"/>
          <w:szCs w:val="24"/>
          <w:lang w:val="en-GB"/>
        </w:rPr>
        <w:t xml:space="preserve"> IsoplotR: A free and open toolbox for geochronology</w:t>
      </w:r>
      <w:r w:rsidR="00D26700" w:rsidRPr="00A9305C">
        <w:rPr>
          <w:color w:val="000000" w:themeColor="text1"/>
          <w:szCs w:val="24"/>
          <w:lang w:val="en-GB"/>
        </w:rPr>
        <w:t>:</w:t>
      </w:r>
      <w:r w:rsidRPr="00A9305C">
        <w:rPr>
          <w:color w:val="000000" w:themeColor="text1"/>
          <w:szCs w:val="24"/>
          <w:lang w:val="en-GB"/>
        </w:rPr>
        <w:t xml:space="preserve"> Geoscience Frontiers, 9(5), 1479-1493.</w:t>
      </w:r>
    </w:p>
    <w:p w14:paraId="151060DE" w14:textId="6FE5A512" w:rsidR="00C03BBF"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Vermeesch, P. </w:t>
      </w:r>
      <w:r w:rsidR="00A9305C">
        <w:rPr>
          <w:color w:val="000000" w:themeColor="text1"/>
          <w:szCs w:val="24"/>
          <w:lang w:val="en-GB"/>
        </w:rPr>
        <w:t>(</w:t>
      </w:r>
      <w:r w:rsidRPr="00A9305C">
        <w:rPr>
          <w:color w:val="000000" w:themeColor="text1"/>
          <w:szCs w:val="24"/>
          <w:lang w:val="en-GB"/>
        </w:rPr>
        <w:t>2021</w:t>
      </w:r>
      <w:r w:rsidR="00A9305C">
        <w:rPr>
          <w:color w:val="000000" w:themeColor="text1"/>
          <w:szCs w:val="24"/>
          <w:lang w:val="en-GB"/>
        </w:rPr>
        <w:t>).</w:t>
      </w:r>
      <w:r w:rsidRPr="00A9305C">
        <w:rPr>
          <w:color w:val="000000" w:themeColor="text1"/>
          <w:szCs w:val="24"/>
          <w:lang w:val="en-GB"/>
        </w:rPr>
        <w:t xml:space="preserve"> On the treatment of discordant detrital zircon U–Pb data</w:t>
      </w:r>
      <w:r w:rsidR="00D26700" w:rsidRPr="00A9305C">
        <w:rPr>
          <w:color w:val="000000" w:themeColor="text1"/>
          <w:szCs w:val="24"/>
          <w:lang w:val="en-GB"/>
        </w:rPr>
        <w:t>:</w:t>
      </w:r>
      <w:r w:rsidRPr="00A9305C">
        <w:rPr>
          <w:color w:val="000000" w:themeColor="text1"/>
          <w:szCs w:val="24"/>
          <w:lang w:val="en-GB"/>
        </w:rPr>
        <w:t xml:space="preserve"> Geochronology, 3(1), 247-257.</w:t>
      </w:r>
    </w:p>
    <w:p w14:paraId="1FE9DA9B" w14:textId="7DB10392" w:rsidR="00D26700" w:rsidRPr="00A9305C" w:rsidRDefault="00C03BBF" w:rsidP="00D26700">
      <w:pPr>
        <w:pStyle w:val="Rientrocorpodeltesto21"/>
        <w:spacing w:after="120"/>
        <w:ind w:left="426" w:right="-142" w:hanging="426"/>
        <w:jc w:val="both"/>
        <w:rPr>
          <w:color w:val="000000" w:themeColor="text1"/>
          <w:szCs w:val="24"/>
          <w:lang w:val="en-GB"/>
        </w:rPr>
      </w:pPr>
      <w:r w:rsidRPr="00A9305C">
        <w:rPr>
          <w:color w:val="000000" w:themeColor="text1"/>
          <w:szCs w:val="24"/>
          <w:lang w:val="en-GB"/>
        </w:rPr>
        <w:t xml:space="preserve">Vermeesch, P., Rittner, M., Petrou, E., Omma, J., Mattinson, C, </w:t>
      </w:r>
      <w:r w:rsidR="00D26700" w:rsidRPr="00A9305C">
        <w:rPr>
          <w:color w:val="000000" w:themeColor="text1"/>
          <w:szCs w:val="24"/>
          <w:lang w:val="en-GB"/>
        </w:rPr>
        <w:t xml:space="preserve">and </w:t>
      </w:r>
      <w:r w:rsidRPr="00A9305C">
        <w:rPr>
          <w:color w:val="000000" w:themeColor="text1"/>
          <w:szCs w:val="24"/>
          <w:lang w:val="en-GB"/>
        </w:rPr>
        <w:t xml:space="preserve">Garzanti, E. </w:t>
      </w:r>
      <w:r w:rsidR="00A9305C">
        <w:rPr>
          <w:color w:val="000000" w:themeColor="text1"/>
          <w:szCs w:val="24"/>
          <w:lang w:val="en-GB"/>
        </w:rPr>
        <w:t>(</w:t>
      </w:r>
      <w:r w:rsidRPr="00A9305C">
        <w:rPr>
          <w:color w:val="000000" w:themeColor="text1"/>
          <w:szCs w:val="24"/>
          <w:lang w:val="en-GB"/>
        </w:rPr>
        <w:t>2017</w:t>
      </w:r>
      <w:r w:rsidR="00A9305C">
        <w:rPr>
          <w:color w:val="000000" w:themeColor="text1"/>
          <w:szCs w:val="24"/>
          <w:lang w:val="en-GB"/>
        </w:rPr>
        <w:t>).</w:t>
      </w:r>
      <w:r w:rsidRPr="00A9305C">
        <w:rPr>
          <w:color w:val="000000" w:themeColor="text1"/>
          <w:szCs w:val="24"/>
          <w:lang w:val="en-GB"/>
        </w:rPr>
        <w:t xml:space="preserve"> High throughput petrochronology and sedimentary provenance analysis by automated phase mapping and LAICPMS</w:t>
      </w:r>
      <w:r w:rsidR="00D26700" w:rsidRPr="00A9305C">
        <w:rPr>
          <w:color w:val="000000" w:themeColor="text1"/>
          <w:szCs w:val="24"/>
          <w:lang w:val="en-GB"/>
        </w:rPr>
        <w:t>:</w:t>
      </w:r>
      <w:r w:rsidRPr="00A9305C">
        <w:rPr>
          <w:color w:val="000000" w:themeColor="text1"/>
          <w:szCs w:val="24"/>
          <w:lang w:val="en-GB"/>
        </w:rPr>
        <w:t xml:space="preserve"> Geochemistry, Geophysics, Geosystems, 18, doi:10.1002/2017GC007109.</w:t>
      </w:r>
    </w:p>
    <w:p w14:paraId="60B3D051" w14:textId="70FF46BE" w:rsidR="009C2BFF" w:rsidRPr="00A9305C" w:rsidRDefault="009C2BFF" w:rsidP="009C2BFF">
      <w:pPr>
        <w:tabs>
          <w:tab w:val="left" w:pos="3686"/>
        </w:tabs>
        <w:spacing w:after="120" w:line="360" w:lineRule="auto"/>
        <w:ind w:left="426" w:right="-79" w:hanging="426"/>
        <w:jc w:val="both"/>
        <w:rPr>
          <w:color w:val="000000" w:themeColor="text1"/>
          <w:lang w:val="en-GB"/>
        </w:rPr>
      </w:pPr>
      <w:r w:rsidRPr="00A9305C">
        <w:rPr>
          <w:color w:val="000000" w:themeColor="text1"/>
          <w:lang w:val="en-GB"/>
        </w:rPr>
        <w:t>Wiedenbeck, M., Hanchar, J.M., Peck, W.H., Sylvester, P., Valley, J., Whitehouse, M., Kronz, A., Morishita, Y., Nasdala, L., Fiebig, J., Franchi,</w:t>
      </w:r>
      <w:r w:rsidR="00654C0C" w:rsidRPr="00A9305C">
        <w:rPr>
          <w:color w:val="000000" w:themeColor="text1"/>
          <w:lang w:val="en-GB"/>
        </w:rPr>
        <w:t xml:space="preserve"> </w:t>
      </w:r>
      <w:r w:rsidRPr="00A9305C">
        <w:rPr>
          <w:color w:val="000000" w:themeColor="text1"/>
          <w:lang w:val="en-GB"/>
        </w:rPr>
        <w:t xml:space="preserve">I., Girard, J.P., Greenwood, R.C., Hinton, R., Kita, N, Mason, P.R.D., Norman, M., Ogasawara, M., Piccoli, P.M., Rhede, D., Satoh, H., Schulz-Dobrick, B.,  Skår, O., Spicuzza, M.J., Terada, K., Tindle, A., Togashi, S., Vennemann, T., Xie, Q., and Zheng, Y.F. </w:t>
      </w:r>
      <w:r w:rsidR="00A9305C">
        <w:rPr>
          <w:color w:val="000000" w:themeColor="text1"/>
          <w:lang w:val="en-GB"/>
        </w:rPr>
        <w:t>(</w:t>
      </w:r>
      <w:r w:rsidRPr="00A9305C">
        <w:rPr>
          <w:color w:val="000000" w:themeColor="text1"/>
          <w:lang w:val="en-GB"/>
        </w:rPr>
        <w:t>2004</w:t>
      </w:r>
      <w:r w:rsidR="00A9305C">
        <w:rPr>
          <w:color w:val="000000" w:themeColor="text1"/>
          <w:lang w:val="en-GB"/>
        </w:rPr>
        <w:t>).</w:t>
      </w:r>
      <w:r w:rsidRPr="00A9305C">
        <w:rPr>
          <w:color w:val="000000" w:themeColor="text1"/>
          <w:lang w:val="en-GB"/>
        </w:rPr>
        <w:t xml:space="preserve"> Further characterisation of the 91500 zircon crystal. Geostandards and Geoanalytical Research, 28, 9-39.</w:t>
      </w:r>
    </w:p>
    <w:p w14:paraId="6D37D1CF" w14:textId="1178D5DB" w:rsidR="009C2BFF" w:rsidRPr="00A9305C" w:rsidRDefault="009C2BFF">
      <w:pPr>
        <w:rPr>
          <w:color w:val="000000" w:themeColor="text1"/>
          <w:lang w:val="en-GB"/>
        </w:rPr>
      </w:pPr>
      <w:r w:rsidRPr="00A9305C">
        <w:rPr>
          <w:color w:val="000000" w:themeColor="text1"/>
          <w:lang w:val="en-GB"/>
        </w:rPr>
        <w:br w:type="page"/>
      </w:r>
    </w:p>
    <w:p w14:paraId="58D5FB5F" w14:textId="58897955" w:rsidR="00D26700" w:rsidRPr="00A9305C" w:rsidRDefault="00D26700" w:rsidP="00D26700">
      <w:pPr>
        <w:tabs>
          <w:tab w:val="left" w:pos="3686"/>
        </w:tabs>
        <w:spacing w:line="360" w:lineRule="auto"/>
        <w:jc w:val="center"/>
        <w:rPr>
          <w:b/>
          <w:color w:val="000000" w:themeColor="text1"/>
          <w:sz w:val="32"/>
          <w:szCs w:val="32"/>
          <w:lang w:val="en-US"/>
        </w:rPr>
      </w:pPr>
      <w:r w:rsidRPr="00A9305C">
        <w:rPr>
          <w:b/>
          <w:color w:val="000000" w:themeColor="text1"/>
          <w:sz w:val="32"/>
          <w:szCs w:val="32"/>
          <w:lang w:val="en-US"/>
        </w:rPr>
        <w:lastRenderedPageBreak/>
        <w:t xml:space="preserve">APPENDIX </w:t>
      </w:r>
      <w:r w:rsidR="00C81FE4">
        <w:rPr>
          <w:b/>
          <w:color w:val="000000" w:themeColor="text1"/>
          <w:sz w:val="32"/>
          <w:szCs w:val="32"/>
          <w:lang w:val="en-US"/>
        </w:rPr>
        <w:t>S3</w:t>
      </w:r>
      <w:r w:rsidR="00050E91" w:rsidRPr="00A9305C">
        <w:rPr>
          <w:b/>
          <w:color w:val="000000" w:themeColor="text1"/>
          <w:sz w:val="32"/>
          <w:szCs w:val="32"/>
          <w:lang w:val="en-US"/>
        </w:rPr>
        <w:t xml:space="preserve"> – Compiled bedrock ages</w:t>
      </w:r>
    </w:p>
    <w:p w14:paraId="7E6715A8" w14:textId="77777777" w:rsidR="00F16E43" w:rsidRPr="00A9305C" w:rsidRDefault="00F16E43" w:rsidP="00D26700">
      <w:pPr>
        <w:tabs>
          <w:tab w:val="left" w:pos="3686"/>
        </w:tabs>
        <w:spacing w:line="360" w:lineRule="auto"/>
        <w:jc w:val="center"/>
        <w:rPr>
          <w:b/>
          <w:color w:val="000000" w:themeColor="text1"/>
          <w:sz w:val="32"/>
          <w:szCs w:val="32"/>
          <w:lang w:val="en-US"/>
        </w:rPr>
      </w:pPr>
    </w:p>
    <w:p w14:paraId="41B99D35" w14:textId="7A57ECBA" w:rsidR="00F16E43" w:rsidRPr="00A9305C" w:rsidRDefault="00E5736E" w:rsidP="00F16E43">
      <w:pPr>
        <w:spacing w:line="360" w:lineRule="auto"/>
        <w:jc w:val="both"/>
        <w:rPr>
          <w:color w:val="000000" w:themeColor="text1"/>
          <w:lang w:val="en-US"/>
        </w:rPr>
      </w:pPr>
      <w:r w:rsidRPr="00A9305C">
        <w:rPr>
          <w:color w:val="000000" w:themeColor="text1"/>
          <w:lang w:val="en-US"/>
        </w:rPr>
        <w:t>The d</w:t>
      </w:r>
      <w:r w:rsidR="00F16E43" w:rsidRPr="00A9305C">
        <w:rPr>
          <w:color w:val="000000" w:themeColor="text1"/>
          <w:lang w:val="en-US"/>
        </w:rPr>
        <w:t xml:space="preserve">ataset </w:t>
      </w:r>
      <w:r w:rsidRPr="00A9305C">
        <w:rPr>
          <w:color w:val="000000" w:themeColor="text1"/>
          <w:lang w:val="en-US"/>
        </w:rPr>
        <w:t xml:space="preserve">contains </w:t>
      </w:r>
      <w:r w:rsidR="00F16E43" w:rsidRPr="00A9305C">
        <w:rPr>
          <w:color w:val="000000" w:themeColor="text1"/>
          <w:lang w:val="en-US"/>
        </w:rPr>
        <w:t>496 U-Pb, Rb-Sr, Sm-Nd, and K-Ar ages of igneous and metamorphic rocks exposed in diverse domains of the West African Craton</w:t>
      </w:r>
      <w:r w:rsidRPr="00A9305C">
        <w:rPr>
          <w:color w:val="000000" w:themeColor="text1"/>
          <w:lang w:val="en-US"/>
        </w:rPr>
        <w:t xml:space="preserve">, </w:t>
      </w:r>
      <w:r w:rsidR="00F16E43" w:rsidRPr="00A9305C">
        <w:rPr>
          <w:color w:val="000000" w:themeColor="text1"/>
          <w:lang w:val="en-US"/>
        </w:rPr>
        <w:t>compiled from 107 literature sources</w:t>
      </w:r>
      <w:r w:rsidR="00050E91" w:rsidRPr="00A9305C">
        <w:rPr>
          <w:color w:val="000000" w:themeColor="text1"/>
          <w:lang w:val="en-US"/>
        </w:rPr>
        <w:t xml:space="preserve">. Geological domains, ages and methods </w:t>
      </w:r>
      <w:r w:rsidRPr="00A9305C">
        <w:rPr>
          <w:color w:val="000000" w:themeColor="text1"/>
          <w:lang w:val="en-US"/>
        </w:rPr>
        <w:t xml:space="preserve">are </w:t>
      </w:r>
      <w:r w:rsidR="00050E91" w:rsidRPr="00A9305C">
        <w:rPr>
          <w:color w:val="000000" w:themeColor="text1"/>
          <w:lang w:val="en-US"/>
        </w:rPr>
        <w:t xml:space="preserve">provided in </w:t>
      </w:r>
      <w:r w:rsidR="00050E91" w:rsidRPr="00A9305C">
        <w:rPr>
          <w:b/>
          <w:bCs/>
          <w:color w:val="000000" w:themeColor="text1"/>
          <w:lang w:val="en-US"/>
        </w:rPr>
        <w:t xml:space="preserve">Table </w:t>
      </w:r>
      <w:r w:rsidR="00C81FE4">
        <w:rPr>
          <w:b/>
          <w:bCs/>
          <w:color w:val="000000" w:themeColor="text1"/>
          <w:lang w:val="en-US"/>
        </w:rPr>
        <w:t>S5</w:t>
      </w:r>
      <w:r w:rsidR="00050E91" w:rsidRPr="00A9305C">
        <w:rPr>
          <w:color w:val="000000" w:themeColor="text1"/>
          <w:lang w:val="en-US"/>
        </w:rPr>
        <w:t xml:space="preserve">; full </w:t>
      </w:r>
      <w:r w:rsidR="00F16E43" w:rsidRPr="00A9305C">
        <w:rPr>
          <w:color w:val="000000" w:themeColor="text1"/>
          <w:lang w:val="en-US"/>
        </w:rPr>
        <w:t>references</w:t>
      </w:r>
      <w:r w:rsidR="00050E91" w:rsidRPr="00A9305C">
        <w:rPr>
          <w:color w:val="000000" w:themeColor="text1"/>
          <w:lang w:val="en-US"/>
        </w:rPr>
        <w:t xml:space="preserve"> provided in </w:t>
      </w:r>
      <w:r w:rsidR="00050E91" w:rsidRPr="00A9305C">
        <w:rPr>
          <w:b/>
          <w:bCs/>
          <w:color w:val="000000" w:themeColor="text1"/>
          <w:lang w:val="en-US"/>
        </w:rPr>
        <w:t xml:space="preserve">Table </w:t>
      </w:r>
      <w:r w:rsidR="00C81FE4">
        <w:rPr>
          <w:b/>
          <w:bCs/>
          <w:color w:val="000000" w:themeColor="text1"/>
          <w:lang w:val="en-US"/>
        </w:rPr>
        <w:t>S6</w:t>
      </w:r>
      <w:r w:rsidR="00050E91" w:rsidRPr="00A9305C">
        <w:rPr>
          <w:color w:val="000000" w:themeColor="text1"/>
          <w:lang w:val="en-US"/>
        </w:rPr>
        <w:t>.</w:t>
      </w:r>
      <w:r w:rsidR="00F16E43" w:rsidRPr="00A9305C">
        <w:rPr>
          <w:color w:val="000000" w:themeColor="text1"/>
          <w:lang w:val="en-US"/>
        </w:rPr>
        <w:t xml:space="preserve"> </w:t>
      </w:r>
    </w:p>
    <w:p w14:paraId="4D265CBF" w14:textId="77777777" w:rsidR="00F16E43" w:rsidRPr="00A9305C" w:rsidRDefault="00F16E43" w:rsidP="00F16E43">
      <w:pPr>
        <w:spacing w:line="360" w:lineRule="auto"/>
        <w:jc w:val="both"/>
        <w:rPr>
          <w:color w:val="000000" w:themeColor="text1"/>
          <w:lang w:val="en-US"/>
        </w:rPr>
      </w:pPr>
    </w:p>
    <w:p w14:paraId="16E03EFA" w14:textId="77777777" w:rsidR="00F16E43" w:rsidRPr="00A9305C" w:rsidRDefault="00F16E43" w:rsidP="00F16E43">
      <w:pPr>
        <w:pStyle w:val="Default"/>
        <w:spacing w:line="360" w:lineRule="auto"/>
        <w:ind w:right="-1"/>
        <w:jc w:val="both"/>
        <w:rPr>
          <w:rFonts w:ascii="Times New Roman" w:hAnsi="Times New Roman" w:cs="Times New Roman"/>
          <w:color w:val="000000" w:themeColor="text1"/>
          <w:lang w:val="en-US"/>
        </w:rPr>
      </w:pPr>
    </w:p>
    <w:sectPr w:rsidR="00F16E43" w:rsidRPr="00A9305C" w:rsidSect="008B0E40">
      <w:headerReference w:type="default" r:id="rId10"/>
      <w:pgSz w:w="11906" w:h="16838" w:code="9"/>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3947" w14:textId="77777777" w:rsidR="008D2B00" w:rsidRDefault="008D2B00" w:rsidP="008B0E40">
      <w:r>
        <w:separator/>
      </w:r>
    </w:p>
  </w:endnote>
  <w:endnote w:type="continuationSeparator" w:id="0">
    <w:p w14:paraId="2856FA2D" w14:textId="77777777" w:rsidR="008D2B00" w:rsidRDefault="008D2B00" w:rsidP="008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20B0604020202020204"/>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0DF8" w14:textId="77777777" w:rsidR="008D2B00" w:rsidRDefault="008D2B00" w:rsidP="008B0E40">
      <w:r>
        <w:separator/>
      </w:r>
    </w:p>
  </w:footnote>
  <w:footnote w:type="continuationSeparator" w:id="0">
    <w:p w14:paraId="3FA589EA" w14:textId="77777777" w:rsidR="008D2B00" w:rsidRDefault="008D2B00" w:rsidP="008B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88966"/>
      <w:docPartObj>
        <w:docPartGallery w:val="Page Numbers (Top of Page)"/>
        <w:docPartUnique/>
      </w:docPartObj>
    </w:sdtPr>
    <w:sdtContent>
      <w:p w14:paraId="0054A04A" w14:textId="77777777" w:rsidR="008B0E40" w:rsidRDefault="008B0E40">
        <w:pPr>
          <w:pStyle w:val="Header"/>
          <w:jc w:val="right"/>
        </w:pPr>
        <w:r>
          <w:fldChar w:fldCharType="begin"/>
        </w:r>
        <w:r>
          <w:instrText>PAGE   \* MERGEFORMAT</w:instrText>
        </w:r>
        <w:r>
          <w:fldChar w:fldCharType="separate"/>
        </w:r>
        <w:r>
          <w:t>2</w:t>
        </w:r>
        <w:r>
          <w:fldChar w:fldCharType="end"/>
        </w:r>
      </w:p>
    </w:sdtContent>
  </w:sdt>
  <w:p w14:paraId="4995EC28" w14:textId="77777777" w:rsidR="008B0E40" w:rsidRDefault="008B0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40740"/>
    <w:multiLevelType w:val="hybridMultilevel"/>
    <w:tmpl w:val="970C0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355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54"/>
    <w:rsid w:val="00024502"/>
    <w:rsid w:val="000302E2"/>
    <w:rsid w:val="00040BBD"/>
    <w:rsid w:val="00050E91"/>
    <w:rsid w:val="00053106"/>
    <w:rsid w:val="00060EA0"/>
    <w:rsid w:val="000658A3"/>
    <w:rsid w:val="00066A4A"/>
    <w:rsid w:val="00080C78"/>
    <w:rsid w:val="00093482"/>
    <w:rsid w:val="000A37B7"/>
    <w:rsid w:val="000B72EF"/>
    <w:rsid w:val="000C2FE7"/>
    <w:rsid w:val="000C4041"/>
    <w:rsid w:val="000D0C3B"/>
    <w:rsid w:val="000D1E42"/>
    <w:rsid w:val="000E4437"/>
    <w:rsid w:val="000E7DE9"/>
    <w:rsid w:val="00104D5A"/>
    <w:rsid w:val="00110D4D"/>
    <w:rsid w:val="001124AB"/>
    <w:rsid w:val="00115A3C"/>
    <w:rsid w:val="001242DE"/>
    <w:rsid w:val="001277C5"/>
    <w:rsid w:val="0013165B"/>
    <w:rsid w:val="0014795B"/>
    <w:rsid w:val="00167021"/>
    <w:rsid w:val="00167608"/>
    <w:rsid w:val="00194D6B"/>
    <w:rsid w:val="001B6367"/>
    <w:rsid w:val="001C1823"/>
    <w:rsid w:val="001D4BCC"/>
    <w:rsid w:val="001D5FBD"/>
    <w:rsid w:val="001D70B7"/>
    <w:rsid w:val="001E6D19"/>
    <w:rsid w:val="00205A1E"/>
    <w:rsid w:val="00210755"/>
    <w:rsid w:val="002152CD"/>
    <w:rsid w:val="002205E9"/>
    <w:rsid w:val="0022489F"/>
    <w:rsid w:val="00234D78"/>
    <w:rsid w:val="002417CF"/>
    <w:rsid w:val="00257BFF"/>
    <w:rsid w:val="00273223"/>
    <w:rsid w:val="00287375"/>
    <w:rsid w:val="002975D6"/>
    <w:rsid w:val="002A40F9"/>
    <w:rsid w:val="002B1178"/>
    <w:rsid w:val="002B3DF6"/>
    <w:rsid w:val="002E64BC"/>
    <w:rsid w:val="002E70E7"/>
    <w:rsid w:val="002F5F83"/>
    <w:rsid w:val="0030205F"/>
    <w:rsid w:val="003057C1"/>
    <w:rsid w:val="003133C0"/>
    <w:rsid w:val="00327F17"/>
    <w:rsid w:val="00333CCE"/>
    <w:rsid w:val="00336066"/>
    <w:rsid w:val="00340A22"/>
    <w:rsid w:val="00351312"/>
    <w:rsid w:val="00351697"/>
    <w:rsid w:val="00357154"/>
    <w:rsid w:val="00390116"/>
    <w:rsid w:val="00397632"/>
    <w:rsid w:val="003A0940"/>
    <w:rsid w:val="003A0C37"/>
    <w:rsid w:val="003B1ABD"/>
    <w:rsid w:val="003B6AB6"/>
    <w:rsid w:val="003D32CB"/>
    <w:rsid w:val="003D5A7E"/>
    <w:rsid w:val="003E2F0F"/>
    <w:rsid w:val="003E405E"/>
    <w:rsid w:val="003F69B6"/>
    <w:rsid w:val="00460249"/>
    <w:rsid w:val="0047389F"/>
    <w:rsid w:val="00481172"/>
    <w:rsid w:val="004874E6"/>
    <w:rsid w:val="004B135E"/>
    <w:rsid w:val="004B14A4"/>
    <w:rsid w:val="004B1F89"/>
    <w:rsid w:val="004B4671"/>
    <w:rsid w:val="004C1743"/>
    <w:rsid w:val="004C20D1"/>
    <w:rsid w:val="004D6C11"/>
    <w:rsid w:val="0050209E"/>
    <w:rsid w:val="00522E30"/>
    <w:rsid w:val="005277B2"/>
    <w:rsid w:val="005349AB"/>
    <w:rsid w:val="005366BD"/>
    <w:rsid w:val="00542EB7"/>
    <w:rsid w:val="005937CF"/>
    <w:rsid w:val="005B515E"/>
    <w:rsid w:val="005E72B7"/>
    <w:rsid w:val="00645CE2"/>
    <w:rsid w:val="00652A54"/>
    <w:rsid w:val="006535D1"/>
    <w:rsid w:val="00653BBC"/>
    <w:rsid w:val="00654C0C"/>
    <w:rsid w:val="00663EC2"/>
    <w:rsid w:val="006720EC"/>
    <w:rsid w:val="00673ED3"/>
    <w:rsid w:val="006939CD"/>
    <w:rsid w:val="006955E4"/>
    <w:rsid w:val="006A0875"/>
    <w:rsid w:val="006A52C5"/>
    <w:rsid w:val="006B72A7"/>
    <w:rsid w:val="006C13C8"/>
    <w:rsid w:val="006C2B45"/>
    <w:rsid w:val="006E5751"/>
    <w:rsid w:val="007260F6"/>
    <w:rsid w:val="00732485"/>
    <w:rsid w:val="007350C0"/>
    <w:rsid w:val="00737FFB"/>
    <w:rsid w:val="00753284"/>
    <w:rsid w:val="00770DDB"/>
    <w:rsid w:val="007813D9"/>
    <w:rsid w:val="007845C0"/>
    <w:rsid w:val="00785A8F"/>
    <w:rsid w:val="0079600F"/>
    <w:rsid w:val="007A3255"/>
    <w:rsid w:val="007B7A53"/>
    <w:rsid w:val="007C109C"/>
    <w:rsid w:val="007D5FA4"/>
    <w:rsid w:val="007E2E33"/>
    <w:rsid w:val="008075AA"/>
    <w:rsid w:val="00824B61"/>
    <w:rsid w:val="00833F57"/>
    <w:rsid w:val="00834908"/>
    <w:rsid w:val="008602FB"/>
    <w:rsid w:val="00885954"/>
    <w:rsid w:val="00886422"/>
    <w:rsid w:val="0089632A"/>
    <w:rsid w:val="008B0E40"/>
    <w:rsid w:val="008B5305"/>
    <w:rsid w:val="008C35B5"/>
    <w:rsid w:val="008C656D"/>
    <w:rsid w:val="008D2B00"/>
    <w:rsid w:val="008F6A9B"/>
    <w:rsid w:val="009044A8"/>
    <w:rsid w:val="00910D42"/>
    <w:rsid w:val="0091484E"/>
    <w:rsid w:val="0092173A"/>
    <w:rsid w:val="009273EE"/>
    <w:rsid w:val="00930324"/>
    <w:rsid w:val="00931244"/>
    <w:rsid w:val="00944B30"/>
    <w:rsid w:val="00957A4E"/>
    <w:rsid w:val="00973099"/>
    <w:rsid w:val="00990BA6"/>
    <w:rsid w:val="00994394"/>
    <w:rsid w:val="009A532B"/>
    <w:rsid w:val="009A611F"/>
    <w:rsid w:val="009B2A94"/>
    <w:rsid w:val="009B3393"/>
    <w:rsid w:val="009B4078"/>
    <w:rsid w:val="009C2BFF"/>
    <w:rsid w:val="009D049B"/>
    <w:rsid w:val="009D1FBF"/>
    <w:rsid w:val="009E08F9"/>
    <w:rsid w:val="009E5F84"/>
    <w:rsid w:val="009F1E09"/>
    <w:rsid w:val="009F3A0C"/>
    <w:rsid w:val="00A053BF"/>
    <w:rsid w:val="00A330CC"/>
    <w:rsid w:val="00A42104"/>
    <w:rsid w:val="00A57434"/>
    <w:rsid w:val="00A61E51"/>
    <w:rsid w:val="00A9305C"/>
    <w:rsid w:val="00A96A65"/>
    <w:rsid w:val="00AA76BF"/>
    <w:rsid w:val="00AC36CD"/>
    <w:rsid w:val="00AD06A3"/>
    <w:rsid w:val="00AD14AF"/>
    <w:rsid w:val="00AE1DE3"/>
    <w:rsid w:val="00AF77C7"/>
    <w:rsid w:val="00B01EE7"/>
    <w:rsid w:val="00B0397B"/>
    <w:rsid w:val="00B114A7"/>
    <w:rsid w:val="00B13264"/>
    <w:rsid w:val="00B16ACD"/>
    <w:rsid w:val="00B36A5C"/>
    <w:rsid w:val="00B44283"/>
    <w:rsid w:val="00B56ECE"/>
    <w:rsid w:val="00B57515"/>
    <w:rsid w:val="00B643C3"/>
    <w:rsid w:val="00BA3228"/>
    <w:rsid w:val="00BA3CDD"/>
    <w:rsid w:val="00BA78C4"/>
    <w:rsid w:val="00BB0641"/>
    <w:rsid w:val="00BB2F9C"/>
    <w:rsid w:val="00BC6980"/>
    <w:rsid w:val="00BE1D00"/>
    <w:rsid w:val="00BF6136"/>
    <w:rsid w:val="00C00529"/>
    <w:rsid w:val="00C03BBF"/>
    <w:rsid w:val="00C0664D"/>
    <w:rsid w:val="00C11714"/>
    <w:rsid w:val="00C13AB4"/>
    <w:rsid w:val="00C23A4B"/>
    <w:rsid w:val="00C30647"/>
    <w:rsid w:val="00C364CF"/>
    <w:rsid w:val="00C3755C"/>
    <w:rsid w:val="00C66EA2"/>
    <w:rsid w:val="00C67A43"/>
    <w:rsid w:val="00C81FE4"/>
    <w:rsid w:val="00C954F7"/>
    <w:rsid w:val="00C97BC4"/>
    <w:rsid w:val="00CA2446"/>
    <w:rsid w:val="00CB44D4"/>
    <w:rsid w:val="00CC4025"/>
    <w:rsid w:val="00CC76D5"/>
    <w:rsid w:val="00CE4641"/>
    <w:rsid w:val="00D02D02"/>
    <w:rsid w:val="00D06FC0"/>
    <w:rsid w:val="00D073FE"/>
    <w:rsid w:val="00D132FD"/>
    <w:rsid w:val="00D15B93"/>
    <w:rsid w:val="00D26700"/>
    <w:rsid w:val="00D30EE1"/>
    <w:rsid w:val="00D32D7E"/>
    <w:rsid w:val="00D346ED"/>
    <w:rsid w:val="00D4666C"/>
    <w:rsid w:val="00D4744C"/>
    <w:rsid w:val="00D608A6"/>
    <w:rsid w:val="00D71082"/>
    <w:rsid w:val="00D72005"/>
    <w:rsid w:val="00D8499F"/>
    <w:rsid w:val="00D95BD5"/>
    <w:rsid w:val="00DB28EA"/>
    <w:rsid w:val="00DB32E4"/>
    <w:rsid w:val="00DC0D23"/>
    <w:rsid w:val="00DC6A07"/>
    <w:rsid w:val="00DD0C0A"/>
    <w:rsid w:val="00DD2361"/>
    <w:rsid w:val="00DE131A"/>
    <w:rsid w:val="00DF7DA1"/>
    <w:rsid w:val="00E05CC2"/>
    <w:rsid w:val="00E0676B"/>
    <w:rsid w:val="00E06A3E"/>
    <w:rsid w:val="00E26A7A"/>
    <w:rsid w:val="00E27BDF"/>
    <w:rsid w:val="00E305A5"/>
    <w:rsid w:val="00E5736E"/>
    <w:rsid w:val="00EA64AB"/>
    <w:rsid w:val="00EB73C9"/>
    <w:rsid w:val="00EC5290"/>
    <w:rsid w:val="00ED3C44"/>
    <w:rsid w:val="00ED6103"/>
    <w:rsid w:val="00F01F5B"/>
    <w:rsid w:val="00F133EC"/>
    <w:rsid w:val="00F16E43"/>
    <w:rsid w:val="00F17955"/>
    <w:rsid w:val="00F20E68"/>
    <w:rsid w:val="00F4143A"/>
    <w:rsid w:val="00F46384"/>
    <w:rsid w:val="00F5182D"/>
    <w:rsid w:val="00F542D2"/>
    <w:rsid w:val="00F738FC"/>
    <w:rsid w:val="00F824C5"/>
    <w:rsid w:val="00F94BD5"/>
    <w:rsid w:val="00FA1522"/>
    <w:rsid w:val="00FA6252"/>
    <w:rsid w:val="00FB5100"/>
    <w:rsid w:val="00FB6F8B"/>
    <w:rsid w:val="00FC1D88"/>
    <w:rsid w:val="00FC2FDD"/>
    <w:rsid w:val="00FC5C43"/>
    <w:rsid w:val="00FC6044"/>
    <w:rsid w:val="00FE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43AB"/>
  <w15:docId w15:val="{C1332FB7-6129-4D56-BCC7-DE10899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5B"/>
    <w:rPr>
      <w:rFonts w:ascii="Times New Roman" w:eastAsia="Times New Roman" w:hAnsi="Times New Roman"/>
      <w:sz w:val="24"/>
      <w:szCs w:val="24"/>
    </w:rPr>
  </w:style>
  <w:style w:type="paragraph" w:styleId="Heading1">
    <w:name w:val="heading 1"/>
    <w:basedOn w:val="Normal"/>
    <w:next w:val="Normal"/>
    <w:link w:val="Heading1Char"/>
    <w:qFormat/>
    <w:rsid w:val="003A0C37"/>
    <w:pPr>
      <w:keepNext/>
      <w:outlineLvl w:val="0"/>
    </w:pPr>
    <w:rPr>
      <w:b/>
      <w:sz w:val="20"/>
    </w:rPr>
  </w:style>
  <w:style w:type="paragraph" w:styleId="Heading2">
    <w:name w:val="heading 2"/>
    <w:basedOn w:val="Normal"/>
    <w:next w:val="Normal"/>
    <w:link w:val="Heading2Char"/>
    <w:uiPriority w:val="9"/>
    <w:semiHidden/>
    <w:unhideWhenUsed/>
    <w:qFormat/>
    <w:rsid w:val="00340A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57154"/>
    <w:pPr>
      <w:keepNext/>
      <w:ind w:right="47"/>
      <w:jc w:val="center"/>
      <w:outlineLvl w:val="2"/>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C37"/>
    <w:rPr>
      <w:rFonts w:ascii="Times New Roman" w:eastAsia="Times New Roman" w:hAnsi="Times New Roman"/>
      <w:b/>
      <w:szCs w:val="24"/>
      <w:lang w:val="it-IT" w:eastAsia="it-IT"/>
    </w:rPr>
  </w:style>
  <w:style w:type="character" w:customStyle="1" w:styleId="Heading3Char">
    <w:name w:val="Heading 3 Char"/>
    <w:basedOn w:val="DefaultParagraphFont"/>
    <w:link w:val="Heading3"/>
    <w:rsid w:val="00357154"/>
    <w:rPr>
      <w:rFonts w:ascii="Times New Roman" w:eastAsia="Times New Roman" w:hAnsi="Times New Roman"/>
      <w:b/>
      <w:i/>
      <w:sz w:val="24"/>
      <w:szCs w:val="24"/>
      <w:lang w:val="en-GB"/>
    </w:rPr>
  </w:style>
  <w:style w:type="character" w:styleId="Hyperlink">
    <w:name w:val="Hyperlink"/>
    <w:basedOn w:val="DefaultParagraphFont"/>
    <w:uiPriority w:val="99"/>
    <w:unhideWhenUsed/>
    <w:rsid w:val="00357154"/>
    <w:rPr>
      <w:color w:val="0000FF"/>
      <w:u w:val="single"/>
    </w:rPr>
  </w:style>
  <w:style w:type="paragraph" w:customStyle="1" w:styleId="Rientrocorpodeltesto21">
    <w:name w:val="Rientro corpo del testo 21"/>
    <w:basedOn w:val="Normal"/>
    <w:qFormat/>
    <w:rsid w:val="00357154"/>
    <w:pPr>
      <w:widowControl w:val="0"/>
      <w:spacing w:line="360" w:lineRule="auto"/>
      <w:ind w:right="-234" w:firstLine="284"/>
    </w:pPr>
    <w:rPr>
      <w:szCs w:val="20"/>
      <w:lang w:val="en-US"/>
    </w:rPr>
  </w:style>
  <w:style w:type="character" w:styleId="SubtleEmphasis">
    <w:name w:val="Subtle Emphasis"/>
    <w:uiPriority w:val="19"/>
    <w:qFormat/>
    <w:rsid w:val="00357154"/>
    <w:rPr>
      <w:i/>
      <w:iCs/>
      <w:color w:val="808080"/>
    </w:rPr>
  </w:style>
  <w:style w:type="paragraph" w:customStyle="1" w:styleId="BodyA">
    <w:name w:val="Body A"/>
    <w:rsid w:val="00D06FC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paragraph" w:customStyle="1" w:styleId="Default">
    <w:name w:val="Default"/>
    <w:qFormat/>
    <w:rsid w:val="00673ED3"/>
    <w:pPr>
      <w:autoSpaceDE w:val="0"/>
      <w:autoSpaceDN w:val="0"/>
      <w:adjustRightInd w:val="0"/>
    </w:pPr>
    <w:rPr>
      <w:rFonts w:ascii="Arial" w:hAnsi="Arial" w:cs="Arial"/>
      <w:color w:val="000000"/>
      <w:sz w:val="24"/>
      <w:szCs w:val="24"/>
    </w:rPr>
  </w:style>
  <w:style w:type="paragraph" w:customStyle="1" w:styleId="FreeFormA">
    <w:name w:val="Free Form A"/>
    <w:rsid w:val="00753284"/>
    <w:rPr>
      <w:rFonts w:ascii="Helvetica" w:eastAsia="ヒラギノ角ゴ Pro W3" w:hAnsi="Helvetica"/>
      <w:color w:val="000000"/>
      <w:sz w:val="24"/>
      <w:lang w:val="en-US"/>
    </w:rPr>
  </w:style>
  <w:style w:type="paragraph" w:customStyle="1" w:styleId="Normale1">
    <w:name w:val="Normale1"/>
    <w:rsid w:val="00753284"/>
    <w:pPr>
      <w:widowControl w:val="0"/>
      <w:suppressAutoHyphens/>
    </w:pPr>
    <w:rPr>
      <w:rFonts w:ascii="Times New Roman" w:eastAsia="ヒラギノ角ゴ Pro W3" w:hAnsi="Times New Roman"/>
      <w:color w:val="000000"/>
      <w:sz w:val="24"/>
    </w:rPr>
  </w:style>
  <w:style w:type="paragraph" w:styleId="BalloonText">
    <w:name w:val="Balloon Text"/>
    <w:basedOn w:val="Normal"/>
    <w:link w:val="BalloonTextChar"/>
    <w:uiPriority w:val="99"/>
    <w:semiHidden/>
    <w:unhideWhenUsed/>
    <w:rsid w:val="00AD06A3"/>
    <w:rPr>
      <w:rFonts w:ascii="Tahoma" w:hAnsi="Tahoma" w:cs="Tahoma"/>
      <w:sz w:val="16"/>
      <w:szCs w:val="16"/>
    </w:rPr>
  </w:style>
  <w:style w:type="character" w:customStyle="1" w:styleId="BalloonTextChar">
    <w:name w:val="Balloon Text Char"/>
    <w:basedOn w:val="DefaultParagraphFont"/>
    <w:link w:val="BalloonText"/>
    <w:uiPriority w:val="99"/>
    <w:semiHidden/>
    <w:rsid w:val="00AD06A3"/>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40A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3A0C"/>
    <w:pPr>
      <w:ind w:left="720"/>
      <w:contextualSpacing/>
    </w:pPr>
  </w:style>
  <w:style w:type="paragraph" w:styleId="Header">
    <w:name w:val="header"/>
    <w:basedOn w:val="Normal"/>
    <w:link w:val="HeaderChar"/>
    <w:uiPriority w:val="99"/>
    <w:unhideWhenUsed/>
    <w:rsid w:val="008B0E40"/>
    <w:pPr>
      <w:tabs>
        <w:tab w:val="center" w:pos="4819"/>
        <w:tab w:val="right" w:pos="9638"/>
      </w:tabs>
    </w:pPr>
  </w:style>
  <w:style w:type="character" w:customStyle="1" w:styleId="HeaderChar">
    <w:name w:val="Header Char"/>
    <w:basedOn w:val="DefaultParagraphFont"/>
    <w:link w:val="Header"/>
    <w:uiPriority w:val="99"/>
    <w:rsid w:val="008B0E40"/>
    <w:rPr>
      <w:rFonts w:ascii="Times New Roman" w:eastAsia="Times New Roman" w:hAnsi="Times New Roman"/>
      <w:sz w:val="24"/>
      <w:szCs w:val="24"/>
    </w:rPr>
  </w:style>
  <w:style w:type="paragraph" w:styleId="Footer">
    <w:name w:val="footer"/>
    <w:basedOn w:val="Normal"/>
    <w:link w:val="FooterChar"/>
    <w:uiPriority w:val="99"/>
    <w:unhideWhenUsed/>
    <w:rsid w:val="008B0E40"/>
    <w:pPr>
      <w:tabs>
        <w:tab w:val="center" w:pos="4819"/>
        <w:tab w:val="right" w:pos="9638"/>
      </w:tabs>
    </w:pPr>
  </w:style>
  <w:style w:type="character" w:customStyle="1" w:styleId="FooterChar">
    <w:name w:val="Footer Char"/>
    <w:basedOn w:val="DefaultParagraphFont"/>
    <w:link w:val="Footer"/>
    <w:uiPriority w:val="99"/>
    <w:rsid w:val="008B0E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069">
      <w:bodyDiv w:val="1"/>
      <w:marLeft w:val="0"/>
      <w:marRight w:val="0"/>
      <w:marTop w:val="0"/>
      <w:marBottom w:val="0"/>
      <w:divBdr>
        <w:top w:val="none" w:sz="0" w:space="0" w:color="auto"/>
        <w:left w:val="none" w:sz="0" w:space="0" w:color="auto"/>
        <w:bottom w:val="none" w:sz="0" w:space="0" w:color="auto"/>
        <w:right w:val="none" w:sz="0" w:space="0" w:color="auto"/>
      </w:divBdr>
    </w:div>
    <w:div w:id="280386046">
      <w:bodyDiv w:val="1"/>
      <w:marLeft w:val="0"/>
      <w:marRight w:val="0"/>
      <w:marTop w:val="0"/>
      <w:marBottom w:val="0"/>
      <w:divBdr>
        <w:top w:val="none" w:sz="0" w:space="0" w:color="auto"/>
        <w:left w:val="none" w:sz="0" w:space="0" w:color="auto"/>
        <w:bottom w:val="none" w:sz="0" w:space="0" w:color="auto"/>
        <w:right w:val="none" w:sz="0" w:space="0" w:color="auto"/>
      </w:divBdr>
    </w:div>
    <w:div w:id="358746270">
      <w:bodyDiv w:val="1"/>
      <w:marLeft w:val="0"/>
      <w:marRight w:val="0"/>
      <w:marTop w:val="0"/>
      <w:marBottom w:val="0"/>
      <w:divBdr>
        <w:top w:val="none" w:sz="0" w:space="0" w:color="auto"/>
        <w:left w:val="none" w:sz="0" w:space="0" w:color="auto"/>
        <w:bottom w:val="none" w:sz="0" w:space="0" w:color="auto"/>
        <w:right w:val="none" w:sz="0" w:space="0" w:color="auto"/>
      </w:divBdr>
    </w:div>
    <w:div w:id="386950772">
      <w:bodyDiv w:val="1"/>
      <w:marLeft w:val="0"/>
      <w:marRight w:val="0"/>
      <w:marTop w:val="0"/>
      <w:marBottom w:val="0"/>
      <w:divBdr>
        <w:top w:val="none" w:sz="0" w:space="0" w:color="auto"/>
        <w:left w:val="none" w:sz="0" w:space="0" w:color="auto"/>
        <w:bottom w:val="none" w:sz="0" w:space="0" w:color="auto"/>
        <w:right w:val="none" w:sz="0" w:space="0" w:color="auto"/>
      </w:divBdr>
    </w:div>
    <w:div w:id="458229905">
      <w:bodyDiv w:val="1"/>
      <w:marLeft w:val="0"/>
      <w:marRight w:val="0"/>
      <w:marTop w:val="0"/>
      <w:marBottom w:val="0"/>
      <w:divBdr>
        <w:top w:val="none" w:sz="0" w:space="0" w:color="auto"/>
        <w:left w:val="none" w:sz="0" w:space="0" w:color="auto"/>
        <w:bottom w:val="none" w:sz="0" w:space="0" w:color="auto"/>
        <w:right w:val="none" w:sz="0" w:space="0" w:color="auto"/>
      </w:divBdr>
    </w:div>
    <w:div w:id="492455257">
      <w:bodyDiv w:val="1"/>
      <w:marLeft w:val="0"/>
      <w:marRight w:val="0"/>
      <w:marTop w:val="0"/>
      <w:marBottom w:val="0"/>
      <w:divBdr>
        <w:top w:val="none" w:sz="0" w:space="0" w:color="auto"/>
        <w:left w:val="none" w:sz="0" w:space="0" w:color="auto"/>
        <w:bottom w:val="none" w:sz="0" w:space="0" w:color="auto"/>
        <w:right w:val="none" w:sz="0" w:space="0" w:color="auto"/>
      </w:divBdr>
    </w:div>
    <w:div w:id="687221781">
      <w:bodyDiv w:val="1"/>
      <w:marLeft w:val="0"/>
      <w:marRight w:val="0"/>
      <w:marTop w:val="0"/>
      <w:marBottom w:val="0"/>
      <w:divBdr>
        <w:top w:val="none" w:sz="0" w:space="0" w:color="auto"/>
        <w:left w:val="none" w:sz="0" w:space="0" w:color="auto"/>
        <w:bottom w:val="none" w:sz="0" w:space="0" w:color="auto"/>
        <w:right w:val="none" w:sz="0" w:space="0" w:color="auto"/>
      </w:divBdr>
    </w:div>
    <w:div w:id="690686888">
      <w:bodyDiv w:val="1"/>
      <w:marLeft w:val="0"/>
      <w:marRight w:val="0"/>
      <w:marTop w:val="0"/>
      <w:marBottom w:val="0"/>
      <w:divBdr>
        <w:top w:val="none" w:sz="0" w:space="0" w:color="auto"/>
        <w:left w:val="none" w:sz="0" w:space="0" w:color="auto"/>
        <w:bottom w:val="none" w:sz="0" w:space="0" w:color="auto"/>
        <w:right w:val="none" w:sz="0" w:space="0" w:color="auto"/>
      </w:divBdr>
    </w:div>
    <w:div w:id="723794924">
      <w:bodyDiv w:val="1"/>
      <w:marLeft w:val="0"/>
      <w:marRight w:val="0"/>
      <w:marTop w:val="0"/>
      <w:marBottom w:val="0"/>
      <w:divBdr>
        <w:top w:val="none" w:sz="0" w:space="0" w:color="auto"/>
        <w:left w:val="none" w:sz="0" w:space="0" w:color="auto"/>
        <w:bottom w:val="none" w:sz="0" w:space="0" w:color="auto"/>
        <w:right w:val="none" w:sz="0" w:space="0" w:color="auto"/>
      </w:divBdr>
    </w:div>
    <w:div w:id="754131231">
      <w:bodyDiv w:val="1"/>
      <w:marLeft w:val="0"/>
      <w:marRight w:val="0"/>
      <w:marTop w:val="0"/>
      <w:marBottom w:val="0"/>
      <w:divBdr>
        <w:top w:val="none" w:sz="0" w:space="0" w:color="auto"/>
        <w:left w:val="none" w:sz="0" w:space="0" w:color="auto"/>
        <w:bottom w:val="none" w:sz="0" w:space="0" w:color="auto"/>
        <w:right w:val="none" w:sz="0" w:space="0" w:color="auto"/>
      </w:divBdr>
    </w:div>
    <w:div w:id="852649225">
      <w:bodyDiv w:val="1"/>
      <w:marLeft w:val="0"/>
      <w:marRight w:val="0"/>
      <w:marTop w:val="0"/>
      <w:marBottom w:val="0"/>
      <w:divBdr>
        <w:top w:val="none" w:sz="0" w:space="0" w:color="auto"/>
        <w:left w:val="none" w:sz="0" w:space="0" w:color="auto"/>
        <w:bottom w:val="none" w:sz="0" w:space="0" w:color="auto"/>
        <w:right w:val="none" w:sz="0" w:space="0" w:color="auto"/>
      </w:divBdr>
    </w:div>
    <w:div w:id="1082338290">
      <w:bodyDiv w:val="1"/>
      <w:marLeft w:val="0"/>
      <w:marRight w:val="0"/>
      <w:marTop w:val="0"/>
      <w:marBottom w:val="0"/>
      <w:divBdr>
        <w:top w:val="none" w:sz="0" w:space="0" w:color="auto"/>
        <w:left w:val="none" w:sz="0" w:space="0" w:color="auto"/>
        <w:bottom w:val="none" w:sz="0" w:space="0" w:color="auto"/>
        <w:right w:val="none" w:sz="0" w:space="0" w:color="auto"/>
      </w:divBdr>
    </w:div>
    <w:div w:id="1382484226">
      <w:bodyDiv w:val="1"/>
      <w:marLeft w:val="0"/>
      <w:marRight w:val="0"/>
      <w:marTop w:val="0"/>
      <w:marBottom w:val="0"/>
      <w:divBdr>
        <w:top w:val="none" w:sz="0" w:space="0" w:color="auto"/>
        <w:left w:val="none" w:sz="0" w:space="0" w:color="auto"/>
        <w:bottom w:val="none" w:sz="0" w:space="0" w:color="auto"/>
        <w:right w:val="none" w:sz="0" w:space="0" w:color="auto"/>
      </w:divBdr>
    </w:div>
    <w:div w:id="1953710487">
      <w:bodyDiv w:val="1"/>
      <w:marLeft w:val="0"/>
      <w:marRight w:val="0"/>
      <w:marTop w:val="0"/>
      <w:marBottom w:val="0"/>
      <w:divBdr>
        <w:top w:val="none" w:sz="0" w:space="0" w:color="auto"/>
        <w:left w:val="none" w:sz="0" w:space="0" w:color="auto"/>
        <w:bottom w:val="none" w:sz="0" w:space="0" w:color="auto"/>
        <w:right w:val="none" w:sz="0" w:space="0" w:color="auto"/>
      </w:divBdr>
    </w:div>
    <w:div w:id="2010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FA76-FB34-47E5-8933-83FADE87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1364</Words>
  <Characters>7776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g.pastore2@campus.unimib.it</cp:lastModifiedBy>
  <cp:revision>67</cp:revision>
  <dcterms:created xsi:type="dcterms:W3CDTF">2019-03-23T10:39:00Z</dcterms:created>
  <dcterms:modified xsi:type="dcterms:W3CDTF">2023-11-14T07:58:00Z</dcterms:modified>
</cp:coreProperties>
</file>