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CFFF1E" w14:textId="77777777" w:rsidR="003465C4" w:rsidRDefault="00B544D1">
      <w:pPr>
        <w:spacing w:after="0" w:line="360" w:lineRule="auto"/>
        <w:jc w:val="both"/>
      </w:pPr>
      <w:r>
        <w:rPr>
          <w:b/>
          <w:lang w:val="en-GB"/>
        </w:rPr>
        <w:t>Supplementary report 1. Assessment of the hydrodynamic model</w:t>
      </w:r>
    </w:p>
    <w:p w14:paraId="327B0062" w14:textId="77777777" w:rsidR="003465C4" w:rsidRDefault="003465C4">
      <w:pPr>
        <w:spacing w:after="0" w:line="360" w:lineRule="auto"/>
        <w:jc w:val="both"/>
        <w:rPr>
          <w:b/>
          <w:lang w:val="en-GB"/>
        </w:rPr>
      </w:pPr>
    </w:p>
    <w:p w14:paraId="33CA8B51" w14:textId="77777777" w:rsidR="003465C4" w:rsidRDefault="00B544D1">
      <w:pPr>
        <w:spacing w:after="0" w:line="360" w:lineRule="auto"/>
        <w:ind w:firstLine="720"/>
        <w:jc w:val="both"/>
      </w:pPr>
      <w:r>
        <w:rPr>
          <w:rStyle w:val="normaltextrun"/>
          <w:rFonts w:cstheme="minorHAnsi"/>
          <w:lang w:val="en-GB"/>
        </w:rPr>
        <w:t>To assess the realism of our regional configuration of the NEMO hydrodynamic model, hereafter named TAPIOCA36, w</w:t>
      </w:r>
      <w:r>
        <w:rPr>
          <w:lang w:val="en-GB"/>
        </w:rPr>
        <w:t xml:space="preserve">e compared its outputs with ADCP data acquired during two cruises </w:t>
      </w:r>
      <w:r>
        <w:fldChar w:fldCharType="begin"/>
      </w:r>
      <w:r w:rsidR="00524EA0">
        <w:instrText xml:space="preserve"> ADDIN ZOTERO_ITEM CSL_CITATION {"citationID":"xbx8tJXk","properties":{"formattedCitation":"(ABRA\\uc0\\u199{}OS 1 spring 2015 and ABRA\\uc0\\u199{}OS 2 fall 2017; Bertrand 2015, 2017)","plainCitation":"(ABRAÇOS 1 spring 2015 and ABRAÇOS 2 fall 2017; Bertrand 2015, 2017)","noteIndex":0},"citationItems":[{"id":847,"uris":["http://zotero.org/users/5738691/items/MBC2XJ9U"],"itemData":{"id":847,"type":"article-journal","abstract":"La campagne ABRACOS (Acoustics along the BRAzilian COaSt) vise à initier une approche intégrée du suivi des écosystèmes marins tropicaux du Nordeste brésilien afin de mieux comprendre la connectivité entre les sous-systèmes qui le composent. Cette campagne doit notamment permettre de combler cette lacune et de mieux comprendre le degré de connectivité existant entre les îles océaniques et la marge continentale dans le Nordeste Brésilien, mais également au sein de la plateforme continentale. Dans ce contexte, l'objectif principal de la campagne ABRACOS consiste à établir une caractérisation 3D des compartiments abiotiques et biotiques et de leurs interactions dans le Nordeste Brésilien. Objectifs spécifiques: Objectif 1 - Caractérisation des dynamiques insulaires et côtières. Les mesures des caractéristiques hydrologiques et des courants (rosette, CTD, ADCP) doivent permettre la description de la circulation et des caractéristiques des masses d'eau. Ces données serviront plus précisément à étudier les connexions physiques entre (i) les îles océaniques et les écosystèmes côtiers et (ii) le long de la côte entre les zones océaniques et côtières. Les mesures in situ obtenues seront également utilisées pour valider les modèles hydrodynamiques régionaux de haute résolution (ex. modèle ROMS) qui seront mis en place. Les données in situ acquises durant la campagne ABRACOS seront complétées par les données satellitaires de hauteur de mer (e.g. AVISO), de température et chlorophylle de surface (e.g. MODIS) et de vent (e.g. ASCAT). Notons toutefois que la résolution de ces produits classiquement utilisés et les interférences terre-océan sur les données altimétriques et diffusiométriques ne permettent pas l'utilisation de ces produits à moins de 30-50 km des côtes. Nous nous affranchirons partiellement de ce problème en utilisant les nouveaux traitements de données altimétriques «alongtracks» effectués par le Centre de Topographie des Océans et de l'Hydrosphère de Toulouse. Ces données permettront de documenter les composantes géostrophiques (à partir du niveau de la mer) et agéostrophiques (à partir du vent) de la circulation de surface et leur variabilité en zones côtières. Objectif 2 - Acoustique écosystémique. Les outils acoustiques permettent l'acquisition simultanée de données quantitatives et qualitatives, à différentes échelles spatiotemporelles, sur de nombreux compartiments biotiques et abiotiques d'un écosystème. De telles données permettent de caractériser l'écosystème en trois dimensions et d'étudier directement les interactions entre compartiments. L'acoustique active n'a été que rarement utilisée dans les zones tropicales côtières. Les données acoustiques multifréquences (38, 70, 120, et 200 kHz) acquises lors de la campagne ABRACOS permettront de réaliser une première caractérisation 3-D des écosystèmes insulaires et côtiers dans le Nordeste Brésilien avec, si cela est possible, la caractérisation simultanée des fonds marins et de la colonne d'eau. L'équipe française proposante a une solide expérience dans ce domaine et a développé à Brest le logiciel open source 'Echopen' (www.france-nord.ird.fr/lesressources/outils-informatiques) permettant de séparer les différentes sources d'échos acoustiques (ex. zooplancton, organismes gélatineux et poissons) à partir de données acoustiques multifréquences. Afin de calibrer la version 'Echopen Brésil', les observations acoustiques de la campagne ABRACOS doivent être couplées à des échantillonnages avec des chaluts micronecton, mésopélagique et de fond (Leg 2 uniquement) et aux échantillonnages de zooplancton à stations fixes (filets à plancton bongo, WP2 et à phytoplancton). Pour la validation de l'outil 'Echopen substrat' nous utiliserons les échantillonnages au chalut de fond, par benne à substrat ainsi que des observations par caméra vidéo. Objectif 3 - Biodiversité et structure trophique. Ainsi qu'indiqué, les observations acoustiques seront complétées par des échantillonnages in situ d'organismes planctoniques, pélagiques (chaluts pélagiques) et démersaux-benthiques (chalut de fond). Il s'agira notamment de déterminer comment les conditions hydrologiques déterminent la distribution verticale des organismes et donc les interactions. Une partie des organismes échantillonnés seront conservés dans le formol puis identifiés par des taxonomistes de l'Université Fédérale de Rio de Janeiro (UFRJ) afin d'alimenter les collections Brésiliennes. Le reste des échantillons sera utilisé pour obtenir des informations biologiques. Outre les mesures biologiques classiques (taille, poids, sexe, maturation, etc.) des prélèvements d'organismes entiers (plancton) et de tissus mous (muscles) seront effectués afin de doser différents traceurs trophiques: isotopes stables du carbone, de l'azote et dans la mesure du possible du mercure. En complément, de la matière organique particulaire (MOP) sera récoltée par filtration (prélèvement par la rosette) pour en doser les valeurs en isotopes stables. Les variations spatiales de ces traceurs permettront de mettre en évidence les positions trophiques relatives des organismes et les variations des sources d'alimentation à travers les signatures locales de la MOP. Par ailleurs des mesures de méthylmercure (MeHg), une neurotoxine qui s'accumule dans la chaine alimentaire, seront effectuées sur une partie des échantillons utilisés pour les isotopes stables. Les projets de rattachement sont ABRACOS et Action Incitative IRD \"DANOB\".","DOI":"10.17600/15005600","note":"publisher: Sismer","source":"DOI.org (Datacite)","title":"ABRACOS cruise,Antea R/V","URL":"https://campagnes.flotteoceanographique.fr/campagnes/15005600/","author":[{"family":"Bertrand","given":"Arnaud"}],"accessed":{"date-parts":[["2021",2,19]]},"issued":{"date-parts":[["2015"]]}},"label":"page","prefix":"ABRAÇOS 1 spring 2015 and ABRAÇOS 2 fall 2017;"},{"id":922,"uris":["http://zotero.org/users/5738691/items/PRGD74JQ"],"itemData":{"id":922,"type":"article-journal","abstract":"L'objectif principal de la campagne ABRACOS2 consiste à établir une caractérisation 3D des compartiments abiotiques et biotiques et de leurs interactions. Cette campagne comporte 3 objectifs spécifiques : 1) Caractérisation des masses d'eau et de leurs dynamiques. Les données collectées (ADCP, CTD, rosette, etc.) serviront à étudier les connexions physiques entre (i) les îles océaniques et les écosystèmes côtiers et (ii) les régions côtières tropicales/subtropicales au Sud et équatoriales au Nord. Les mesures in situ permettront également de valider les modèles hydrodynamiques régionaux de haute résolution. 2) Acoustique écosystémique. Collecte de données acoustiques multifréquences afin de réaliser la première caractérisation 3D des écosystèmes insulaires et côtiers dans le Nordeste Brésilien. Les observations acoustiques seront couplées à des échantillonnages au chalut pélagique (Legs 1 et 2), au chalut de fond (Leg 1), aux échantillonnages de zooplancton et à des images vidéo. 3) Biodiversité et structure trophique. Les échantillonnages in situ permettront d'obtenir des informations sur la distribution, la biodiversité, l'écologie trophique (utilisation d'isotopes stables) et la contamination (méthylmercure) des organismes. Les projets de rattachement sont ABRAÇOS et 'Planning in a liquid world: Marine spatial planning and network dynamics' (PADDLE), (H2020 RISE), (PI: M. Bonnin, 2017-2020).","DOI":"10.17600/17004100","note":"publisher: Sismer","source":"DOI.org (Datacite)","title":"ABRACOS 2 cruise,Antea R/V","URL":"https://campagnes.flotteoceanographique.fr/campagnes/17004100/","author":[{"family":"Bertrand","given":"Arnaud"}],"accessed":{"date-parts":[["2021",3,1]]},"issued":{"date-parts":[["2017"]]}}}],"schema":"https://github.com/citation-style-language/schema/raw/master/csl-citation.json"} </w:instrText>
      </w:r>
      <w:r>
        <w:fldChar w:fldCharType="separate"/>
      </w:r>
      <w:bookmarkStart w:id="0" w:name="__Fieldmark__21_1232208114"/>
      <w:bookmarkStart w:id="1" w:name="__Fieldmark__10_1102474989"/>
      <w:r w:rsidR="00524EA0" w:rsidRPr="00524EA0">
        <w:rPr>
          <w:szCs w:val="24"/>
        </w:rPr>
        <w:t>(ABRAÇOS 1 spring 2015 and ABRAÇOS 2 fall 2017; Bertrand 2015, 2017)</w:t>
      </w:r>
      <w:r>
        <w:fldChar w:fldCharType="end"/>
      </w:r>
      <w:bookmarkEnd w:id="0"/>
      <w:bookmarkEnd w:id="1"/>
      <w:r>
        <w:rPr>
          <w:lang w:val="en-GB"/>
        </w:rPr>
        <w:t xml:space="preserve"> and with outputs of the Global Ocean Physics Reanalysis model </w:t>
      </w:r>
      <w:r>
        <w:fldChar w:fldCharType="begin"/>
      </w:r>
      <w:r>
        <w:instrText>ADDIN ZOTERO_ITEM CSL_CITATION {"citationID":"mI1K0O6u","properties":{"formattedCitation":"(GLORYS12v1; Lellouche et al. 2018)","plainCitation":"(GLORYS12v1; Lellouche et al. 2018)","noteIndex":0},"citationItems":[{"id":1989,"uris":["http://zotero.org/users/5738691/items/68E3N4VB"],"itemData":{"id":1989,"type":"paper-conference","container-title":"EGU General Assembly Conference Abstracts","page":"19806","title":"The Copernicus Marine Environment Monitoring Service global ocean 1/12 physical reanalysis GLORYS12V1: description and quality assessment","volume":"20","author":[{"family":"Lellouche","given":"Jean-Michel"},{"family":"Le Galloudec","given":"Olivier"},{"family":"Greiner","given":"Eric"},{"family":"Garric","given":"Gilles"},{"family":"Regnier","given":"Charly"},{"family":"Drevillon","given":"Marie"},{"family":"Bourdallé-Badie","given":"Romain"},{"family":"Bricaud","given":"Clément"},{"family":"Drillet","given":"Yann"},{"family":"Le Traon","given":"Pierre-Yves"}],"issued":{"date-parts":[["2018"]]}},"label":"page","prefix":"GLORYS12v1;"}],"schema":"https://github.com/citation-style-language/schema/raw/master/csl-citation.json"}</w:instrText>
      </w:r>
      <w:r>
        <w:fldChar w:fldCharType="separate"/>
      </w:r>
      <w:bookmarkStart w:id="2" w:name="__Fieldmark__45_1232208114"/>
      <w:r>
        <w:rPr>
          <w:lang w:val="en-GB"/>
        </w:rPr>
        <w:t>(</w:t>
      </w:r>
      <w:bookmarkStart w:id="3" w:name="__Fieldmark__16_1102474989"/>
      <w:r>
        <w:rPr>
          <w:lang w:val="en-GB"/>
        </w:rPr>
        <w:t>GLORYS12v1; Lellouche et al. 2018)</w:t>
      </w:r>
      <w:r>
        <w:fldChar w:fldCharType="end"/>
      </w:r>
      <w:bookmarkEnd w:id="2"/>
      <w:bookmarkEnd w:id="3"/>
      <w:r>
        <w:rPr>
          <w:lang w:val="en-GB"/>
        </w:rPr>
        <w:t>. To assess the performance of the model in reproducing the near-surface dynamics (0-100 m) in the near-shore region and around the Fernando de Noronha archipelago we chose specific sections (yellow and red lines in Fig. S1).</w:t>
      </w:r>
    </w:p>
    <w:p w14:paraId="7C4F627C" w14:textId="77777777" w:rsidR="003465C4" w:rsidRDefault="00B544D1">
      <w:pPr>
        <w:spacing w:after="0" w:line="360" w:lineRule="auto"/>
        <w:jc w:val="both"/>
      </w:pPr>
      <w:r>
        <w:rPr>
          <w:noProof/>
          <w:lang w:val="pt-BR"/>
        </w:rPr>
        <w:drawing>
          <wp:inline distT="0" distB="0" distL="0" distR="0" wp14:anchorId="2F271F6D" wp14:editId="0AED68A0">
            <wp:extent cx="5760085" cy="3302000"/>
            <wp:effectExtent l="0" t="0" r="0" b="0"/>
            <wp:docPr id="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1.png"/>
                    <pic:cNvPicPr>
                      <a:picLocks noChangeAspect="1" noChangeArrowheads="1"/>
                    </pic:cNvPicPr>
                  </pic:nvPicPr>
                  <pic:blipFill>
                    <a:blip r:embed="rId7"/>
                    <a:stretch>
                      <a:fillRect/>
                    </a:stretch>
                  </pic:blipFill>
                  <pic:spPr bwMode="auto">
                    <a:xfrm>
                      <a:off x="0" y="0"/>
                      <a:ext cx="5760085" cy="3302000"/>
                    </a:xfrm>
                    <a:prstGeom prst="rect">
                      <a:avLst/>
                    </a:prstGeom>
                  </pic:spPr>
                </pic:pic>
              </a:graphicData>
            </a:graphic>
          </wp:inline>
        </w:drawing>
      </w:r>
      <w:r>
        <w:rPr>
          <w:b/>
          <w:lang w:val="en-GB"/>
        </w:rPr>
        <w:t>Figure S1.</w:t>
      </w:r>
      <w:r>
        <w:rPr>
          <w:lang w:val="en-GB"/>
        </w:rPr>
        <w:t xml:space="preserve"> ADCP ship tracks (black solid lines) obtained during the surveys ABRAÇOS 1 in spring 2015 (a) and ABRAÇOS 2 in fall 2017 (b). Blue rectangles and yellow and red lines indicate subsets of the data that were extracted in order to validate the TAPIOCA36 hydrodynamic configuration in both horizontal and vertical dimensions. The thin black contour indicates the shelf break (70 m isobath).</w:t>
      </w:r>
    </w:p>
    <w:p w14:paraId="0C823ADE" w14:textId="77777777" w:rsidR="003465C4" w:rsidRDefault="003465C4">
      <w:pPr>
        <w:spacing w:after="0" w:line="360" w:lineRule="auto"/>
        <w:jc w:val="both"/>
        <w:rPr>
          <w:lang w:val="en-GB"/>
        </w:rPr>
      </w:pPr>
    </w:p>
    <w:p w14:paraId="7B190806" w14:textId="77777777" w:rsidR="003465C4" w:rsidRDefault="00B544D1">
      <w:pPr>
        <w:spacing w:after="0" w:line="360" w:lineRule="auto"/>
        <w:jc w:val="both"/>
      </w:pPr>
      <w:r>
        <w:rPr>
          <w:lang w:val="en-GB"/>
        </w:rPr>
        <w:t xml:space="preserve"> </w:t>
      </w:r>
      <w:r>
        <w:rPr>
          <w:lang w:val="en-GB"/>
        </w:rPr>
        <w:tab/>
        <w:t xml:space="preserve">South of 5°S, the near-surface dynamics along the coast is mainly dominated by the North Brazil Undercurrent (NBUC) whose core is centred below 100 m depth </w:t>
      </w:r>
      <w:r>
        <w:fldChar w:fldCharType="begin"/>
      </w:r>
      <w:r>
        <w:instrText>ADDIN ZOTERO_ITEM CSL_CITATION {"citationID":"1JLRVI9n","properties":{"formattedCitation":"(Dossa et al. 2021)","plainCitation":"(Dossa et al. 2021)","noteIndex":0},"citationItems":[{"id":823,"uris":["http://zotero.org/users/5738691/items/AXZPYE4J"],"itemData":{"id":823,"type":"article-journal","abstract":"In the tropical Atlantic Ocean, the North Brazil Undercurrent (NBUC) and the North Brazil Current (NBC) play important roles as near-surface northward paths for the Atlantic meridional overturning circulation. To inves­ tigate the meridional evolution of the near-surface western boundary circulation in that region, two surveys were carried out off Northeast Brazil during austral spring 2015 and fall 2017, periods that we show to be repre­ sentative of typical conditions for the spring and fall seasons. Using conductivity temperature depth oxygen probe and ship-mounted acoustic Doppler current profiler measurements, altimetry data, and numerical rean­ alysis products, we examine the spatiotemporal variability of the NBUC, providing a comprehensive view of the circulation, including NBUC-NBC transition and the potential impact of mesoscale eddies. The NBUC originating south of 10◦S flows equatorward over the continental slope. NBUC mean velocity, transport and vertical extent of the velocity core were higher in spring 2015 (0.81 m s− 1, 15.6 Sv, and &gt;400 m) than in fall 2017 (0.65 m s− 1, 11.0 Sv, and ~300 m). The upper limit of the NBUC velocity core rose slightly from 160 m at 9◦S to 105 m depth at 6◦S. This pattern is associated with a northward increase in current velocity from 0.7 m s− 1 at 9◦S to 1 m s− 1 at 5◦S. The orographic effect shifts the flow from northeastward south of 7.5◦S to northwestward north of 7.5◦S, following the shoreline. Besides, altimetry data show that this flow can be locally influenced by mesoscale ac­ tivity. Farther north, at ~4.8◦S, data obtained in fall 2017 show that the central branch of the South Equatorial Current (cSEC) enters into the western boundary system where it coalesces with the NBUC to form the NBC, flowing toward the Caribbean Sea. Finally, in fall, the NBUC retroflection does not feed the South Equatorial Undercurrent (SEUC), which, instead originates from retroflections of the cSEC and the equatorial branch of the South Equatorial Current (eSEC).","container-title":"Progress in Oceanography","DOI":"10.1016/j.pocean.2020.102475","ISSN":"00796611","journalAbbreviation":"Progress in Oceanography","language":"en","page":"102475","source":"DOI.org (Crossref)","title":"Near-surface western boundary circulation off Northeast Brazil","volume":"190","author":[{"family":"Dossa","given":"Alina N."},{"family":"Silva","given":"Alex C."},{"family":"Chaigneau","given":"Alexis"},{"family":"Eldin","given":"Gérard"},{"family":"Araujo","given":"Moacyr"},{"family":"Bertrand","given":"Arnaud"}],"issued":{"date-parts":[["2021",1]]}}}],"schema":"https://github.com/citation-style-language/schema/raw/master/csl-citation.json"}</w:instrText>
      </w:r>
      <w:r>
        <w:fldChar w:fldCharType="separate"/>
      </w:r>
      <w:bookmarkStart w:id="4" w:name="__Fieldmark__102_1232208114"/>
      <w:r>
        <w:rPr>
          <w:lang w:val="en-GB"/>
        </w:rPr>
        <w:t>(</w:t>
      </w:r>
      <w:bookmarkStart w:id="5" w:name="__Fieldmark__63_1102474989"/>
      <w:r>
        <w:rPr>
          <w:lang w:val="en-GB"/>
        </w:rPr>
        <w:t>Dossa et al. 2021)</w:t>
      </w:r>
      <w:r>
        <w:fldChar w:fldCharType="end"/>
      </w:r>
      <w:bookmarkEnd w:id="4"/>
      <w:bookmarkEnd w:id="5"/>
      <w:r>
        <w:rPr>
          <w:lang w:val="en-GB"/>
        </w:rPr>
        <w:t>. In this region, the coastline orientation influences the dynamics, which changes direction around 7.5°S (Dossa et al., 2021). Around the Fernando de Noronha Archipelago, the dynamics above 100 m is controlled by Central South Equatorial Current (cSEC), which flows westward (e.g., Silva et al. 2021).</w:t>
      </w:r>
      <w:bookmarkStart w:id="6" w:name="_GoBack"/>
      <w:bookmarkEnd w:id="6"/>
    </w:p>
    <w:p w14:paraId="0A55C2EC" w14:textId="77777777" w:rsidR="003465C4" w:rsidRDefault="00B544D1">
      <w:pPr>
        <w:jc w:val="both"/>
        <w:rPr>
          <w:lang w:val="en-GB"/>
        </w:rPr>
      </w:pPr>
      <w:r>
        <w:br w:type="page"/>
      </w:r>
    </w:p>
    <w:p w14:paraId="17238B37" w14:textId="77777777" w:rsidR="003465C4" w:rsidRDefault="00B544D1">
      <w:pPr>
        <w:spacing w:after="0" w:line="360" w:lineRule="auto"/>
        <w:ind w:firstLine="720"/>
        <w:jc w:val="both"/>
      </w:pPr>
      <w:r>
        <w:rPr>
          <w:lang w:val="en-GB"/>
        </w:rPr>
        <w:lastRenderedPageBreak/>
        <w:t xml:space="preserve">The surface current field (averaged over the 0-100 m depth range) derived from TAPIOCA36 during both spring 2015 and fall 2017 (Fig. S2b,d) corresponds well to the velocity measured during the two </w:t>
      </w:r>
      <w:r w:rsidR="00524EA0">
        <w:rPr>
          <w:lang w:val="en-GB"/>
        </w:rPr>
        <w:t xml:space="preserve">ABRAÇOS </w:t>
      </w:r>
      <w:r>
        <w:rPr>
          <w:lang w:val="en-GB"/>
        </w:rPr>
        <w:t>cruises conducted at the same time period (Fig. S2a,c). In particular, the North Brazil Current (NBC) west of 35°W between 5°S and 2°S is well reproduced with velocities up to 1 m.s</w:t>
      </w:r>
      <w:r>
        <w:rPr>
          <w:vertAlign w:val="superscript"/>
          <w:lang w:val="en-GB"/>
        </w:rPr>
        <w:t>-1</w:t>
      </w:r>
      <w:r>
        <w:rPr>
          <w:lang w:val="en-GB"/>
        </w:rPr>
        <w:t>.</w:t>
      </w:r>
    </w:p>
    <w:p w14:paraId="49A0684A" w14:textId="77777777" w:rsidR="003465C4" w:rsidRDefault="00B544D1">
      <w:pPr>
        <w:spacing w:after="0" w:line="360" w:lineRule="auto"/>
        <w:jc w:val="both"/>
        <w:rPr>
          <w:lang w:val="en-GB"/>
        </w:rPr>
      </w:pPr>
      <w:r>
        <w:rPr>
          <w:noProof/>
          <w:lang w:val="pt-BR"/>
        </w:rPr>
        <w:drawing>
          <wp:inline distT="0" distB="0" distL="0" distR="0" wp14:anchorId="50D3754D" wp14:editId="5B47E722">
            <wp:extent cx="5760720" cy="5024120"/>
            <wp:effectExtent l="0" t="0" r="0" b="0"/>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5"/>
                    <pic:cNvPicPr>
                      <a:picLocks noChangeAspect="1" noChangeArrowheads="1"/>
                    </pic:cNvPicPr>
                  </pic:nvPicPr>
                  <pic:blipFill>
                    <a:blip r:embed="rId8"/>
                    <a:stretch>
                      <a:fillRect/>
                    </a:stretch>
                  </pic:blipFill>
                  <pic:spPr bwMode="auto">
                    <a:xfrm>
                      <a:off x="0" y="0"/>
                      <a:ext cx="5760720" cy="5024120"/>
                    </a:xfrm>
                    <a:prstGeom prst="rect">
                      <a:avLst/>
                    </a:prstGeom>
                  </pic:spPr>
                </pic:pic>
              </a:graphicData>
            </a:graphic>
          </wp:inline>
        </w:drawing>
      </w:r>
    </w:p>
    <w:p w14:paraId="29CDB846" w14:textId="77777777" w:rsidR="003465C4" w:rsidRDefault="00B544D1">
      <w:pPr>
        <w:spacing w:after="0" w:line="360" w:lineRule="auto"/>
        <w:jc w:val="both"/>
      </w:pPr>
      <w:r>
        <w:rPr>
          <w:b/>
          <w:lang w:val="en-GB"/>
        </w:rPr>
        <w:t>Figure S2.</w:t>
      </w:r>
      <w:r>
        <w:rPr>
          <w:lang w:val="en-GB"/>
        </w:rPr>
        <w:t xml:space="preserve"> </w:t>
      </w:r>
      <w:r>
        <w:t xml:space="preserve">Surface currents </w:t>
      </w:r>
      <w:r>
        <w:rPr>
          <w:lang w:val="en-GB"/>
        </w:rPr>
        <w:t>speed (colour scale) and directions (arrows) averaged over spring 2015 (a,b) and fall 2017 (c, d)</w:t>
      </w:r>
      <w:r>
        <w:t xml:space="preserve"> </w:t>
      </w:r>
      <w:r>
        <w:rPr>
          <w:lang w:val="en-GB"/>
        </w:rPr>
        <w:t xml:space="preserve">from ADCP data </w:t>
      </w:r>
      <w:r>
        <w:t xml:space="preserve">(a, c) and </w:t>
      </w:r>
      <w:r>
        <w:rPr>
          <w:lang w:val="en-GB"/>
        </w:rPr>
        <w:t xml:space="preserve">TAPIOCA36 simulations </w:t>
      </w:r>
      <w:r>
        <w:t>(b, d).</w:t>
      </w:r>
    </w:p>
    <w:p w14:paraId="542323A7" w14:textId="77777777" w:rsidR="003465C4" w:rsidRDefault="003465C4">
      <w:pPr>
        <w:spacing w:after="0" w:line="360" w:lineRule="auto"/>
        <w:jc w:val="both"/>
        <w:rPr>
          <w:lang w:val="en-GB"/>
        </w:rPr>
      </w:pPr>
    </w:p>
    <w:p w14:paraId="631BAFC8" w14:textId="77777777" w:rsidR="003465C4" w:rsidRDefault="00B544D1">
      <w:pPr>
        <w:jc w:val="both"/>
        <w:rPr>
          <w:lang w:val="en-GB"/>
        </w:rPr>
      </w:pPr>
      <w:r>
        <w:br w:type="page"/>
      </w:r>
    </w:p>
    <w:p w14:paraId="38337DFF" w14:textId="77777777" w:rsidR="003465C4" w:rsidRDefault="00B544D1">
      <w:pPr>
        <w:spacing w:after="0" w:line="360" w:lineRule="auto"/>
        <w:ind w:firstLine="720"/>
        <w:jc w:val="both"/>
      </w:pPr>
      <w:r>
        <w:rPr>
          <w:rFonts w:cstheme="majorHAnsi"/>
          <w:lang w:val="en-GB"/>
        </w:rPr>
        <w:lastRenderedPageBreak/>
        <w:t xml:space="preserve">In </w:t>
      </w:r>
      <w:r w:rsidR="00524EA0">
        <w:rPr>
          <w:rFonts w:cstheme="majorHAnsi"/>
          <w:lang w:val="en-GB"/>
        </w:rPr>
        <w:t>spring</w:t>
      </w:r>
      <w:r>
        <w:rPr>
          <w:rFonts w:cstheme="majorHAnsi"/>
          <w:lang w:val="en-GB"/>
        </w:rPr>
        <w:t xml:space="preserve"> 2015, south of 8°S</w:t>
      </w:r>
      <w:r>
        <w:rPr>
          <w:lang w:val="en-GB"/>
        </w:rPr>
        <w:t xml:space="preserve"> the zonal flow assessed from ADCP data is </w:t>
      </w:r>
      <w:r>
        <w:rPr>
          <w:rFonts w:cstheme="majorHAnsi"/>
          <w:lang w:val="en-GB"/>
        </w:rPr>
        <w:t>dominantly eastward (Dossa et al., 2021) with a maximum speed of ~ 0.15 m.s</w:t>
      </w:r>
      <w:r>
        <w:rPr>
          <w:rFonts w:cstheme="majorHAnsi"/>
          <w:vertAlign w:val="superscript"/>
          <w:lang w:val="en-GB"/>
        </w:rPr>
        <w:t>-1</w:t>
      </w:r>
      <w:r>
        <w:rPr>
          <w:rFonts w:cstheme="majorHAnsi"/>
          <w:lang w:val="en-GB"/>
        </w:rPr>
        <w:t xml:space="preserve"> (Fig. S3). North of 8°S, the zonal flow is </w:t>
      </w:r>
      <w:r>
        <w:rPr>
          <w:rFonts w:eastAsia="Roboto" w:cstheme="majorHAnsi"/>
          <w:highlight w:val="white"/>
          <w:lang w:val="en-GB"/>
        </w:rPr>
        <w:t>westward</w:t>
      </w:r>
      <w:r>
        <w:rPr>
          <w:rFonts w:cstheme="majorHAnsi"/>
          <w:lang w:val="en-GB"/>
        </w:rPr>
        <w:t xml:space="preserve"> with a speed up to 0.20 m.s</w:t>
      </w:r>
      <w:r>
        <w:rPr>
          <w:rFonts w:cstheme="majorHAnsi"/>
          <w:vertAlign w:val="superscript"/>
          <w:lang w:val="en-GB"/>
        </w:rPr>
        <w:t>-1</w:t>
      </w:r>
      <w:r>
        <w:rPr>
          <w:rFonts w:cstheme="majorHAnsi"/>
          <w:lang w:val="en-GB"/>
        </w:rPr>
        <w:t xml:space="preserve"> (Fig. S3a). The TAPIOCA36 simulation is in good agreement with</w:t>
      </w:r>
      <w:r>
        <w:rPr>
          <w:lang w:val="en-GB"/>
        </w:rPr>
        <w:t xml:space="preserve"> these results with very similar current structures and intensities (Fig. S3d). The meridional component and the global velocity characteristic of the NBUC current are also in good agreement between the measured currents (Fig. S3b, c) and TAPIOCA36 (Fig. S3e, f). In particular, the observed signature of the uplift of the upper (near-surface) boundary of the NBUC core (0.6 m.s</w:t>
      </w:r>
      <w:r>
        <w:rPr>
          <w:vertAlign w:val="superscript"/>
          <w:lang w:val="en-GB"/>
        </w:rPr>
        <w:t>-1</w:t>
      </w:r>
      <w:r>
        <w:rPr>
          <w:lang w:val="en-GB"/>
        </w:rPr>
        <w:t>) extending up to ~80 - 100 m north ~ 8°S is well reproduced in TAPIOCA36 (Fig. S3b,e). The GLORYS12V1 reanalysis is also in broad agreement with the observations, but the core of the NBUC extends too far north (up to 7°S) and is too shallow (70 m compare to ~ 100m in observations and TAPIOCA36).</w:t>
      </w:r>
    </w:p>
    <w:p w14:paraId="2A758085" w14:textId="77777777" w:rsidR="003465C4" w:rsidRDefault="00B544D1">
      <w:pPr>
        <w:spacing w:after="0" w:line="360" w:lineRule="auto"/>
        <w:jc w:val="both"/>
        <w:rPr>
          <w:lang w:val="en-GB"/>
        </w:rPr>
      </w:pPr>
      <w:r>
        <w:rPr>
          <w:noProof/>
          <w:lang w:val="pt-BR"/>
        </w:rPr>
        <w:drawing>
          <wp:inline distT="0" distB="0" distL="0" distR="0" wp14:anchorId="707AED39" wp14:editId="36EB96CC">
            <wp:extent cx="5760085" cy="4318000"/>
            <wp:effectExtent l="0" t="0" r="0" b="0"/>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0.png"/>
                    <pic:cNvPicPr>
                      <a:picLocks noChangeAspect="1" noChangeArrowheads="1"/>
                    </pic:cNvPicPr>
                  </pic:nvPicPr>
                  <pic:blipFill>
                    <a:blip r:embed="rId9"/>
                    <a:stretch>
                      <a:fillRect/>
                    </a:stretch>
                  </pic:blipFill>
                  <pic:spPr bwMode="auto">
                    <a:xfrm>
                      <a:off x="0" y="0"/>
                      <a:ext cx="5760085" cy="4318000"/>
                    </a:xfrm>
                    <a:prstGeom prst="rect">
                      <a:avLst/>
                    </a:prstGeom>
                  </pic:spPr>
                </pic:pic>
              </a:graphicData>
            </a:graphic>
          </wp:inline>
        </w:drawing>
      </w:r>
    </w:p>
    <w:p w14:paraId="78D042D5" w14:textId="77777777" w:rsidR="003465C4" w:rsidRDefault="00B544D1">
      <w:pPr>
        <w:spacing w:after="0" w:line="360" w:lineRule="auto"/>
        <w:jc w:val="both"/>
      </w:pPr>
      <w:r>
        <w:rPr>
          <w:b/>
          <w:lang w:val="en-GB"/>
        </w:rPr>
        <w:t>Figure S3.</w:t>
      </w:r>
      <w:r>
        <w:rPr>
          <w:lang w:val="en-GB"/>
        </w:rPr>
        <w:t xml:space="preserve"> Comparison of the currents between ADCP data (a-c), TAPIOCA36 (d-f), and GLORYS12V1 (g-i) in spring 2015 in the region of the NBUC (blue polygon in Fig. 1a). U, V, and Vt correspond to the zonal component, meridional component and overall velocity, respectively. Observations and simulations are co-localized in time and space.</w:t>
      </w:r>
    </w:p>
    <w:p w14:paraId="68A0E162" w14:textId="77777777" w:rsidR="003465C4" w:rsidRDefault="00B544D1">
      <w:pPr>
        <w:jc w:val="both"/>
        <w:rPr>
          <w:lang w:val="en-GB"/>
        </w:rPr>
      </w:pPr>
      <w:r>
        <w:br w:type="page"/>
      </w:r>
    </w:p>
    <w:p w14:paraId="7EF35E1D" w14:textId="77777777" w:rsidR="003465C4" w:rsidRDefault="003465C4">
      <w:pPr>
        <w:spacing w:after="0" w:line="360" w:lineRule="auto"/>
        <w:ind w:firstLine="720"/>
        <w:jc w:val="both"/>
        <w:rPr>
          <w:lang w:val="en-GB"/>
        </w:rPr>
      </w:pPr>
    </w:p>
    <w:p w14:paraId="596E85DB" w14:textId="77777777" w:rsidR="003465C4" w:rsidRDefault="00B544D1">
      <w:pPr>
        <w:spacing w:after="0" w:line="360" w:lineRule="auto"/>
        <w:ind w:firstLine="720"/>
        <w:jc w:val="both"/>
      </w:pPr>
      <w:r>
        <w:rPr>
          <w:lang w:val="en-GB"/>
        </w:rPr>
        <w:t xml:space="preserve">In fall 2017, TAPIOCA36 and GLORYS12V1 are again in </w:t>
      </w:r>
      <w:r>
        <w:rPr>
          <w:rFonts w:cstheme="majorHAnsi"/>
          <w:lang w:val="en-GB"/>
        </w:rPr>
        <w:t>good agreement with</w:t>
      </w:r>
      <w:r>
        <w:rPr>
          <w:lang w:val="en-GB"/>
        </w:rPr>
        <w:t xml:space="preserve"> the zonal eastward (</w:t>
      </w:r>
      <w:r>
        <w:rPr>
          <w:rFonts w:cstheme="majorHAnsi"/>
          <w:lang w:val="en-GB"/>
        </w:rPr>
        <w:t>south of 7.5°S) and westward (north of 7.5°S)</w:t>
      </w:r>
      <w:r>
        <w:rPr>
          <w:lang w:val="en-GB"/>
        </w:rPr>
        <w:t xml:space="preserve"> patterns observed in the ADCP with similar current structure and intensities (Fig. S4a,d,g), although the speed tends to be slighyly underestimated in the simulations. In fall, the NBUC core rises to the surface waters </w:t>
      </w:r>
      <w:r>
        <w:fldChar w:fldCharType="begin"/>
      </w:r>
      <w:r>
        <w:instrText>ADDIN ZOTERO_ITEM CSL_CITATION {"citationID":"66gFIYFl","properties":{"formattedCitation":"(Dossa et al. 2021)","plainCitation":"(Dossa et al. 2021)","noteIndex":0},"citationItems":[{"id":823,"uris":["http://zotero.org/users/5738691/items/AXZPYE4J"],"itemData":{"id":823,"type":"article-journal","abstract":"In the tropical Atlantic Ocean, the North Brazil Undercurrent (NBUC) and the North Brazil Current (NBC) play important roles as near-surface northward paths for the Atlantic meridional overturning circulation. To inves­ tigate the meridional evolution of the near-surface western boundary circulation in that region, two surveys were carried out off Northeast Brazil during austral spring 2015 and fall 2017, periods that we show to be repre­ sentative of typical conditions for the spring and fall seasons. Using conductivity temperature depth oxygen probe and ship-mounted acoustic Doppler current profiler measurements, altimetry data, and numerical rean­ alysis products, we examine the spatiotemporal variability of the NBUC, providing a comprehensive view of the circulation, including NBUC-NBC transition and the potential impact of mesoscale eddies. The NBUC originating south of 10◦S flows equatorward over the continental slope. NBUC mean velocity, transport and vertical extent of the velocity core were higher in spring 2015 (0.81 m s− 1, 15.6 Sv, and &gt;400 m) than in fall 2017 (0.65 m s− 1, 11.0 Sv, and ~300 m). The upper limit of the NBUC velocity core rose slightly from 160 m at 9◦S to 105 m depth at 6◦S. This pattern is associated with a northward increase in current velocity from 0.7 m s− 1 at 9◦S to 1 m s− 1 at 5◦S. The orographic effect shifts the flow from northeastward south of 7.5◦S to northwestward north of 7.5◦S, following the shoreline. Besides, altimetry data show that this flow can be locally influenced by mesoscale ac­ tivity. Farther north, at ~4.8◦S, data obtained in fall 2017 show that the central branch of the South Equatorial Current (cSEC) enters into the western boundary system where it coalesces with the NBUC to form the NBC, flowing toward the Caribbean Sea. Finally, in fall, the NBUC retroflection does not feed the South Equatorial Undercurrent (SEUC), which, instead originates from retroflections of the cSEC and the equatorial branch of the South Equatorial Current (eSEC).","container-title":"Progress in Oceanography","DOI":"10.1016/j.pocean.2020.102475","ISSN":"00796611","journalAbbreviation":"Progress in Oceanography","language":"en","page":"102475","source":"DOI.org (Crossref)","title":"Near-surface western boundary circulation off Northeast Brazil","volume":"190","author":[{"family":"Dossa","given":"Alina N."},{"family":"Silva","given":"Alex C."},{"family":"Chaigneau","given":"Alexis"},{"family":"Eldin","given":"Gérard"},{"family":"Araujo","given":"Moacyr"},{"family":"Bertrand","given":"Arnaud"}],"issued":{"date-parts":[["2021",1]]}}}],"schema":"https://github.com/citation-style-language/schema/raw/master/csl-citation.json"}</w:instrText>
      </w:r>
      <w:r>
        <w:fldChar w:fldCharType="separate"/>
      </w:r>
      <w:bookmarkStart w:id="7" w:name="__Fieldmark__309_1232208114"/>
      <w:r>
        <w:rPr>
          <w:lang w:val="en-GB"/>
        </w:rPr>
        <w:t>(</w:t>
      </w:r>
      <w:bookmarkStart w:id="8" w:name="__Fieldmark__296_1102474989"/>
      <w:r>
        <w:rPr>
          <w:lang w:val="en-GB"/>
        </w:rPr>
        <w:t>Dossa et al. 2021)</w:t>
      </w:r>
      <w:r>
        <w:fldChar w:fldCharType="end"/>
      </w:r>
      <w:bookmarkEnd w:id="7"/>
      <w:bookmarkEnd w:id="8"/>
      <w:r>
        <w:rPr>
          <w:lang w:val="en-GB"/>
        </w:rPr>
        <w:t>, as evidenced in the ADCP data (Fig. S4b). TAPIOCA36 and GLORYS12V1 reproduce the NBUC core position and speed fairly well, except that the simulated currents are weaker by approximately 0.1 m/s in the core. At the surface the velocities simulated by TAPIOCA36 and GLORYS12V1 are underestimated by 0.3 up to 0.4 m/s compared to the observations (Fig. S4e,h). However, TAPIOCA36 imp</w:t>
      </w:r>
      <w:r w:rsidR="004453F4">
        <w:rPr>
          <w:lang w:val="en-GB"/>
        </w:rPr>
        <w:t>roves this surface modelled bia</w:t>
      </w:r>
      <w:r>
        <w:rPr>
          <w:lang w:val="en-GB"/>
        </w:rPr>
        <w:t>s by approximately 0.1 m/s.</w:t>
      </w:r>
    </w:p>
    <w:p w14:paraId="0011FE33" w14:textId="77777777" w:rsidR="003465C4" w:rsidRDefault="003465C4">
      <w:pPr>
        <w:spacing w:after="0" w:line="360" w:lineRule="auto"/>
        <w:jc w:val="both"/>
        <w:rPr>
          <w:lang w:val="en-GB"/>
        </w:rPr>
      </w:pPr>
    </w:p>
    <w:p w14:paraId="4D51A39F" w14:textId="77777777" w:rsidR="003465C4" w:rsidRDefault="00B544D1">
      <w:pPr>
        <w:spacing w:after="0" w:line="360" w:lineRule="auto"/>
        <w:jc w:val="both"/>
        <w:rPr>
          <w:lang w:val="en-GB"/>
        </w:rPr>
      </w:pPr>
      <w:r>
        <w:rPr>
          <w:noProof/>
          <w:lang w:val="pt-BR"/>
        </w:rPr>
        <w:drawing>
          <wp:inline distT="0" distB="0" distL="0" distR="0" wp14:anchorId="0704E9F4" wp14:editId="628FE0F3">
            <wp:extent cx="5760085" cy="4318000"/>
            <wp:effectExtent l="0" t="0" r="0" b="0"/>
            <wp:docPr id="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a:picLocks noChangeAspect="1" noChangeArrowheads="1"/>
                    </pic:cNvPicPr>
                  </pic:nvPicPr>
                  <pic:blipFill>
                    <a:blip r:embed="rId10"/>
                    <a:stretch>
                      <a:fillRect/>
                    </a:stretch>
                  </pic:blipFill>
                  <pic:spPr bwMode="auto">
                    <a:xfrm>
                      <a:off x="0" y="0"/>
                      <a:ext cx="5760085" cy="4318000"/>
                    </a:xfrm>
                    <a:prstGeom prst="rect">
                      <a:avLst/>
                    </a:prstGeom>
                  </pic:spPr>
                </pic:pic>
              </a:graphicData>
            </a:graphic>
          </wp:inline>
        </w:drawing>
      </w:r>
    </w:p>
    <w:p w14:paraId="4FFEF456" w14:textId="77777777" w:rsidR="004453F4" w:rsidRDefault="00B544D1" w:rsidP="004453F4">
      <w:pPr>
        <w:spacing w:after="0" w:line="360" w:lineRule="auto"/>
        <w:jc w:val="both"/>
      </w:pPr>
      <w:r>
        <w:rPr>
          <w:b/>
          <w:lang w:val="en-GB"/>
        </w:rPr>
        <w:t>Figure S4.</w:t>
      </w:r>
      <w:r>
        <w:rPr>
          <w:lang w:val="en-GB"/>
        </w:rPr>
        <w:t xml:space="preserve"> </w:t>
      </w:r>
      <w:r w:rsidR="004453F4">
        <w:rPr>
          <w:lang w:val="en-GB"/>
        </w:rPr>
        <w:t>Comparison of the currents between ADCP data (a-c), TAPIOCA36 (d-f), and GLORYS12V1 (g-i) in fall 2017 in the region of the NBUC (blue polygon in Fig. 1a). U, V, and Vt correspond to the zonal component, meridional component and overall velocity, respectively. Observations and simulations are co-localized in time and space.</w:t>
      </w:r>
    </w:p>
    <w:p w14:paraId="02F06C1A" w14:textId="77777777" w:rsidR="003465C4" w:rsidRDefault="00B544D1">
      <w:pPr>
        <w:jc w:val="both"/>
        <w:rPr>
          <w:lang w:val="en-GB"/>
        </w:rPr>
      </w:pPr>
      <w:r>
        <w:br w:type="page"/>
      </w:r>
    </w:p>
    <w:p w14:paraId="5C6FC14A" w14:textId="77777777" w:rsidR="003465C4" w:rsidRPr="004453F4" w:rsidRDefault="00B544D1">
      <w:pPr>
        <w:spacing w:after="0" w:line="360" w:lineRule="auto"/>
        <w:jc w:val="both"/>
      </w:pPr>
      <w:r>
        <w:rPr>
          <w:lang w:val="en-GB"/>
        </w:rPr>
        <w:lastRenderedPageBreak/>
        <w:t>To further assess the model performance in reproducing the alongshore and cross-shore components of the NBUC, we zoomed on a specific cross-shore section (6.8°S; yellow line in Fig. S1). In spring 2015 (Fig. S5)</w:t>
      </w:r>
      <w:r w:rsidR="004453F4">
        <w:rPr>
          <w:lang w:val="en-GB"/>
        </w:rPr>
        <w:t>, TAPIOCA36</w:t>
      </w:r>
      <w:r>
        <w:rPr>
          <w:lang w:val="en-GB"/>
        </w:rPr>
        <w:t xml:space="preserve"> reproduces quite well the cross-shore current oriented eastward, but the modelled currents are more intense than the observations below 60 m depth (Fig. S5a,d), whereas GLORYS12V1 reproduces an unrealistic westward current (Fig. S5g). The alongshore northward (&gt;0, Fig. S4 b,e,h) flow </w:t>
      </w:r>
      <w:r w:rsidR="004453F4">
        <w:rPr>
          <w:lang w:val="en-GB"/>
        </w:rPr>
        <w:t>and total velocity (</w:t>
      </w:r>
      <w:r w:rsidR="00745514">
        <w:rPr>
          <w:lang w:val="en-GB"/>
        </w:rPr>
        <w:t>Fig. S4 c,f,i</w:t>
      </w:r>
      <w:r w:rsidR="004453F4">
        <w:rPr>
          <w:lang w:val="en-GB"/>
        </w:rPr>
        <w:t>)</w:t>
      </w:r>
      <w:r>
        <w:rPr>
          <w:lang w:val="en-GB"/>
        </w:rPr>
        <w:t xml:space="preserve">characterizes the NBUC in the data and simulations, however, TAPIOCA 36 </w:t>
      </w:r>
      <w:r w:rsidR="00745514">
        <w:rPr>
          <w:lang w:val="en-GB"/>
        </w:rPr>
        <w:t>and GLORYS12V1 are</w:t>
      </w:r>
      <w:r>
        <w:rPr>
          <w:lang w:val="en-GB"/>
        </w:rPr>
        <w:t xml:space="preserve"> slightly weak</w:t>
      </w:r>
      <w:r w:rsidR="00745514">
        <w:rPr>
          <w:lang w:val="en-GB"/>
        </w:rPr>
        <w:t>er</w:t>
      </w:r>
      <w:r>
        <w:rPr>
          <w:lang w:val="en-GB"/>
        </w:rPr>
        <w:t xml:space="preserve"> compared to the observations above 40 m.</w:t>
      </w:r>
    </w:p>
    <w:p w14:paraId="4657154B" w14:textId="77777777" w:rsidR="003465C4" w:rsidRDefault="00B544D1">
      <w:pPr>
        <w:spacing w:after="0" w:line="360" w:lineRule="auto"/>
        <w:jc w:val="both"/>
        <w:rPr>
          <w:lang w:val="en-GB"/>
        </w:rPr>
      </w:pPr>
      <w:r>
        <w:rPr>
          <w:noProof/>
          <w:lang w:val="pt-BR"/>
        </w:rPr>
        <w:drawing>
          <wp:inline distT="0" distB="0" distL="0" distR="0" wp14:anchorId="44B5A3AB" wp14:editId="0754A55A">
            <wp:extent cx="5760085" cy="4318000"/>
            <wp:effectExtent l="0" t="0" r="0" b="0"/>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png"/>
                    <pic:cNvPicPr>
                      <a:picLocks noChangeAspect="1" noChangeArrowheads="1"/>
                    </pic:cNvPicPr>
                  </pic:nvPicPr>
                  <pic:blipFill>
                    <a:blip r:embed="rId11"/>
                    <a:stretch>
                      <a:fillRect/>
                    </a:stretch>
                  </pic:blipFill>
                  <pic:spPr bwMode="auto">
                    <a:xfrm>
                      <a:off x="0" y="0"/>
                      <a:ext cx="5760085" cy="4318000"/>
                    </a:xfrm>
                    <a:prstGeom prst="rect">
                      <a:avLst/>
                    </a:prstGeom>
                  </pic:spPr>
                </pic:pic>
              </a:graphicData>
            </a:graphic>
          </wp:inline>
        </w:drawing>
      </w:r>
    </w:p>
    <w:p w14:paraId="15D8ADD3" w14:textId="77777777" w:rsidR="003465C4" w:rsidRDefault="00B544D1">
      <w:pPr>
        <w:spacing w:after="0" w:line="360" w:lineRule="auto"/>
        <w:jc w:val="both"/>
      </w:pPr>
      <w:r>
        <w:rPr>
          <w:b/>
          <w:lang w:val="en-GB"/>
        </w:rPr>
        <w:t>Figure S5.</w:t>
      </w:r>
      <w:r>
        <w:rPr>
          <w:lang w:val="en-GB"/>
        </w:rPr>
        <w:t xml:space="preserve"> Comparison of the currents between ADCP data (a-c), TAPIOCA36 (d-f), and GLORYS12V1 (g-i) mean cross-shore component (Vcr), alongshore component (Val), and overall velocity (Speed) at 6.8ºS (yellow line in Figure S1a) </w:t>
      </w:r>
      <w:r w:rsidR="00745514">
        <w:rPr>
          <w:lang w:val="en-GB"/>
        </w:rPr>
        <w:t>in spring 2015</w:t>
      </w:r>
      <w:r>
        <w:rPr>
          <w:lang w:val="en-GB"/>
        </w:rPr>
        <w:t>. Observations and simulations are co-localized in time and space.</w:t>
      </w:r>
    </w:p>
    <w:p w14:paraId="34912762" w14:textId="77777777" w:rsidR="00745514" w:rsidRDefault="00745514">
      <w:pPr>
        <w:spacing w:after="0" w:line="240" w:lineRule="auto"/>
        <w:rPr>
          <w:lang w:val="en-GB"/>
        </w:rPr>
      </w:pPr>
      <w:r>
        <w:rPr>
          <w:lang w:val="en-GB"/>
        </w:rPr>
        <w:br w:type="page"/>
      </w:r>
    </w:p>
    <w:p w14:paraId="3FA0A920" w14:textId="77777777" w:rsidR="003465C4" w:rsidRDefault="00B544D1">
      <w:pPr>
        <w:jc w:val="both"/>
      </w:pPr>
      <w:r>
        <w:rPr>
          <w:lang w:val="en-GB"/>
        </w:rPr>
        <w:lastRenderedPageBreak/>
        <w:t>In fall 2017, TAPIOCA36 reproduces the cross-shore flow structure in very good agreement with observation, unlike GLORYS12V1 that failed again to reproduce the eastward current structure (Fig. S6a,d,g). However, the alongshore currents and their magnitude are too strong in both TAPIOCA36 and GLORYS12V1 compared with the observations (figure S6 b,e,h).</w:t>
      </w:r>
    </w:p>
    <w:p w14:paraId="11851841" w14:textId="77777777" w:rsidR="003465C4" w:rsidRDefault="003465C4">
      <w:pPr>
        <w:spacing w:after="0" w:line="360" w:lineRule="auto"/>
        <w:ind w:firstLine="720"/>
        <w:jc w:val="both"/>
        <w:rPr>
          <w:lang w:val="en-GB"/>
        </w:rPr>
      </w:pPr>
    </w:p>
    <w:p w14:paraId="3A00311B" w14:textId="77777777" w:rsidR="003465C4" w:rsidRDefault="00B544D1">
      <w:pPr>
        <w:spacing w:after="0" w:line="360" w:lineRule="auto"/>
        <w:jc w:val="both"/>
        <w:rPr>
          <w:lang w:val="en-GB"/>
        </w:rPr>
      </w:pPr>
      <w:r>
        <w:rPr>
          <w:noProof/>
          <w:lang w:val="pt-BR"/>
        </w:rPr>
        <w:drawing>
          <wp:inline distT="0" distB="0" distL="0" distR="0" wp14:anchorId="55581315" wp14:editId="2EE0FEF9">
            <wp:extent cx="5760085" cy="4318000"/>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a:picLocks noChangeAspect="1" noChangeArrowheads="1"/>
                    </pic:cNvPicPr>
                  </pic:nvPicPr>
                  <pic:blipFill>
                    <a:blip r:embed="rId12"/>
                    <a:stretch>
                      <a:fillRect/>
                    </a:stretch>
                  </pic:blipFill>
                  <pic:spPr bwMode="auto">
                    <a:xfrm>
                      <a:off x="0" y="0"/>
                      <a:ext cx="5760085" cy="4318000"/>
                    </a:xfrm>
                    <a:prstGeom prst="rect">
                      <a:avLst/>
                    </a:prstGeom>
                  </pic:spPr>
                </pic:pic>
              </a:graphicData>
            </a:graphic>
          </wp:inline>
        </w:drawing>
      </w:r>
    </w:p>
    <w:p w14:paraId="3468BB31" w14:textId="77777777" w:rsidR="003465C4" w:rsidRDefault="00B544D1">
      <w:pPr>
        <w:spacing w:after="0" w:line="360" w:lineRule="auto"/>
        <w:jc w:val="both"/>
      </w:pPr>
      <w:r>
        <w:rPr>
          <w:b/>
          <w:lang w:val="en-GB"/>
        </w:rPr>
        <w:t>Figure S6.</w:t>
      </w:r>
      <w:r>
        <w:rPr>
          <w:lang w:val="en-GB"/>
        </w:rPr>
        <w:t xml:space="preserve"> </w:t>
      </w:r>
      <w:r w:rsidR="00745514">
        <w:rPr>
          <w:lang w:val="en-GB"/>
        </w:rPr>
        <w:t>Comparison of the currents between ADCP data (a-c), TAPIOCA36 (d-f), and GLORYS12V1 (g-i) mean cross-shore component (Vcr), alongshore component (Val), and overall velocity (Speed) at 6.8ºS (yellow line in Figure S1a) in fall 2017. Observations and simulations are co-localized in time and space.</w:t>
      </w:r>
    </w:p>
    <w:p w14:paraId="30E20D3C" w14:textId="77777777" w:rsidR="003465C4" w:rsidRDefault="00B544D1">
      <w:pPr>
        <w:jc w:val="both"/>
        <w:rPr>
          <w:lang w:val="en-GB"/>
        </w:rPr>
      </w:pPr>
      <w:r>
        <w:br w:type="page"/>
      </w:r>
    </w:p>
    <w:p w14:paraId="6B2286BE" w14:textId="77777777" w:rsidR="003465C4" w:rsidRDefault="003465C4">
      <w:pPr>
        <w:spacing w:after="0" w:line="360" w:lineRule="auto"/>
        <w:ind w:firstLine="720"/>
        <w:jc w:val="both"/>
        <w:rPr>
          <w:lang w:val="en-GB"/>
        </w:rPr>
      </w:pPr>
    </w:p>
    <w:p w14:paraId="26981FF6" w14:textId="77777777" w:rsidR="003465C4" w:rsidRDefault="00B544D1">
      <w:pPr>
        <w:spacing w:after="0" w:line="360" w:lineRule="auto"/>
        <w:ind w:firstLine="720"/>
        <w:jc w:val="both"/>
      </w:pPr>
      <w:r>
        <w:rPr>
          <w:lang w:val="en-GB"/>
        </w:rPr>
        <w:t>Along a section crossing the archipelago of Fernando de Noronha (red line in Fig. S1), in spring 2015 TAPIOCA36 reproduces the observed central South Equatorial Current (cSEC)</w:t>
      </w:r>
      <w:r w:rsidR="00745514">
        <w:rPr>
          <w:lang w:val="en-GB"/>
        </w:rPr>
        <w:t xml:space="preserve"> </w:t>
      </w:r>
      <w:r>
        <w:rPr>
          <w:lang w:val="en-GB"/>
        </w:rPr>
        <w:t>well, performing slightly better than GLORYS12V1. However, both are weaker than the observations, in particular north of the archipelago (Fig. S7a,c,d,f,g,i). In this region, the meridional flow is weak and predominantly northward in both  observations and simulations (Fig. S7b,e,</w:t>
      </w:r>
      <w:r w:rsidR="00745514">
        <w:rPr>
          <w:lang w:val="en-GB"/>
        </w:rPr>
        <w:t>h).</w:t>
      </w:r>
    </w:p>
    <w:p w14:paraId="350EDA70" w14:textId="77777777" w:rsidR="003465C4" w:rsidRDefault="003465C4">
      <w:pPr>
        <w:spacing w:after="0" w:line="360" w:lineRule="auto"/>
        <w:ind w:firstLine="720"/>
        <w:jc w:val="both"/>
        <w:rPr>
          <w:lang w:val="en-GB"/>
        </w:rPr>
      </w:pPr>
    </w:p>
    <w:p w14:paraId="15DECBC3" w14:textId="77777777" w:rsidR="003465C4" w:rsidRDefault="00B544D1">
      <w:pPr>
        <w:spacing w:after="0" w:line="360" w:lineRule="auto"/>
        <w:jc w:val="both"/>
        <w:rPr>
          <w:lang w:val="en-GB"/>
        </w:rPr>
      </w:pPr>
      <w:r>
        <w:rPr>
          <w:noProof/>
          <w:lang w:val="pt-BR"/>
        </w:rPr>
        <w:drawing>
          <wp:inline distT="0" distB="0" distL="0" distR="0" wp14:anchorId="08A250FB" wp14:editId="56095B57">
            <wp:extent cx="5760085" cy="4318000"/>
            <wp:effectExtent l="0" t="0" r="0" b="0"/>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3.png"/>
                    <pic:cNvPicPr>
                      <a:picLocks noChangeAspect="1" noChangeArrowheads="1"/>
                    </pic:cNvPicPr>
                  </pic:nvPicPr>
                  <pic:blipFill>
                    <a:blip r:embed="rId13"/>
                    <a:stretch>
                      <a:fillRect/>
                    </a:stretch>
                  </pic:blipFill>
                  <pic:spPr bwMode="auto">
                    <a:xfrm>
                      <a:off x="0" y="0"/>
                      <a:ext cx="5760085" cy="4318000"/>
                    </a:xfrm>
                    <a:prstGeom prst="rect">
                      <a:avLst/>
                    </a:prstGeom>
                  </pic:spPr>
                </pic:pic>
              </a:graphicData>
            </a:graphic>
          </wp:inline>
        </w:drawing>
      </w:r>
    </w:p>
    <w:p w14:paraId="1F3BBFD9" w14:textId="77777777" w:rsidR="003465C4" w:rsidRDefault="00B544D1">
      <w:pPr>
        <w:spacing w:after="0" w:line="360" w:lineRule="auto"/>
        <w:jc w:val="both"/>
      </w:pPr>
      <w:r>
        <w:rPr>
          <w:lang w:val="en-GB"/>
        </w:rPr>
        <w:t xml:space="preserve"> </w:t>
      </w:r>
      <w:r>
        <w:rPr>
          <w:b/>
          <w:lang w:val="en-GB"/>
        </w:rPr>
        <w:t>Figure S7.</w:t>
      </w:r>
      <w:r>
        <w:rPr>
          <w:lang w:val="en-GB"/>
        </w:rPr>
        <w:t xml:space="preserve"> Comparison of the currents between ADCP data (a-c), TAPIOCA36 (d-f), and GLORYS12V1 (g-i) in spring 2015 across the archipelago Fernando de Noronha (red line in Fig1a). U, V, and Vt correspond to the current velocity's zonal, meridional, and magnitude components, respectively. Observations and simulations are co-localized in time and space.</w:t>
      </w:r>
    </w:p>
    <w:p w14:paraId="523BB0A9" w14:textId="77777777" w:rsidR="003465C4" w:rsidRDefault="00B544D1">
      <w:pPr>
        <w:jc w:val="both"/>
        <w:rPr>
          <w:lang w:val="en-GB"/>
        </w:rPr>
      </w:pPr>
      <w:r>
        <w:br w:type="page"/>
      </w:r>
    </w:p>
    <w:p w14:paraId="56F53283" w14:textId="77777777" w:rsidR="003465C4" w:rsidRDefault="003465C4">
      <w:pPr>
        <w:spacing w:after="0" w:line="360" w:lineRule="auto"/>
        <w:jc w:val="both"/>
        <w:rPr>
          <w:lang w:val="en-GB"/>
        </w:rPr>
      </w:pPr>
    </w:p>
    <w:p w14:paraId="179FB3BE" w14:textId="77777777" w:rsidR="003465C4" w:rsidRPr="00745514" w:rsidRDefault="00B544D1" w:rsidP="00745514">
      <w:pPr>
        <w:spacing w:after="0" w:line="360" w:lineRule="auto"/>
        <w:ind w:firstLine="720"/>
        <w:jc w:val="both"/>
        <w:rPr>
          <w:lang w:val="en-GB"/>
        </w:rPr>
      </w:pPr>
      <w:r>
        <w:rPr>
          <w:lang w:val="en-GB"/>
        </w:rPr>
        <w:t>In fall 2017, both TAPIOCA36</w:t>
      </w:r>
      <w:r w:rsidR="00745514">
        <w:rPr>
          <w:lang w:val="en-GB"/>
        </w:rPr>
        <w:t xml:space="preserve"> and</w:t>
      </w:r>
      <w:r>
        <w:rPr>
          <w:lang w:val="en-GB"/>
        </w:rPr>
        <w:t xml:space="preserve"> GLORYS12V1 produce  a slightly weaker cSEC current zonal component by 0.2 m/s compared to the data (Fig S7a,d,h). Also, the</w:t>
      </w:r>
      <w:r w:rsidR="00745514">
        <w:rPr>
          <w:lang w:val="en-GB"/>
        </w:rPr>
        <w:t xml:space="preserve"> </w:t>
      </w:r>
      <w:r>
        <w:rPr>
          <w:lang w:val="en-GB"/>
        </w:rPr>
        <w:t xml:space="preserve">shear with the South Equatorial Undercurrent (SEUC; U&gt;0, Fig. S7a) </w:t>
      </w:r>
      <w:r w:rsidR="00745514">
        <w:rPr>
          <w:lang w:val="en-GB"/>
        </w:rPr>
        <w:t xml:space="preserve">observed between 80 and 100 m, occurs ins deeper levels in the simulations </w:t>
      </w:r>
      <w:r>
        <w:rPr>
          <w:lang w:val="en-GB"/>
        </w:rPr>
        <w:t>(Fig. S7d,g). The meridional components are also slightly weaker in TAPIOCA36 and GLORYS12V1 than in the data.</w:t>
      </w:r>
    </w:p>
    <w:p w14:paraId="64BF45EE" w14:textId="77777777" w:rsidR="003465C4" w:rsidRDefault="00B544D1">
      <w:pPr>
        <w:spacing w:after="0" w:line="360" w:lineRule="auto"/>
        <w:jc w:val="both"/>
        <w:rPr>
          <w:lang w:val="en-GB"/>
        </w:rPr>
      </w:pPr>
      <w:r>
        <w:rPr>
          <w:noProof/>
          <w:lang w:val="pt-BR"/>
        </w:rPr>
        <w:drawing>
          <wp:inline distT="0" distB="0" distL="0" distR="0" wp14:anchorId="4001EE40" wp14:editId="251DD855">
            <wp:extent cx="5760085" cy="4318000"/>
            <wp:effectExtent l="0" t="0" r="0" b="0"/>
            <wp:docPr id="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a:picLocks noChangeAspect="1" noChangeArrowheads="1"/>
                    </pic:cNvPicPr>
                  </pic:nvPicPr>
                  <pic:blipFill>
                    <a:blip r:embed="rId14"/>
                    <a:stretch>
                      <a:fillRect/>
                    </a:stretch>
                  </pic:blipFill>
                  <pic:spPr bwMode="auto">
                    <a:xfrm>
                      <a:off x="0" y="0"/>
                      <a:ext cx="5760085" cy="4318000"/>
                    </a:xfrm>
                    <a:prstGeom prst="rect">
                      <a:avLst/>
                    </a:prstGeom>
                  </pic:spPr>
                </pic:pic>
              </a:graphicData>
            </a:graphic>
          </wp:inline>
        </w:drawing>
      </w:r>
    </w:p>
    <w:p w14:paraId="18EAA75C" w14:textId="77777777" w:rsidR="003465C4" w:rsidRDefault="00B544D1">
      <w:pPr>
        <w:spacing w:after="0" w:line="360" w:lineRule="auto"/>
        <w:jc w:val="both"/>
        <w:rPr>
          <w:lang w:val="en-GB"/>
        </w:rPr>
      </w:pPr>
      <w:r>
        <w:rPr>
          <w:lang w:val="en-GB"/>
        </w:rPr>
        <w:t xml:space="preserve"> </w:t>
      </w:r>
    </w:p>
    <w:p w14:paraId="7D233D79" w14:textId="77777777" w:rsidR="00745514" w:rsidRDefault="00B544D1" w:rsidP="00745514">
      <w:pPr>
        <w:spacing w:after="0" w:line="360" w:lineRule="auto"/>
        <w:jc w:val="both"/>
      </w:pPr>
      <w:r>
        <w:rPr>
          <w:b/>
          <w:lang w:val="en-GB"/>
        </w:rPr>
        <w:t>Figure S8.</w:t>
      </w:r>
      <w:r>
        <w:rPr>
          <w:lang w:val="en-GB"/>
        </w:rPr>
        <w:t xml:space="preserve"> </w:t>
      </w:r>
      <w:r w:rsidR="00745514">
        <w:rPr>
          <w:lang w:val="en-GB"/>
        </w:rPr>
        <w:t xml:space="preserve">Comparison of the currents between ADCP data (a-c), TAPIOCA36 (d-f), and GLORYS12V1 (g-i) in </w:t>
      </w:r>
      <w:r w:rsidR="00D82C5B">
        <w:rPr>
          <w:lang w:val="en-GB"/>
        </w:rPr>
        <w:t>fall 2017</w:t>
      </w:r>
      <w:r w:rsidR="00745514">
        <w:rPr>
          <w:lang w:val="en-GB"/>
        </w:rPr>
        <w:t xml:space="preserve"> across the archipelago Fernando de Noronha (red line in Fig1a). U, V, and Vt correspond to the current velocity's zonal, meridional, and magnitude components, respectively. Observations and simulations are co-localized in time and space.</w:t>
      </w:r>
    </w:p>
    <w:p w14:paraId="4BFA4EFB" w14:textId="77777777" w:rsidR="003465C4" w:rsidRDefault="003465C4">
      <w:pPr>
        <w:spacing w:after="0" w:line="360" w:lineRule="auto"/>
        <w:jc w:val="both"/>
      </w:pPr>
    </w:p>
    <w:p w14:paraId="5CB4CF1F" w14:textId="77777777" w:rsidR="003465C4" w:rsidRDefault="00B544D1">
      <w:pPr>
        <w:jc w:val="both"/>
        <w:rPr>
          <w:lang w:val="en-GB"/>
        </w:rPr>
      </w:pPr>
      <w:r>
        <w:br w:type="page"/>
      </w:r>
    </w:p>
    <w:p w14:paraId="1F7AAD3C" w14:textId="77777777" w:rsidR="003465C4" w:rsidRDefault="003465C4">
      <w:pPr>
        <w:spacing w:after="0" w:line="360" w:lineRule="auto"/>
        <w:jc w:val="both"/>
        <w:rPr>
          <w:lang w:val="en-GB"/>
        </w:rPr>
      </w:pPr>
    </w:p>
    <w:p w14:paraId="40548986" w14:textId="77777777" w:rsidR="003465C4" w:rsidRDefault="003465C4">
      <w:pPr>
        <w:spacing w:after="0" w:line="360" w:lineRule="auto"/>
        <w:jc w:val="both"/>
        <w:rPr>
          <w:lang w:val="en-GB"/>
        </w:rPr>
      </w:pPr>
    </w:p>
    <w:p w14:paraId="062CB266" w14:textId="77777777" w:rsidR="003465C4" w:rsidRDefault="00B544D1">
      <w:pPr>
        <w:spacing w:after="0" w:line="360" w:lineRule="auto"/>
        <w:ind w:firstLine="720"/>
        <w:jc w:val="both"/>
      </w:pPr>
      <w:r>
        <w:rPr>
          <w:lang w:val="en-GB"/>
        </w:rPr>
        <w:t>The climatological (2009-2017) seasonal variability of the Brazilian alongshore currents from 9°S to 6°S (</w:t>
      </w:r>
      <w:bookmarkStart w:id="9" w:name="__DdeLink__1116_1102474989"/>
      <w:r>
        <w:rPr>
          <w:lang w:val="en-GB"/>
        </w:rPr>
        <w:t>blue rectangle in Fig. S1</w:t>
      </w:r>
      <w:bookmarkEnd w:id="9"/>
      <w:r>
        <w:rPr>
          <w:lang w:val="en-GB"/>
        </w:rPr>
        <w:t xml:space="preserve">; 0-100 m depth average) are stronger (&gt;0.4 m/s) south of 7°S than in the northern part, for both TAPIOCA36 and GLORYS12V1 (Fig. S9), in agreement with previous observations (Dossa et al., 2021). However, this intensification is stronger (by ~ 0.1 m/s) and persists for a longer period in TAPIOCA36 (February-September) than in GLORYS12V1 (April-August). The current above 100 m depth corresponds to the upward movement of the core of the NBUC towards the surface. Both models capture the seasonal variability of this upward movement, resulting in higher current speeds in the autumn when compared to spring, </w:t>
      </w:r>
      <w:bookmarkStart w:id="10" w:name="__DdeLink__1114_1102474989"/>
      <w:r>
        <w:rPr>
          <w:lang w:val="en-GB"/>
        </w:rPr>
        <w:t>in accordance with previous observations (Dossa et al., 2021)</w:t>
      </w:r>
      <w:bookmarkEnd w:id="10"/>
      <w:r>
        <w:rPr>
          <w:lang w:val="en-GB"/>
        </w:rPr>
        <w:t xml:space="preserve">. Nevertheless, TAPIOCA36 exhibits a more pronounced intensification of the upward movement, what is in better agreement with </w:t>
      </w:r>
      <w:r>
        <w:rPr>
          <w:i/>
          <w:lang w:val="en-GB"/>
        </w:rPr>
        <w:t>in-situ</w:t>
      </w:r>
      <w:r>
        <w:rPr>
          <w:lang w:val="en-GB"/>
        </w:rPr>
        <w:t xml:space="preserve"> ADCP data (Figure S4).</w:t>
      </w:r>
      <w:r>
        <w:rPr>
          <w:noProof/>
          <w:lang w:val="pt-BR"/>
        </w:rPr>
        <w:drawing>
          <wp:inline distT="0" distB="0" distL="0" distR="0" wp14:anchorId="0500E882" wp14:editId="0EE47C7A">
            <wp:extent cx="5760085" cy="3594100"/>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png"/>
                    <pic:cNvPicPr>
                      <a:picLocks noChangeAspect="1" noChangeArrowheads="1"/>
                    </pic:cNvPicPr>
                  </pic:nvPicPr>
                  <pic:blipFill>
                    <a:blip r:embed="rId15"/>
                    <a:stretch>
                      <a:fillRect/>
                    </a:stretch>
                  </pic:blipFill>
                  <pic:spPr bwMode="auto">
                    <a:xfrm>
                      <a:off x="0" y="0"/>
                      <a:ext cx="5760085" cy="3594100"/>
                    </a:xfrm>
                    <a:prstGeom prst="rect">
                      <a:avLst/>
                    </a:prstGeom>
                  </pic:spPr>
                </pic:pic>
              </a:graphicData>
            </a:graphic>
          </wp:inline>
        </w:drawing>
      </w:r>
    </w:p>
    <w:p w14:paraId="7BC4A8ED" w14:textId="77777777" w:rsidR="003465C4" w:rsidRDefault="00B544D1">
      <w:pPr>
        <w:spacing w:after="0" w:line="360" w:lineRule="auto"/>
        <w:jc w:val="both"/>
      </w:pPr>
      <w:r>
        <w:rPr>
          <w:b/>
          <w:lang w:val="en-GB"/>
        </w:rPr>
        <w:t>Figure S9.</w:t>
      </w:r>
      <w:r>
        <w:rPr>
          <w:lang w:val="en-GB"/>
        </w:rPr>
        <w:t xml:space="preserve"> Climatological (2009-2017) seasonal cycle of mean Brazilian alongshore velocity (averaged between the shelf break and 40 km offshore </w:t>
      </w:r>
      <w:r w:rsidR="00D82C5B">
        <w:rPr>
          <w:lang w:val="en-GB"/>
        </w:rPr>
        <w:t>blue rectangle in Fig. S1</w:t>
      </w:r>
      <w:r>
        <w:rPr>
          <w:lang w:val="en-GB"/>
        </w:rPr>
        <w:t xml:space="preserve"> and between 0-100m depth) from TAPIOCA36 (top) and GLORYS12V1 (bottom).</w:t>
      </w:r>
    </w:p>
    <w:p w14:paraId="42917CF1" w14:textId="77777777" w:rsidR="003465C4" w:rsidRDefault="00B544D1">
      <w:pPr>
        <w:jc w:val="both"/>
        <w:rPr>
          <w:lang w:val="en-GB"/>
        </w:rPr>
      </w:pPr>
      <w:r>
        <w:br w:type="page"/>
      </w:r>
    </w:p>
    <w:p w14:paraId="6272F24E" w14:textId="77777777" w:rsidR="003465C4" w:rsidRDefault="003465C4">
      <w:pPr>
        <w:spacing w:after="0" w:line="360" w:lineRule="auto"/>
        <w:jc w:val="both"/>
        <w:rPr>
          <w:lang w:val="en-GB"/>
        </w:rPr>
      </w:pPr>
    </w:p>
    <w:p w14:paraId="6EC6827C" w14:textId="77777777" w:rsidR="003465C4" w:rsidRDefault="00B544D1">
      <w:pPr>
        <w:spacing w:after="0" w:line="360" w:lineRule="auto"/>
        <w:ind w:firstLine="720"/>
        <w:jc w:val="both"/>
      </w:pPr>
      <w:r>
        <w:rPr>
          <w:lang w:val="en-GB"/>
        </w:rPr>
        <w:t xml:space="preserve">Across the Fernando de Noronha archipelago, where the cSEC flows westwards, both TAPIOCA36 and GLORYS simulations faithfully reproduce the seasonal behaviour of the current (Figure S10) described by Silva et al. </w:t>
      </w:r>
      <w:r>
        <w:fldChar w:fldCharType="begin"/>
      </w:r>
      <w:r>
        <w:instrText>ADDIN ZOTERO_ITEM CSL_CITATION {"citationID":"NkN3cw5A","properties":{"formattedCitation":"(2021)","plainCitation":"(2021)","noteIndex":0},"citationItems":[{"id":1423,"uris":["http://zotero.org/users/5738691/items/JD42ADIP"],"itemData":{"id":1423,"type":"article-journal","abstract":"Using current, hydrographic and satellite observations collected off Northeast Brazil around the Fernando de Noronha Archipelago and Rocas Atoll during two oceanographic cruises (spring 2015 and fall 2017), we investigated the general oceanic circulation and its modifications induced by the islands. In spring 2015, the area was characterized by lower SST (26.6°C) and deep mixed-layer (∼90 m). At this depth, a strong current shear was observed between the central branch of the eastward flowing near-surface South Equatorial Current and the westward flowing South Equatorial Undercurrent. In contrast, in fall 2017, SST was higher (∼28.8°C) and the mixed-layer shallower (∼50 m). The shear between the central South Equatorial Current and the South Equatorial Undercurrent was weaker during this period. Interestingly, no oxygen-rich water from the south (retroflection of the North Brazil undercurrent) was observed in the region in fall 2017. In contrast, we revealed the presence of an oxygen-rich water entrained by the South Equatorial Undercurrent reaching Rocas Atoll in spring 2015. Beside these global patterns, island wake effects were noted. The presence of islands, in particular Fernando de Noronha, strongly perturbs central South Equatorial Current and South Equatorial Undercurrent features, with an upstream core splitting and a reorganization of single current core structures downstream of the islands. Near islands, flow disturbances impact the thermohaline structure and biogeochemistry, with a negative anomaly in temperature (−1.3°C) and salinity (−0.15) between 200 and 400 m depth in the southeast side of Fernando Noronha (station 5), where the fluorescence peak (&amp;gt;1.0 mg m\n              –3\n              ) was shallower than at other stations located around Fernando de Noronha, reinforcing the influence of flow-topography. Satellite maps of sea-surface temperature and chlorophyll-a confirmed the presence of several submesoscale features in the study region. Altimetry data suggested the presence of a cyclonic mesoscale eddy around Rocas Atoll in spring 2015. A cyclonic vortex (radius of 28 km) was actually observed in subsurface (150–350 m depth) southeast of Rocas Atoll. This vortex was associated with topographically induced South Equatorial Undercurrent flow separation. These features are likely key processes providing an enrichment from the subsurface to the euphotic layer near islands, supplying local productivity.","container-title":"Frontiers in Marine Science","DOI":"10.3389/fmars.2021.598101","ISSN":"2296-7745","journalAbbreviation":"Front. Mar. Sci.","language":"en","page":"598101","source":"DOI.org (Crossref)","title":"Surface Circulation and Vertical Structure of Upper Ocean Variability Around Fernando de Noronha Archipelago and Rocas Atoll During Spring 2015 and Fall 2017","volume":"8","author":[{"family":"Silva","given":"Alex C."},{"family":"Chaigneau","given":"Alexis"},{"family":"Dossa","given":"Alina N."},{"family":"Eldin","given":"Gerard"},{"family":"Araujo","given":"Moacyr"},{"family":"Bertrand","given":"Arnaud"}],"issued":{"date-parts":[["2021",4,23]]}},"label":"page","suppress-author":true}],"schema":"https://github.com/citation-style-language/schema/raw/master/csl-citation.json"}</w:instrText>
      </w:r>
      <w:r>
        <w:fldChar w:fldCharType="separate"/>
      </w:r>
      <w:bookmarkStart w:id="11" w:name="__Fieldmark__704_1232208114"/>
      <w:r>
        <w:rPr>
          <w:lang w:val="en-GB"/>
        </w:rPr>
        <w:t>(</w:t>
      </w:r>
      <w:bookmarkStart w:id="12" w:name="__Fieldmark__673_1102474989"/>
      <w:r>
        <w:rPr>
          <w:lang w:val="en-GB"/>
        </w:rPr>
        <w:t>2021)</w:t>
      </w:r>
      <w:r>
        <w:fldChar w:fldCharType="end"/>
      </w:r>
      <w:bookmarkEnd w:id="11"/>
      <w:bookmarkEnd w:id="12"/>
      <w:r>
        <w:rPr>
          <w:lang w:val="en-GB"/>
        </w:rPr>
        <w:t xml:space="preserve"> with an increased zonal current in fall compared with spring.</w:t>
      </w:r>
    </w:p>
    <w:p w14:paraId="5088BB51" w14:textId="77777777" w:rsidR="003465C4" w:rsidRDefault="00B544D1">
      <w:pPr>
        <w:spacing w:after="0" w:line="360" w:lineRule="auto"/>
        <w:jc w:val="both"/>
        <w:rPr>
          <w:lang w:val="en-GB"/>
        </w:rPr>
      </w:pPr>
      <w:r>
        <w:rPr>
          <w:noProof/>
          <w:lang w:val="pt-BR"/>
        </w:rPr>
        <w:drawing>
          <wp:inline distT="0" distB="0" distL="0" distR="0" wp14:anchorId="6E87FF1A" wp14:editId="72527DC8">
            <wp:extent cx="5760085" cy="3416300"/>
            <wp:effectExtent l="0" t="0" r="0" b="0"/>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a:picLocks noChangeAspect="1" noChangeArrowheads="1"/>
                    </pic:cNvPicPr>
                  </pic:nvPicPr>
                  <pic:blipFill>
                    <a:blip r:embed="rId16"/>
                    <a:stretch>
                      <a:fillRect/>
                    </a:stretch>
                  </pic:blipFill>
                  <pic:spPr bwMode="auto">
                    <a:xfrm>
                      <a:off x="0" y="0"/>
                      <a:ext cx="5760085" cy="3416300"/>
                    </a:xfrm>
                    <a:prstGeom prst="rect">
                      <a:avLst/>
                    </a:prstGeom>
                  </pic:spPr>
                </pic:pic>
              </a:graphicData>
            </a:graphic>
          </wp:inline>
        </w:drawing>
      </w:r>
    </w:p>
    <w:p w14:paraId="2886FE66" w14:textId="77777777" w:rsidR="003465C4" w:rsidRDefault="00B544D1">
      <w:pPr>
        <w:spacing w:after="0" w:line="360" w:lineRule="auto"/>
        <w:jc w:val="both"/>
      </w:pPr>
      <w:r>
        <w:rPr>
          <w:b/>
          <w:lang w:val="en-GB"/>
        </w:rPr>
        <w:t>Figure S10.</w:t>
      </w:r>
      <w:r>
        <w:rPr>
          <w:lang w:val="en-GB"/>
        </w:rPr>
        <w:t xml:space="preserve"> Climatological (2009-2017) seasonal cycle of zonal velocity component across Fernando de Noronha Archipelago (averaged over 0-100 m depth; red section in Fig. S1 ) from TAPIOCA36 (top) and GLORYS12V1 (bottom). The blank part in each panel corresponds to the archipelago location.</w:t>
      </w:r>
    </w:p>
    <w:p w14:paraId="5DDA5F14" w14:textId="77777777" w:rsidR="003465C4" w:rsidRDefault="003465C4">
      <w:pPr>
        <w:spacing w:after="0" w:line="360" w:lineRule="auto"/>
        <w:jc w:val="both"/>
        <w:rPr>
          <w:lang w:val="en-GB"/>
        </w:rPr>
      </w:pPr>
    </w:p>
    <w:p w14:paraId="1D7E5BCF" w14:textId="77777777" w:rsidR="003465C4" w:rsidRDefault="00B544D1" w:rsidP="00D82C5B">
      <w:pPr>
        <w:spacing w:after="0" w:line="360" w:lineRule="auto"/>
        <w:ind w:firstLine="720"/>
        <w:jc w:val="both"/>
        <w:rPr>
          <w:b/>
          <w:lang w:val="en-GB"/>
        </w:rPr>
      </w:pPr>
      <w:r>
        <w:rPr>
          <w:lang w:val="en-GB"/>
        </w:rPr>
        <w:t>In conclusion, TAPIOCA36 succeeds in reproducing in fairly good agreement the circulation measured during the ABRACOS surveys performed during two distinct seasons and years. TAPIOCA36 improves some of the modelled characteristics provided by GLORYS12V1, such as the cross-shore currents structure at 6.8°S, and the meridional current close to Fernando de Noronha. However, it is essential to recognise the presence of certain finer scale biases. In our Lagrangian study, we recognise that when working with a model, results may not reflect 100 % of reality and considered the general patterns is scales larger than such biases. Moreover, we provide a huge comparison of the results of the model with in situ biological patterns (Box 1) showing that the general patterns we discuss are in accordance with reality. Thus, the overall performance of TAPIOCA36 and its ability to reproduce key circulation characteristics offer a solid basis for our Lagrangian study.</w:t>
      </w:r>
      <w:r>
        <w:br w:type="page"/>
      </w:r>
    </w:p>
    <w:p w14:paraId="1394CA00" w14:textId="77777777" w:rsidR="003465C4" w:rsidRPr="00E22304" w:rsidRDefault="00B544D1">
      <w:pPr>
        <w:spacing w:after="0" w:line="360" w:lineRule="auto"/>
        <w:jc w:val="both"/>
        <w:rPr>
          <w:b/>
          <w:lang w:val="en-GB"/>
        </w:rPr>
      </w:pPr>
      <w:r w:rsidRPr="00E22304">
        <w:rPr>
          <w:b/>
          <w:lang w:val="en-GB"/>
        </w:rPr>
        <w:lastRenderedPageBreak/>
        <w:t>References</w:t>
      </w:r>
    </w:p>
    <w:p w14:paraId="4E162583" w14:textId="77777777" w:rsidR="00524EA0" w:rsidRPr="00E22304" w:rsidRDefault="00B544D1" w:rsidP="00524EA0">
      <w:pPr>
        <w:pStyle w:val="Bibliografia"/>
        <w:rPr>
          <w:szCs w:val="24"/>
          <w:lang w:val="en-GB"/>
        </w:rPr>
      </w:pPr>
      <w:r>
        <w:fldChar w:fldCharType="begin"/>
      </w:r>
      <w:r w:rsidRPr="00E22304">
        <w:rPr>
          <w:lang w:val="en-GB"/>
        </w:rPr>
        <w:instrText>ADDIN ZOTERO_BIBL {"uncited":[],"omitted":[],"custom":[]} CSL_BIBLIOGRAPHY</w:instrText>
      </w:r>
      <w:r>
        <w:fldChar w:fldCharType="separate"/>
      </w:r>
      <w:r w:rsidR="00524EA0" w:rsidRPr="00E22304">
        <w:rPr>
          <w:szCs w:val="24"/>
          <w:lang w:val="en-GB"/>
        </w:rPr>
        <w:t>Bertrand, A. 2015. ABRACOS cruise,Antea R/V. in press.</w:t>
      </w:r>
    </w:p>
    <w:p w14:paraId="42A9DF51" w14:textId="77777777" w:rsidR="00524EA0" w:rsidRPr="00E22304" w:rsidRDefault="00524EA0" w:rsidP="00524EA0">
      <w:pPr>
        <w:pStyle w:val="Bibliografia"/>
        <w:rPr>
          <w:szCs w:val="24"/>
          <w:lang w:val="en-GB"/>
        </w:rPr>
      </w:pPr>
      <w:r w:rsidRPr="00E22304">
        <w:rPr>
          <w:szCs w:val="24"/>
          <w:lang w:val="en-GB"/>
        </w:rPr>
        <w:t>Bertrand, A. 2017. ABRACOS 2 cruise,Antea R/V. in press.</w:t>
      </w:r>
    </w:p>
    <w:p w14:paraId="09E90045" w14:textId="77777777" w:rsidR="00524EA0" w:rsidRPr="00524EA0" w:rsidRDefault="00524EA0" w:rsidP="00524EA0">
      <w:pPr>
        <w:pStyle w:val="Bibliografia"/>
        <w:rPr>
          <w:szCs w:val="24"/>
        </w:rPr>
      </w:pPr>
      <w:r w:rsidRPr="00E22304">
        <w:rPr>
          <w:szCs w:val="24"/>
          <w:lang w:val="en-GB"/>
        </w:rPr>
        <w:t xml:space="preserve">Dossa, A. N. et al. 2021. </w:t>
      </w:r>
      <w:r w:rsidRPr="00524EA0">
        <w:rPr>
          <w:szCs w:val="24"/>
        </w:rPr>
        <w:t>Near-surface western boundary circulation off Northeast Brazil. - Prog. Oceanogr. 190: 102475.</w:t>
      </w:r>
    </w:p>
    <w:p w14:paraId="4ABC0260" w14:textId="77777777" w:rsidR="00524EA0" w:rsidRPr="00524EA0" w:rsidRDefault="00524EA0" w:rsidP="00524EA0">
      <w:pPr>
        <w:pStyle w:val="Bibliografia"/>
        <w:rPr>
          <w:szCs w:val="24"/>
        </w:rPr>
      </w:pPr>
      <w:r w:rsidRPr="00524EA0">
        <w:rPr>
          <w:szCs w:val="24"/>
        </w:rPr>
        <w:t>Lellouche, J.-M. et al. 2018. The Copernicus Marine Environment Monitoring Service global ocean 1/12 physical reanalysis GLORYS12V1: description and quality assessment. - EGU Gen. Assem. Conf. Abstr. 20: 19806.</w:t>
      </w:r>
    </w:p>
    <w:p w14:paraId="29B3F644" w14:textId="77777777" w:rsidR="00524EA0" w:rsidRPr="00524EA0" w:rsidRDefault="00524EA0" w:rsidP="00524EA0">
      <w:pPr>
        <w:pStyle w:val="Bibliografia"/>
        <w:rPr>
          <w:szCs w:val="24"/>
        </w:rPr>
      </w:pPr>
      <w:r w:rsidRPr="00524EA0">
        <w:rPr>
          <w:szCs w:val="24"/>
        </w:rPr>
        <w:t>Silva, A. C. et al. 2021. Surface Circulation and Vertical Structure of Upper Ocean Variability Around Fernando de Noronha Archipelago and Rocas Atoll During Spring 2015 and Fall 2017. - Front. Mar. Sci. 8: 598101.</w:t>
      </w:r>
    </w:p>
    <w:p w14:paraId="77FB5CED" w14:textId="77777777" w:rsidR="003465C4" w:rsidRPr="00D82C5B" w:rsidRDefault="00B544D1">
      <w:pPr>
        <w:pStyle w:val="Bibliografia"/>
        <w:rPr>
          <w:lang w:val="pt-BR"/>
        </w:rPr>
      </w:pPr>
      <w:r>
        <w:fldChar w:fldCharType="end"/>
      </w:r>
    </w:p>
    <w:p w14:paraId="0128E238" w14:textId="77777777" w:rsidR="003465C4" w:rsidRDefault="00B544D1">
      <w:pPr>
        <w:pStyle w:val="Bibliografia"/>
        <w:rPr>
          <w:szCs w:val="24"/>
          <w:lang w:val="pt-BR"/>
        </w:rPr>
      </w:pPr>
      <w:r>
        <w:rPr>
          <w:szCs w:val="24"/>
          <w:lang w:val="pt-BR"/>
        </w:rPr>
        <w:t>Bertrand, A. 2017. ABRACOS 2 cruise,Antea R/V.</w:t>
      </w:r>
    </w:p>
    <w:p w14:paraId="187B2409" w14:textId="77777777" w:rsidR="003465C4" w:rsidRDefault="00B544D1">
      <w:pPr>
        <w:pStyle w:val="Bibliografia"/>
        <w:rPr>
          <w:szCs w:val="24"/>
        </w:rPr>
      </w:pPr>
      <w:r>
        <w:rPr>
          <w:szCs w:val="24"/>
          <w:lang w:val="fr-FR"/>
        </w:rPr>
        <w:t xml:space="preserve">Dossa, A. N. et al. 2021. </w:t>
      </w:r>
      <w:r>
        <w:rPr>
          <w:szCs w:val="24"/>
        </w:rPr>
        <w:t>Near-surface western boundary circulation off Northeast Brazil. - Prog. Oceanogr. 190: 102475.</w:t>
      </w:r>
    </w:p>
    <w:p w14:paraId="47222EC2" w14:textId="77777777" w:rsidR="003465C4" w:rsidRDefault="00B544D1">
      <w:pPr>
        <w:pStyle w:val="Bibliografia"/>
        <w:rPr>
          <w:szCs w:val="24"/>
        </w:rPr>
      </w:pPr>
      <w:r>
        <w:rPr>
          <w:szCs w:val="24"/>
        </w:rPr>
        <w:t>Lellouche, J.-M. et al. 2018. The Copernicus Marine Environment Monitoring Service global ocean 1/12 physical reanalysis GLORYS12V1: description and quality assessment. - EGU Gen. Assem. Conf. Abstr. 20: 19806.</w:t>
      </w:r>
    </w:p>
    <w:p w14:paraId="0568A461" w14:textId="77777777" w:rsidR="003465C4" w:rsidRDefault="00B544D1">
      <w:pPr>
        <w:pStyle w:val="Bibliografia"/>
        <w:rPr>
          <w:szCs w:val="24"/>
        </w:rPr>
      </w:pPr>
      <w:r>
        <w:rPr>
          <w:szCs w:val="24"/>
        </w:rPr>
        <w:t>Silva, A. C. et al. 2021. Surface Circulation and Vertical Structure of Upper Ocean Variability Around Fernando de Noronha Archipelago and Rocas Atoll During Spring 2015 and Fall 2017. - Front. Mar. Sci. 8: 598101.</w:t>
      </w:r>
    </w:p>
    <w:p w14:paraId="1A76DB95" w14:textId="77777777" w:rsidR="003465C4" w:rsidRDefault="003465C4">
      <w:pPr>
        <w:spacing w:after="0" w:line="360" w:lineRule="auto"/>
        <w:ind w:firstLine="720"/>
        <w:jc w:val="both"/>
      </w:pPr>
    </w:p>
    <w:sectPr w:rsidR="003465C4">
      <w:footerReference w:type="default" r:id="rId17"/>
      <w:pgSz w:w="11906" w:h="16838"/>
      <w:pgMar w:top="1417" w:right="1417" w:bottom="1417" w:left="1417" w:header="0" w:footer="708" w:gutter="0"/>
      <w:pgNumType w:start="1"/>
      <w:cols w:space="720"/>
      <w:formProt w:val="0"/>
      <w:docGrid w:linePitch="24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98B38A" w14:textId="77777777" w:rsidR="000D7129" w:rsidRDefault="000D7129">
      <w:pPr>
        <w:spacing w:after="0" w:line="240" w:lineRule="auto"/>
      </w:pPr>
      <w:r>
        <w:separator/>
      </w:r>
    </w:p>
  </w:endnote>
  <w:endnote w:type="continuationSeparator" w:id="0">
    <w:p w14:paraId="13BF6FC9" w14:textId="77777777" w:rsidR="000D7129" w:rsidRDefault="000D71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WenQuanYi Micro Hei">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Robot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674FA" w14:textId="77777777" w:rsidR="003465C4" w:rsidRDefault="003465C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7DA7CB" w14:textId="77777777" w:rsidR="000D7129" w:rsidRDefault="000D7129">
      <w:pPr>
        <w:spacing w:after="0" w:line="240" w:lineRule="auto"/>
      </w:pPr>
      <w:r>
        <w:separator/>
      </w:r>
    </w:p>
  </w:footnote>
  <w:footnote w:type="continuationSeparator" w:id="0">
    <w:p w14:paraId="57AB1794" w14:textId="77777777" w:rsidR="000D7129" w:rsidRDefault="000D712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5C4"/>
    <w:rsid w:val="000D7129"/>
    <w:rsid w:val="003465C4"/>
    <w:rsid w:val="004453F4"/>
    <w:rsid w:val="00524EA0"/>
    <w:rsid w:val="006F7926"/>
    <w:rsid w:val="00745514"/>
    <w:rsid w:val="00B544D1"/>
    <w:rsid w:val="00D82C5B"/>
    <w:rsid w:val="00E22304"/>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93D6A"/>
  <w15:docId w15:val="{28A9CFCF-46CA-4E8C-91E6-94CD29974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Cs w:val="22"/>
        <w:lang w:val="en-US"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color w:val="00000A"/>
      <w:sz w:val="22"/>
    </w:rPr>
  </w:style>
  <w:style w:type="paragraph" w:styleId="Ttulo1">
    <w:name w:val="heading 1"/>
    <w:basedOn w:val="Normal"/>
    <w:next w:val="Normal"/>
    <w:qFormat/>
    <w:pPr>
      <w:keepNext/>
      <w:keepLines/>
      <w:spacing w:before="480" w:after="120"/>
      <w:outlineLvl w:val="0"/>
    </w:pPr>
    <w:rPr>
      <w:b/>
      <w:sz w:val="48"/>
      <w:szCs w:val="48"/>
    </w:rPr>
  </w:style>
  <w:style w:type="paragraph" w:styleId="Ttulo2">
    <w:name w:val="heading 2"/>
    <w:basedOn w:val="Normal"/>
    <w:next w:val="Normal"/>
    <w:qFormat/>
    <w:pPr>
      <w:keepNext/>
      <w:keepLines/>
      <w:spacing w:before="360" w:after="80"/>
      <w:outlineLvl w:val="1"/>
    </w:pPr>
    <w:rPr>
      <w:b/>
      <w:sz w:val="36"/>
      <w:szCs w:val="36"/>
    </w:rPr>
  </w:style>
  <w:style w:type="paragraph" w:styleId="Ttulo3">
    <w:name w:val="heading 3"/>
    <w:basedOn w:val="Normal"/>
    <w:next w:val="Normal"/>
    <w:qFormat/>
    <w:pPr>
      <w:keepNext/>
      <w:keepLines/>
      <w:spacing w:before="280" w:after="80"/>
      <w:outlineLvl w:val="2"/>
    </w:pPr>
    <w:rPr>
      <w:b/>
      <w:sz w:val="28"/>
      <w:szCs w:val="28"/>
    </w:rPr>
  </w:style>
  <w:style w:type="paragraph" w:styleId="Ttulo4">
    <w:name w:val="heading 4"/>
    <w:basedOn w:val="Normal"/>
    <w:next w:val="Normal"/>
    <w:qFormat/>
    <w:pPr>
      <w:keepNext/>
      <w:keepLines/>
      <w:spacing w:before="240" w:after="40"/>
      <w:outlineLvl w:val="3"/>
    </w:pPr>
    <w:rPr>
      <w:b/>
      <w:sz w:val="24"/>
      <w:szCs w:val="24"/>
    </w:rPr>
  </w:style>
  <w:style w:type="paragraph" w:styleId="Ttulo5">
    <w:name w:val="heading 5"/>
    <w:basedOn w:val="Normal"/>
    <w:next w:val="Normal"/>
    <w:qFormat/>
    <w:pPr>
      <w:keepNext/>
      <w:keepLines/>
      <w:spacing w:before="220" w:after="40"/>
      <w:outlineLvl w:val="4"/>
    </w:pPr>
    <w:rPr>
      <w:b/>
    </w:rPr>
  </w:style>
  <w:style w:type="paragraph" w:styleId="Ttulo6">
    <w:name w:val="heading 6"/>
    <w:basedOn w:val="Normal"/>
    <w:next w:val="Normal"/>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normaltextrun">
    <w:name w:val="normaltextrun"/>
    <w:basedOn w:val="Fontepargpadro"/>
    <w:qFormat/>
    <w:rsid w:val="00522947"/>
  </w:style>
  <w:style w:type="character" w:styleId="Refdecomentrio">
    <w:name w:val="annotation reference"/>
    <w:basedOn w:val="Fontepargpadro"/>
    <w:uiPriority w:val="99"/>
    <w:semiHidden/>
    <w:unhideWhenUsed/>
    <w:qFormat/>
    <w:rsid w:val="00140015"/>
    <w:rPr>
      <w:sz w:val="16"/>
      <w:szCs w:val="16"/>
    </w:rPr>
  </w:style>
  <w:style w:type="character" w:customStyle="1" w:styleId="TextodecomentrioChar">
    <w:name w:val="Texto de comentário Char"/>
    <w:basedOn w:val="Fontepargpadro"/>
    <w:link w:val="Textodecomentrio"/>
    <w:uiPriority w:val="99"/>
    <w:semiHidden/>
    <w:qFormat/>
    <w:rsid w:val="00140015"/>
    <w:rPr>
      <w:sz w:val="20"/>
      <w:szCs w:val="20"/>
    </w:rPr>
  </w:style>
  <w:style w:type="character" w:customStyle="1" w:styleId="AssuntodocomentrioChar">
    <w:name w:val="Assunto do comentário Char"/>
    <w:basedOn w:val="TextodecomentrioChar"/>
    <w:link w:val="Assuntodocomentrio"/>
    <w:uiPriority w:val="99"/>
    <w:semiHidden/>
    <w:qFormat/>
    <w:rsid w:val="00140015"/>
    <w:rPr>
      <w:b/>
      <w:bCs/>
      <w:sz w:val="20"/>
      <w:szCs w:val="20"/>
    </w:rPr>
  </w:style>
  <w:style w:type="character" w:customStyle="1" w:styleId="TextodebaloChar">
    <w:name w:val="Texto de balão Char"/>
    <w:basedOn w:val="Fontepargpadro"/>
    <w:link w:val="Textodebalo"/>
    <w:uiPriority w:val="99"/>
    <w:semiHidden/>
    <w:qFormat/>
    <w:rsid w:val="00140015"/>
    <w:rPr>
      <w:rFonts w:ascii="Segoe UI" w:hAnsi="Segoe UI" w:cs="Segoe UI"/>
      <w:sz w:val="18"/>
      <w:szCs w:val="18"/>
    </w:rPr>
  </w:style>
  <w:style w:type="paragraph" w:customStyle="1" w:styleId="Heading">
    <w:name w:val="Heading"/>
    <w:basedOn w:val="Normal"/>
    <w:next w:val="Corpodetexto"/>
    <w:qFormat/>
    <w:pPr>
      <w:keepNext/>
      <w:spacing w:before="240" w:after="120"/>
    </w:pPr>
    <w:rPr>
      <w:rFonts w:ascii="Liberation Sans" w:eastAsia="WenQuanYi Micro Hei" w:hAnsi="Liberation Sans" w:cs="Lohit Devanagari"/>
      <w:sz w:val="28"/>
      <w:szCs w:val="28"/>
    </w:rPr>
  </w:style>
  <w:style w:type="paragraph" w:styleId="Corpodetexto">
    <w:name w:val="Body Text"/>
    <w:basedOn w:val="Normal"/>
    <w:pPr>
      <w:spacing w:after="140" w:line="288" w:lineRule="auto"/>
    </w:pPr>
  </w:style>
  <w:style w:type="paragraph" w:styleId="Lista">
    <w:name w:val="List"/>
    <w:basedOn w:val="Corpodetexto"/>
    <w:rPr>
      <w:rFonts w:cs="Lohit Devanagari"/>
    </w:rPr>
  </w:style>
  <w:style w:type="paragraph" w:styleId="Legenda">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Ttulo">
    <w:name w:val="Title"/>
    <w:basedOn w:val="Normal"/>
    <w:next w:val="Normal"/>
    <w:qFormat/>
    <w:pPr>
      <w:keepNext/>
      <w:keepLines/>
      <w:spacing w:before="480" w:after="120"/>
    </w:pPr>
    <w:rPr>
      <w:b/>
      <w:sz w:val="72"/>
      <w:szCs w:val="72"/>
    </w:rPr>
  </w:style>
  <w:style w:type="paragraph" w:styleId="Subttulo">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Textodecomentrio">
    <w:name w:val="annotation text"/>
    <w:basedOn w:val="Normal"/>
    <w:link w:val="TextodecomentrioChar"/>
    <w:uiPriority w:val="99"/>
    <w:semiHidden/>
    <w:unhideWhenUsed/>
    <w:qFormat/>
    <w:rsid w:val="00140015"/>
    <w:pPr>
      <w:spacing w:line="240" w:lineRule="auto"/>
    </w:pPr>
    <w:rPr>
      <w:sz w:val="20"/>
      <w:szCs w:val="20"/>
    </w:rPr>
  </w:style>
  <w:style w:type="paragraph" w:styleId="Assuntodocomentrio">
    <w:name w:val="annotation subject"/>
    <w:basedOn w:val="Textodecomentrio"/>
    <w:link w:val="AssuntodocomentrioChar"/>
    <w:uiPriority w:val="99"/>
    <w:semiHidden/>
    <w:unhideWhenUsed/>
    <w:qFormat/>
    <w:rsid w:val="00140015"/>
    <w:rPr>
      <w:b/>
      <w:bCs/>
    </w:rPr>
  </w:style>
  <w:style w:type="paragraph" w:styleId="Textodebalo">
    <w:name w:val="Balloon Text"/>
    <w:basedOn w:val="Normal"/>
    <w:link w:val="TextodebaloChar"/>
    <w:uiPriority w:val="99"/>
    <w:semiHidden/>
    <w:unhideWhenUsed/>
    <w:qFormat/>
    <w:rsid w:val="00140015"/>
    <w:pPr>
      <w:spacing w:after="0" w:line="240" w:lineRule="auto"/>
    </w:pPr>
    <w:rPr>
      <w:rFonts w:ascii="Segoe UI" w:hAnsi="Segoe UI" w:cs="Segoe UI"/>
      <w:sz w:val="18"/>
      <w:szCs w:val="18"/>
    </w:rPr>
  </w:style>
  <w:style w:type="paragraph" w:styleId="Reviso">
    <w:name w:val="Revision"/>
    <w:uiPriority w:val="99"/>
    <w:semiHidden/>
    <w:qFormat/>
    <w:rsid w:val="006B1550"/>
    <w:rPr>
      <w:color w:val="00000A"/>
      <w:sz w:val="22"/>
    </w:rPr>
  </w:style>
  <w:style w:type="paragraph" w:styleId="Bibliografia">
    <w:name w:val="Bibliography"/>
    <w:basedOn w:val="Normal"/>
    <w:next w:val="Normal"/>
    <w:uiPriority w:val="37"/>
    <w:unhideWhenUsed/>
    <w:qFormat/>
    <w:rsid w:val="00CA26CB"/>
    <w:pPr>
      <w:spacing w:after="240" w:line="240" w:lineRule="auto"/>
      <w:ind w:left="720" w:hanging="720"/>
    </w:pPr>
  </w:style>
  <w:style w:type="paragraph" w:styleId="Rodap">
    <w:name w:val="footer"/>
    <w:basedOn w:val="Normal"/>
  </w:style>
  <w:style w:type="table" w:customStyle="1" w:styleId="TableNormal">
    <w:name w:val="Table Normal"/>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8879E-CF62-44FD-B2B2-36ACD1ACA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11</Pages>
  <Words>4831</Words>
  <Characters>26091</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Arnaud BERTRAND, Sete IRD, 04 99 57 32 24</dc:creator>
  <dc:description/>
  <cp:lastModifiedBy>Conta da Microsoft</cp:lastModifiedBy>
  <cp:revision>22</cp:revision>
  <dcterms:created xsi:type="dcterms:W3CDTF">2023-06-08T11:53:00Z</dcterms:created>
  <dcterms:modified xsi:type="dcterms:W3CDTF">2023-09-16T21:15:00Z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GrammarlyDocumentId">
    <vt:lpwstr>7caab7996fd0a8a293a4b685942e4b57bde452aff1c039a370a04f38025ce3e2</vt:lpwstr>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ZOTERO_PREF_1">
    <vt:lpwstr>&lt;data data-version="3" zotero-version="6.0.26"&gt;&lt;session id="g1A3SIZ7"/&gt;&lt;style id="http://www.zotero.org/styles/ecography" hasBibliography="1" bibliographyStyleHasBeenSet="1"/&gt;&lt;prefs&gt;&lt;pref name="fieldType" value="Field"/&gt;&lt;pref name="automaticJournalAbbrevi</vt:lpwstr>
  </property>
  <property fmtid="{D5CDD505-2E9C-101B-9397-08002B2CF9AE}" pid="10" name="ZOTERO_PREF_2">
    <vt:lpwstr>ations" value="true"/&gt;&lt;/prefs&gt;&lt;/data&gt;</vt:lpwstr>
  </property>
</Properties>
</file>