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DEC401A" w14:textId="77777777" w:rsidR="00CF3A1F" w:rsidRPr="005234B8" w:rsidRDefault="00CF3A1F" w:rsidP="00CF3A1F">
      <w:pPr>
        <w:pStyle w:val="Title"/>
        <w:rPr>
          <w:b w:val="0"/>
          <w:bCs/>
          <w:lang w:val="en-GB"/>
        </w:rPr>
      </w:pPr>
      <w:r>
        <w:rPr>
          <w:bCs/>
          <w:lang w:val="en-GB"/>
        </w:rPr>
        <w:t>Coherent a</w:t>
      </w:r>
      <w:r w:rsidRPr="005234B8">
        <w:rPr>
          <w:bCs/>
          <w:lang w:val="en-GB"/>
        </w:rPr>
        <w:t xml:space="preserve">ssessment of Eutrophication across the North-East Atlantic waters (2015- 2020). </w:t>
      </w:r>
    </w:p>
    <w:p w14:paraId="14D5D8DF" w14:textId="72A60033" w:rsidR="001D6694" w:rsidRDefault="002868E2" w:rsidP="00994A3D">
      <w:pPr>
        <w:spacing w:before="240" w:after="0"/>
        <w:rPr>
          <w:rFonts w:cs="Times New Roman"/>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hyperlink r:id="rId12" w:history="1">
        <w:r w:rsidR="001D6694" w:rsidRPr="00EC3653">
          <w:rPr>
            <w:rStyle w:val="Hyperlink"/>
            <w:rFonts w:cs="Times New Roman"/>
          </w:rPr>
          <w:t>michelle.devlin@cefas.gov.uk</w:t>
        </w:r>
      </w:hyperlink>
    </w:p>
    <w:p w14:paraId="66781B8C" w14:textId="4C65524B" w:rsidR="004B45E5" w:rsidRDefault="004B45E5" w:rsidP="004B45E5">
      <w:pPr>
        <w:pStyle w:val="Heading1"/>
      </w:pPr>
      <w:r w:rsidRPr="00994A3D">
        <w:t xml:space="preserve">Supplementary </w:t>
      </w:r>
      <w:r w:rsidR="00F12FA8">
        <w:t>TABLES</w:t>
      </w:r>
    </w:p>
    <w:p w14:paraId="2C377179" w14:textId="679EB2DF" w:rsidR="00CF5CD5" w:rsidRDefault="004B45E5">
      <w:pPr>
        <w:pStyle w:val="TableofFigures"/>
        <w:tabs>
          <w:tab w:val="right" w:leader="dot" w:pos="9767"/>
        </w:tabs>
        <w:rPr>
          <w:rFonts w:asciiTheme="minorHAnsi" w:eastAsiaTheme="minorEastAsia" w:hAnsiTheme="minorHAnsi"/>
          <w:noProof/>
          <w:kern w:val="2"/>
          <w:sz w:val="22"/>
          <w:lang w:val="en-GB" w:eastAsia="en-GB"/>
          <w14:ligatures w14:val="standardContextual"/>
        </w:rPr>
      </w:pPr>
      <w:r>
        <w:rPr>
          <w:rFonts w:cs="Times New Roman"/>
        </w:rPr>
        <w:fldChar w:fldCharType="begin"/>
      </w:r>
      <w:r>
        <w:rPr>
          <w:rFonts w:cs="Times New Roman"/>
        </w:rPr>
        <w:instrText xml:space="preserve"> TOC \h \z \c "Supplementary Table S" </w:instrText>
      </w:r>
      <w:r>
        <w:rPr>
          <w:rFonts w:cs="Times New Roman"/>
        </w:rPr>
        <w:fldChar w:fldCharType="separate"/>
      </w:r>
      <w:hyperlink w:anchor="_Toc139460462" w:history="1">
        <w:r w:rsidR="00CF5CD5" w:rsidRPr="002814E6">
          <w:rPr>
            <w:rStyle w:val="Hyperlink"/>
            <w:noProof/>
          </w:rPr>
          <w:t>Supplementary Table S 1: Development of harmonised assessment areas for application in COMP4.</w:t>
        </w:r>
        <w:r w:rsidR="00CF5CD5">
          <w:rPr>
            <w:noProof/>
            <w:webHidden/>
          </w:rPr>
          <w:tab/>
        </w:r>
        <w:r w:rsidR="00CF5CD5">
          <w:rPr>
            <w:noProof/>
            <w:webHidden/>
          </w:rPr>
          <w:fldChar w:fldCharType="begin"/>
        </w:r>
        <w:r w:rsidR="00CF5CD5">
          <w:rPr>
            <w:noProof/>
            <w:webHidden/>
          </w:rPr>
          <w:instrText xml:space="preserve"> PAGEREF _Toc139460462 \h </w:instrText>
        </w:r>
        <w:r w:rsidR="00CF5CD5">
          <w:rPr>
            <w:noProof/>
            <w:webHidden/>
          </w:rPr>
        </w:r>
        <w:r w:rsidR="00CF5CD5">
          <w:rPr>
            <w:noProof/>
            <w:webHidden/>
          </w:rPr>
          <w:fldChar w:fldCharType="separate"/>
        </w:r>
        <w:r w:rsidR="00CF5CD5">
          <w:rPr>
            <w:noProof/>
            <w:webHidden/>
          </w:rPr>
          <w:t>2</w:t>
        </w:r>
        <w:r w:rsidR="00CF5CD5">
          <w:rPr>
            <w:noProof/>
            <w:webHidden/>
          </w:rPr>
          <w:fldChar w:fldCharType="end"/>
        </w:r>
      </w:hyperlink>
    </w:p>
    <w:p w14:paraId="6608F0AB" w14:textId="6E823FDB" w:rsidR="00CF5CD5" w:rsidRDefault="00CF5CD5">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463" w:history="1">
        <w:r w:rsidRPr="002814E6">
          <w:rPr>
            <w:rStyle w:val="Hyperlink"/>
            <w:noProof/>
          </w:rPr>
          <w:t>Supplementary Table S 2: Further development of the OSPAR assessment areas after JMP-EUNOSAT and National modifications*.</w:t>
        </w:r>
        <w:r>
          <w:rPr>
            <w:noProof/>
            <w:webHidden/>
          </w:rPr>
          <w:tab/>
        </w:r>
        <w:r>
          <w:rPr>
            <w:noProof/>
            <w:webHidden/>
          </w:rPr>
          <w:fldChar w:fldCharType="begin"/>
        </w:r>
        <w:r>
          <w:rPr>
            <w:noProof/>
            <w:webHidden/>
          </w:rPr>
          <w:instrText xml:space="preserve"> PAGEREF _Toc139460463 \h </w:instrText>
        </w:r>
        <w:r>
          <w:rPr>
            <w:noProof/>
            <w:webHidden/>
          </w:rPr>
        </w:r>
        <w:r>
          <w:rPr>
            <w:noProof/>
            <w:webHidden/>
          </w:rPr>
          <w:fldChar w:fldCharType="separate"/>
        </w:r>
        <w:r>
          <w:rPr>
            <w:noProof/>
            <w:webHidden/>
          </w:rPr>
          <w:t>7</w:t>
        </w:r>
        <w:r>
          <w:rPr>
            <w:noProof/>
            <w:webHidden/>
          </w:rPr>
          <w:fldChar w:fldCharType="end"/>
        </w:r>
      </w:hyperlink>
    </w:p>
    <w:p w14:paraId="0005B56E" w14:textId="0C2BDAFB" w:rsidR="00CF5CD5" w:rsidRDefault="00CF5CD5">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464" w:history="1">
        <w:r w:rsidRPr="002814E6">
          <w:rPr>
            <w:rStyle w:val="Hyperlink"/>
            <w:noProof/>
          </w:rPr>
          <w:t>Supplementary Table S 3: Steps in the data flow sequence within COMPEAT. Note that steps 1 to 3 are carried out within COMPEAT to provide an assessment of the common indicators and a final outcome for each assessment area.</w:t>
        </w:r>
        <w:r>
          <w:rPr>
            <w:noProof/>
            <w:webHidden/>
          </w:rPr>
          <w:tab/>
        </w:r>
        <w:r>
          <w:rPr>
            <w:noProof/>
            <w:webHidden/>
          </w:rPr>
          <w:fldChar w:fldCharType="begin"/>
        </w:r>
        <w:r>
          <w:rPr>
            <w:noProof/>
            <w:webHidden/>
          </w:rPr>
          <w:instrText xml:space="preserve"> PAGEREF _Toc139460464 \h </w:instrText>
        </w:r>
        <w:r>
          <w:rPr>
            <w:noProof/>
            <w:webHidden/>
          </w:rPr>
        </w:r>
        <w:r>
          <w:rPr>
            <w:noProof/>
            <w:webHidden/>
          </w:rPr>
          <w:fldChar w:fldCharType="separate"/>
        </w:r>
        <w:r>
          <w:rPr>
            <w:noProof/>
            <w:webHidden/>
          </w:rPr>
          <w:t>16</w:t>
        </w:r>
        <w:r>
          <w:rPr>
            <w:noProof/>
            <w:webHidden/>
          </w:rPr>
          <w:fldChar w:fldCharType="end"/>
        </w:r>
      </w:hyperlink>
    </w:p>
    <w:p w14:paraId="760DE040" w14:textId="73E7C59A" w:rsidR="00CF5CD5" w:rsidRDefault="00CF5CD5">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465" w:history="1">
        <w:r w:rsidRPr="002814E6">
          <w:rPr>
            <w:rStyle w:val="Hyperlink"/>
            <w:noProof/>
          </w:rPr>
          <w:t>Supplementary Table S 4</w:t>
        </w:r>
        <w:r w:rsidRPr="002814E6">
          <w:rPr>
            <w:rStyle w:val="Hyperlink"/>
            <w:noProof/>
            <w:lang w:val="en-GB"/>
          </w:rPr>
          <w:t>: Integration rules between categories I, II and III.</w:t>
        </w:r>
        <w:r>
          <w:rPr>
            <w:noProof/>
            <w:webHidden/>
          </w:rPr>
          <w:tab/>
        </w:r>
        <w:r>
          <w:rPr>
            <w:noProof/>
            <w:webHidden/>
          </w:rPr>
          <w:fldChar w:fldCharType="begin"/>
        </w:r>
        <w:r>
          <w:rPr>
            <w:noProof/>
            <w:webHidden/>
          </w:rPr>
          <w:instrText xml:space="preserve"> PAGEREF _Toc139460465 \h </w:instrText>
        </w:r>
        <w:r>
          <w:rPr>
            <w:noProof/>
            <w:webHidden/>
          </w:rPr>
        </w:r>
        <w:r>
          <w:rPr>
            <w:noProof/>
            <w:webHidden/>
          </w:rPr>
          <w:fldChar w:fldCharType="separate"/>
        </w:r>
        <w:r>
          <w:rPr>
            <w:noProof/>
            <w:webHidden/>
          </w:rPr>
          <w:t>17</w:t>
        </w:r>
        <w:r>
          <w:rPr>
            <w:noProof/>
            <w:webHidden/>
          </w:rPr>
          <w:fldChar w:fldCharType="end"/>
        </w:r>
      </w:hyperlink>
    </w:p>
    <w:p w14:paraId="0D60E64C" w14:textId="315BA98F" w:rsidR="00CF5CD5" w:rsidRDefault="00CF5CD5">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466" w:history="1">
        <w:r w:rsidRPr="002814E6">
          <w:rPr>
            <w:rStyle w:val="Hyperlink"/>
            <w:noProof/>
          </w:rPr>
          <w:t>Supplementary Table S 5:</w:t>
        </w:r>
        <w:r w:rsidRPr="002814E6">
          <w:rPr>
            <w:rStyle w:val="Hyperlink"/>
            <w:i/>
            <w:iCs/>
            <w:noProof/>
          </w:rPr>
          <w:t xml:space="preserve"> Description of the COMP 4 assessment areas. WFD areas are excluded and the COMP4 assessment area are only relevant to open waters beyond WFD. </w:t>
        </w:r>
        <w:r w:rsidRPr="002814E6">
          <w:rPr>
            <w:rStyle w:val="Hyperlink"/>
            <w:noProof/>
          </w:rPr>
          <w:t>Overview of ecologically relevant assessment areas based on duration of stratification, mean surface salinity, depth, suspended particulate matter and primary production.</w:t>
        </w:r>
        <w:r>
          <w:rPr>
            <w:noProof/>
            <w:webHidden/>
          </w:rPr>
          <w:tab/>
        </w:r>
        <w:r>
          <w:rPr>
            <w:noProof/>
            <w:webHidden/>
          </w:rPr>
          <w:fldChar w:fldCharType="begin"/>
        </w:r>
        <w:r>
          <w:rPr>
            <w:noProof/>
            <w:webHidden/>
          </w:rPr>
          <w:instrText xml:space="preserve"> PAGEREF _Toc139460466 \h </w:instrText>
        </w:r>
        <w:r>
          <w:rPr>
            <w:noProof/>
            <w:webHidden/>
          </w:rPr>
        </w:r>
        <w:r>
          <w:rPr>
            <w:noProof/>
            <w:webHidden/>
          </w:rPr>
          <w:fldChar w:fldCharType="separate"/>
        </w:r>
        <w:r>
          <w:rPr>
            <w:noProof/>
            <w:webHidden/>
          </w:rPr>
          <w:t>18</w:t>
        </w:r>
        <w:r>
          <w:rPr>
            <w:noProof/>
            <w:webHidden/>
          </w:rPr>
          <w:fldChar w:fldCharType="end"/>
        </w:r>
      </w:hyperlink>
    </w:p>
    <w:p w14:paraId="596FBA5D" w14:textId="60CEB8FD" w:rsidR="00CF5CD5" w:rsidRDefault="00CF5CD5">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467" w:history="1">
        <w:r w:rsidRPr="002814E6">
          <w:rPr>
            <w:rStyle w:val="Hyperlink"/>
            <w:noProof/>
          </w:rPr>
          <w:t>Supplementary Table S 6: Development of harmonised assessment levels agreed for application in COMP4 for all assessment areas.</w:t>
        </w:r>
        <w:r>
          <w:rPr>
            <w:noProof/>
            <w:webHidden/>
          </w:rPr>
          <w:tab/>
        </w:r>
        <w:r>
          <w:rPr>
            <w:noProof/>
            <w:webHidden/>
          </w:rPr>
          <w:fldChar w:fldCharType="begin"/>
        </w:r>
        <w:r>
          <w:rPr>
            <w:noProof/>
            <w:webHidden/>
          </w:rPr>
          <w:instrText xml:space="preserve"> PAGEREF _Toc139460467 \h </w:instrText>
        </w:r>
        <w:r>
          <w:rPr>
            <w:noProof/>
            <w:webHidden/>
          </w:rPr>
        </w:r>
        <w:r>
          <w:rPr>
            <w:noProof/>
            <w:webHidden/>
          </w:rPr>
          <w:fldChar w:fldCharType="separate"/>
        </w:r>
        <w:r>
          <w:rPr>
            <w:noProof/>
            <w:webHidden/>
          </w:rPr>
          <w:t>24</w:t>
        </w:r>
        <w:r>
          <w:rPr>
            <w:noProof/>
            <w:webHidden/>
          </w:rPr>
          <w:fldChar w:fldCharType="end"/>
        </w:r>
      </w:hyperlink>
    </w:p>
    <w:p w14:paraId="508C6AA0" w14:textId="0B7A372A" w:rsidR="00F12FA8" w:rsidRDefault="004B45E5" w:rsidP="00F12FA8">
      <w:pPr>
        <w:pStyle w:val="Heading1"/>
      </w:pPr>
      <w:r>
        <w:fldChar w:fldCharType="end"/>
      </w:r>
      <w:r w:rsidR="00F12FA8" w:rsidRPr="00F12FA8">
        <w:t xml:space="preserve"> </w:t>
      </w:r>
      <w:r w:rsidR="00F12FA8" w:rsidRPr="00994A3D">
        <w:t>Supplementary</w:t>
      </w:r>
      <w:r w:rsidR="00F12FA8">
        <w:t xml:space="preserve"> FIGURES</w:t>
      </w:r>
      <w:r w:rsidR="00F12FA8">
        <w:fldChar w:fldCharType="begin"/>
      </w:r>
      <w:r w:rsidR="00F12FA8">
        <w:instrText xml:space="preserve"> TOC \h \z \c "Supplementary Figure S" </w:instrText>
      </w:r>
      <w:r w:rsidR="00F12FA8">
        <w:fldChar w:fldCharType="separate"/>
      </w:r>
    </w:p>
    <w:p w14:paraId="2A9A6179" w14:textId="32A9A8B4" w:rsidR="00F12FA8" w:rsidRDefault="00F12FA8">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656" w:history="1">
        <w:r w:rsidRPr="00477411">
          <w:rPr>
            <w:rStyle w:val="Hyperlink"/>
            <w:noProof/>
          </w:rPr>
          <w:t>Supplementary Figure S 1Annual assessment of individual parameters is based on annual measured values for each common indicator*.</w:t>
        </w:r>
        <w:r>
          <w:rPr>
            <w:noProof/>
            <w:webHidden/>
          </w:rPr>
          <w:tab/>
        </w:r>
        <w:r>
          <w:rPr>
            <w:noProof/>
            <w:webHidden/>
          </w:rPr>
          <w:fldChar w:fldCharType="begin"/>
        </w:r>
        <w:r>
          <w:rPr>
            <w:noProof/>
            <w:webHidden/>
          </w:rPr>
          <w:instrText xml:space="preserve"> PAGEREF _Toc139460656 \h </w:instrText>
        </w:r>
        <w:r>
          <w:rPr>
            <w:noProof/>
            <w:webHidden/>
          </w:rPr>
        </w:r>
        <w:r>
          <w:rPr>
            <w:noProof/>
            <w:webHidden/>
          </w:rPr>
          <w:fldChar w:fldCharType="separate"/>
        </w:r>
        <w:r>
          <w:rPr>
            <w:noProof/>
            <w:webHidden/>
          </w:rPr>
          <w:t>36</w:t>
        </w:r>
        <w:r>
          <w:rPr>
            <w:noProof/>
            <w:webHidden/>
          </w:rPr>
          <w:fldChar w:fldCharType="end"/>
        </w:r>
      </w:hyperlink>
    </w:p>
    <w:p w14:paraId="7F9A18CC" w14:textId="7D70A97B" w:rsidR="00F12FA8" w:rsidRDefault="00F12FA8">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657" w:history="1">
        <w:r w:rsidRPr="00477411">
          <w:rPr>
            <w:rStyle w:val="Hyperlink"/>
            <w:noProof/>
          </w:rPr>
          <w:t>Supplementary Figure S 2:Assessment of temporal confidence</w:t>
        </w:r>
        <w:r>
          <w:rPr>
            <w:noProof/>
            <w:webHidden/>
          </w:rPr>
          <w:tab/>
        </w:r>
        <w:r>
          <w:rPr>
            <w:noProof/>
            <w:webHidden/>
          </w:rPr>
          <w:fldChar w:fldCharType="begin"/>
        </w:r>
        <w:r>
          <w:rPr>
            <w:noProof/>
            <w:webHidden/>
          </w:rPr>
          <w:instrText xml:space="preserve"> PAGEREF _Toc139460657 \h </w:instrText>
        </w:r>
        <w:r>
          <w:rPr>
            <w:noProof/>
            <w:webHidden/>
          </w:rPr>
        </w:r>
        <w:r>
          <w:rPr>
            <w:noProof/>
            <w:webHidden/>
          </w:rPr>
          <w:fldChar w:fldCharType="separate"/>
        </w:r>
        <w:r>
          <w:rPr>
            <w:noProof/>
            <w:webHidden/>
          </w:rPr>
          <w:t>37</w:t>
        </w:r>
        <w:r>
          <w:rPr>
            <w:noProof/>
            <w:webHidden/>
          </w:rPr>
          <w:fldChar w:fldCharType="end"/>
        </w:r>
      </w:hyperlink>
    </w:p>
    <w:p w14:paraId="55B65301" w14:textId="09E1B96A" w:rsidR="00F12FA8" w:rsidRDefault="00F12FA8">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658" w:history="1">
        <w:r w:rsidRPr="00477411">
          <w:rPr>
            <w:rStyle w:val="Hyperlink"/>
            <w:noProof/>
          </w:rPr>
          <w:t xml:space="preserve">Supplementary Figure S 3: Assessment of </w:t>
        </w:r>
        <w:r w:rsidRPr="00477411">
          <w:rPr>
            <w:rStyle w:val="Hyperlink"/>
            <w:noProof/>
            <w:lang w:val="en-GB"/>
          </w:rPr>
          <w:t>Spatial confidence</w:t>
        </w:r>
        <w:r>
          <w:rPr>
            <w:noProof/>
            <w:webHidden/>
          </w:rPr>
          <w:tab/>
        </w:r>
        <w:r>
          <w:rPr>
            <w:noProof/>
            <w:webHidden/>
          </w:rPr>
          <w:fldChar w:fldCharType="begin"/>
        </w:r>
        <w:r>
          <w:rPr>
            <w:noProof/>
            <w:webHidden/>
          </w:rPr>
          <w:instrText xml:space="preserve"> PAGEREF _Toc139460658 \h </w:instrText>
        </w:r>
        <w:r>
          <w:rPr>
            <w:noProof/>
            <w:webHidden/>
          </w:rPr>
        </w:r>
        <w:r>
          <w:rPr>
            <w:noProof/>
            <w:webHidden/>
          </w:rPr>
          <w:fldChar w:fldCharType="separate"/>
        </w:r>
        <w:r>
          <w:rPr>
            <w:noProof/>
            <w:webHidden/>
          </w:rPr>
          <w:t>38</w:t>
        </w:r>
        <w:r>
          <w:rPr>
            <w:noProof/>
            <w:webHidden/>
          </w:rPr>
          <w:fldChar w:fldCharType="end"/>
        </w:r>
      </w:hyperlink>
    </w:p>
    <w:p w14:paraId="4E9B21CF" w14:textId="0B869DE7" w:rsidR="00F12FA8" w:rsidRDefault="00F12FA8">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659" w:history="1">
        <w:r w:rsidRPr="00477411">
          <w:rPr>
            <w:rStyle w:val="Hyperlink"/>
            <w:noProof/>
          </w:rPr>
          <w:t>Supplementary Figure S 4</w:t>
        </w:r>
        <w:r w:rsidRPr="00477411">
          <w:rPr>
            <w:rStyle w:val="Hyperlink"/>
            <w:noProof/>
            <w:lang w:val="en-GB"/>
          </w:rPr>
          <w:t>: Assessment of Accuracy confidence</w:t>
        </w:r>
        <w:r>
          <w:rPr>
            <w:noProof/>
            <w:webHidden/>
          </w:rPr>
          <w:tab/>
        </w:r>
        <w:r>
          <w:rPr>
            <w:noProof/>
            <w:webHidden/>
          </w:rPr>
          <w:fldChar w:fldCharType="begin"/>
        </w:r>
        <w:r>
          <w:rPr>
            <w:noProof/>
            <w:webHidden/>
          </w:rPr>
          <w:instrText xml:space="preserve"> PAGEREF _Toc139460659 \h </w:instrText>
        </w:r>
        <w:r>
          <w:rPr>
            <w:noProof/>
            <w:webHidden/>
          </w:rPr>
        </w:r>
        <w:r>
          <w:rPr>
            <w:noProof/>
            <w:webHidden/>
          </w:rPr>
          <w:fldChar w:fldCharType="separate"/>
        </w:r>
        <w:r>
          <w:rPr>
            <w:noProof/>
            <w:webHidden/>
          </w:rPr>
          <w:t>39</w:t>
        </w:r>
        <w:r>
          <w:rPr>
            <w:noProof/>
            <w:webHidden/>
          </w:rPr>
          <w:fldChar w:fldCharType="end"/>
        </w:r>
      </w:hyperlink>
    </w:p>
    <w:p w14:paraId="306CD0E0" w14:textId="1D40A3EC" w:rsidR="00F12FA8" w:rsidRDefault="00F12FA8">
      <w:pPr>
        <w:pStyle w:val="TableofFigures"/>
        <w:tabs>
          <w:tab w:val="right" w:leader="dot" w:pos="9767"/>
        </w:tabs>
        <w:rPr>
          <w:rFonts w:asciiTheme="minorHAnsi" w:eastAsiaTheme="minorEastAsia" w:hAnsiTheme="minorHAnsi"/>
          <w:noProof/>
          <w:kern w:val="2"/>
          <w:sz w:val="22"/>
          <w:lang w:val="en-GB" w:eastAsia="en-GB"/>
          <w14:ligatures w14:val="standardContextual"/>
        </w:rPr>
      </w:pPr>
      <w:hyperlink w:anchor="_Toc139460660" w:history="1">
        <w:r w:rsidRPr="00477411">
          <w:rPr>
            <w:rStyle w:val="Hyperlink"/>
            <w:noProof/>
          </w:rPr>
          <w:t>Supplementary Figure S 5</w:t>
        </w:r>
        <w:r w:rsidRPr="00477411">
          <w:rPr>
            <w:rStyle w:val="Hyperlink"/>
            <w:noProof/>
            <w:lang w:val="en-GB"/>
          </w:rPr>
          <w:t>: Aggregation/Integration of parameter confidence</w:t>
        </w:r>
        <w:r>
          <w:rPr>
            <w:noProof/>
            <w:webHidden/>
          </w:rPr>
          <w:tab/>
        </w:r>
        <w:r>
          <w:rPr>
            <w:noProof/>
            <w:webHidden/>
          </w:rPr>
          <w:fldChar w:fldCharType="begin"/>
        </w:r>
        <w:r>
          <w:rPr>
            <w:noProof/>
            <w:webHidden/>
          </w:rPr>
          <w:instrText xml:space="preserve"> PAGEREF _Toc139460660 \h </w:instrText>
        </w:r>
        <w:r>
          <w:rPr>
            <w:noProof/>
            <w:webHidden/>
          </w:rPr>
        </w:r>
        <w:r>
          <w:rPr>
            <w:noProof/>
            <w:webHidden/>
          </w:rPr>
          <w:fldChar w:fldCharType="separate"/>
        </w:r>
        <w:r>
          <w:rPr>
            <w:noProof/>
            <w:webHidden/>
          </w:rPr>
          <w:t>40</w:t>
        </w:r>
        <w:r>
          <w:rPr>
            <w:noProof/>
            <w:webHidden/>
          </w:rPr>
          <w:fldChar w:fldCharType="end"/>
        </w:r>
      </w:hyperlink>
    </w:p>
    <w:p w14:paraId="3D5A9AFD" w14:textId="3BC463A0" w:rsidR="00B02126" w:rsidRDefault="00F12FA8" w:rsidP="00F12FA8">
      <w:pPr>
        <w:spacing w:before="0" w:after="200" w:line="276" w:lineRule="auto"/>
      </w:pPr>
      <w:r>
        <w:fldChar w:fldCharType="end"/>
      </w:r>
    </w:p>
    <w:p w14:paraId="36FF0DF6" w14:textId="77777777" w:rsidR="00F12FA8" w:rsidRDefault="00F12FA8" w:rsidP="00F12FA8">
      <w:pPr>
        <w:spacing w:before="0" w:after="200" w:line="276" w:lineRule="auto"/>
      </w:pPr>
    </w:p>
    <w:p w14:paraId="511863C9" w14:textId="77777777" w:rsidR="00F12FA8" w:rsidRDefault="00F12FA8" w:rsidP="00F12FA8">
      <w:pPr>
        <w:spacing w:before="0" w:after="200" w:line="276" w:lineRule="auto"/>
      </w:pPr>
    </w:p>
    <w:p w14:paraId="2BE098B9" w14:textId="77777777" w:rsidR="00F12FA8" w:rsidRPr="00F12FA8" w:rsidRDefault="00F12FA8" w:rsidP="00F12FA8">
      <w:pPr>
        <w:spacing w:before="0" w:after="200" w:line="276" w:lineRule="auto"/>
      </w:pPr>
    </w:p>
    <w:p w14:paraId="32B7F8E3" w14:textId="28C5A7F9" w:rsidR="007F23BD" w:rsidRDefault="004B45E5" w:rsidP="004B45E5">
      <w:pPr>
        <w:pStyle w:val="Caption"/>
      </w:pPr>
      <w:bookmarkStart w:id="0" w:name="_Toc139460462"/>
      <w:r>
        <w:lastRenderedPageBreak/>
        <w:t xml:space="preserve">Supplementary Table S </w:t>
      </w:r>
      <w:fldSimple w:instr=" SEQ Supplementary_Table_S \* ARABIC ">
        <w:r>
          <w:rPr>
            <w:noProof/>
          </w:rPr>
          <w:t>1</w:t>
        </w:r>
      </w:fldSimple>
      <w:r w:rsidR="007F23BD" w:rsidRPr="001D6694">
        <w:t xml:space="preserve">: </w:t>
      </w:r>
      <w:r w:rsidR="007F23BD">
        <w:t>Development of harmonised assessment areas for application in COMP4.</w:t>
      </w:r>
      <w:bookmarkEnd w:id="0"/>
    </w:p>
    <w:p w14:paraId="05B603AF" w14:textId="5F024FFB" w:rsidR="007F23BD" w:rsidRDefault="007F23BD" w:rsidP="007F23BD">
      <w:pPr>
        <w:rPr>
          <w:rFonts w:cs="Times New Roman"/>
        </w:rPr>
      </w:pPr>
      <w:r w:rsidRPr="001D6694">
        <w:rPr>
          <w:rFonts w:cs="Times New Roman"/>
        </w:rPr>
        <w:t>The EU project Joint Monitoring Programme of the Eutrophication of the North Sea with Satellite data (JMP-EUNOSAT) developed an assessment framework for the Greater North Sea based on the eutrophication indicator chlorophyll a. Part of this work was identifying cross-border assessment areas with similar ecological and physical functioning (Blauw et al., 2019)</w:t>
      </w:r>
      <w:r>
        <w:t xml:space="preserve"> and described below</w:t>
      </w:r>
      <w:r w:rsidRPr="001D6694">
        <w:rPr>
          <w:rFonts w:cs="Times New Roman"/>
        </w:rPr>
        <w:t>. This approach has been adopted for the application of the Common Procedure.</w:t>
      </w:r>
    </w:p>
    <w:p w14:paraId="775053E7" w14:textId="77777777" w:rsidR="007F23BD" w:rsidRPr="007F23BD" w:rsidRDefault="007F23BD" w:rsidP="007F23BD">
      <w:pPr>
        <w:pStyle w:val="NoSpacing"/>
      </w:pPr>
    </w:p>
    <w:tbl>
      <w:tblPr>
        <w:tblStyle w:val="TableGrid"/>
        <w:tblW w:w="9699" w:type="dxa"/>
        <w:tblLook w:val="04A0" w:firstRow="1" w:lastRow="0" w:firstColumn="1" w:lastColumn="0" w:noHBand="0" w:noVBand="1"/>
      </w:tblPr>
      <w:tblGrid>
        <w:gridCol w:w="643"/>
        <w:gridCol w:w="9056"/>
      </w:tblGrid>
      <w:tr w:rsidR="007F23BD" w14:paraId="6ECC3091" w14:textId="77777777" w:rsidTr="00D13DB8">
        <w:tc>
          <w:tcPr>
            <w:tcW w:w="643" w:type="dxa"/>
          </w:tcPr>
          <w:p w14:paraId="5FAFB6E2" w14:textId="77777777" w:rsidR="007F23BD" w:rsidRDefault="007F23BD" w:rsidP="00454F93">
            <w:pPr>
              <w:rPr>
                <w:rFonts w:cs="Times New Roman"/>
              </w:rPr>
            </w:pPr>
            <w:r>
              <w:rPr>
                <w:rFonts w:cs="Times New Roman"/>
              </w:rPr>
              <w:t>Step 1</w:t>
            </w:r>
          </w:p>
        </w:tc>
        <w:tc>
          <w:tcPr>
            <w:tcW w:w="9056" w:type="dxa"/>
          </w:tcPr>
          <w:p w14:paraId="7307E094"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xml:space="preserve">The assessment framework for the Greater North Sea is based on the eutrophication indicator </w:t>
            </w:r>
            <w:r w:rsidRPr="004C4E26">
              <w:rPr>
                <w:rFonts w:asciiTheme="minorHAnsi" w:hAnsiTheme="minorHAnsi" w:cstheme="minorHAnsi"/>
                <w:i/>
              </w:rPr>
              <w:t>chlorophyll a</w:t>
            </w:r>
            <w:r w:rsidRPr="004C4E26">
              <w:rPr>
                <w:rFonts w:asciiTheme="minorHAnsi" w:hAnsiTheme="minorHAnsi" w:cstheme="minorHAnsi"/>
              </w:rPr>
              <w:t xml:space="preserve">; identifying cross-border assessment areas with similar ecological and physical functioning. Relevant environmental conditions for defining assessment areas include physical (depth, salinity and stratification), chemical and biological factors and anthropogenic pressures. </w:t>
            </w:r>
          </w:p>
          <w:p w14:paraId="103F7DDD" w14:textId="77777777" w:rsidR="007F23BD" w:rsidRDefault="007F23BD" w:rsidP="00454F93">
            <w:pPr>
              <w:ind w:left="-5136" w:firstLine="142"/>
              <w:rPr>
                <w:rFonts w:cs="Times New Roman"/>
              </w:rPr>
            </w:pPr>
          </w:p>
        </w:tc>
      </w:tr>
      <w:tr w:rsidR="007F23BD" w14:paraId="19AF267F" w14:textId="77777777" w:rsidTr="00D13DB8">
        <w:tc>
          <w:tcPr>
            <w:tcW w:w="643" w:type="dxa"/>
          </w:tcPr>
          <w:p w14:paraId="2A702E1A" w14:textId="77777777" w:rsidR="007F23BD" w:rsidRDefault="007F23BD" w:rsidP="00454F93">
            <w:pPr>
              <w:rPr>
                <w:rFonts w:cs="Times New Roman"/>
              </w:rPr>
            </w:pPr>
            <w:r>
              <w:rPr>
                <w:rFonts w:cs="Times New Roman"/>
              </w:rPr>
              <w:t>2</w:t>
            </w:r>
          </w:p>
        </w:tc>
        <w:tc>
          <w:tcPr>
            <w:tcW w:w="9056" w:type="dxa"/>
          </w:tcPr>
          <w:p w14:paraId="2CA56600"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In JMP-EUNOSAT the areas with similar phytoplankton dynamics were derived from cluster analysis of satellite data of chlorophyll-a and primary production. Boundaries between the areas found in the cluster analysis could often be related to physical variables in the JMP-EUNOSAT oceanographic model. Therefore, boundaries between assessment areas were defined using the physical variables best explaining the clusters found in the phytoplankton data. For example, areas were subdivided along 32 psu salinity and 35 m depth contours. Additionally, geographical areas were distinguished, such as the Channel, Irish Sea and Kattegat.</w:t>
            </w:r>
          </w:p>
          <w:p w14:paraId="6046DD92" w14:textId="77777777" w:rsidR="007F23BD" w:rsidRDefault="007F23BD" w:rsidP="00454F93">
            <w:pPr>
              <w:rPr>
                <w:rFonts w:cs="Times New Roman"/>
              </w:rPr>
            </w:pPr>
          </w:p>
        </w:tc>
      </w:tr>
      <w:tr w:rsidR="007F23BD" w14:paraId="05FD07FB" w14:textId="77777777" w:rsidTr="00D13DB8">
        <w:tc>
          <w:tcPr>
            <w:tcW w:w="643" w:type="dxa"/>
          </w:tcPr>
          <w:p w14:paraId="6F64A4A9" w14:textId="77777777" w:rsidR="007F23BD" w:rsidRDefault="007F23BD" w:rsidP="00454F93">
            <w:pPr>
              <w:rPr>
                <w:rFonts w:cs="Times New Roman"/>
              </w:rPr>
            </w:pPr>
            <w:r>
              <w:rPr>
                <w:rFonts w:cs="Times New Roman"/>
              </w:rPr>
              <w:t>3</w:t>
            </w:r>
          </w:p>
        </w:tc>
        <w:tc>
          <w:tcPr>
            <w:tcW w:w="9056" w:type="dxa"/>
          </w:tcPr>
          <w:p w14:paraId="030DCF06" w14:textId="77777777" w:rsidR="007F23BD" w:rsidRDefault="007F23BD" w:rsidP="00454F93">
            <w:pPr>
              <w:rPr>
                <w:rFonts w:asciiTheme="minorHAnsi" w:hAnsiTheme="minorHAnsi" w:cstheme="minorHAnsi"/>
              </w:rPr>
            </w:pPr>
            <w:r w:rsidRPr="004C4E26">
              <w:rPr>
                <w:rFonts w:asciiTheme="minorHAnsi" w:hAnsiTheme="minorHAnsi" w:cstheme="minorHAnsi"/>
              </w:rPr>
              <w:t>For the cluster analysis the chlorophyll signal from satellite data was decomposed into an interannual signal, a seasonal signal and a residual signal. The interannual signal can indicate long-term trends or regime shifts. The seasonal signal is an indication whether the blooms occur each year systematically in the same season or not. The residual signal gives an indication of the remaining variability and can give an indication of strongly varying conditions between years and seasons. With a statistical analysis using the various signals, areas with similar patterns can be identified and merged (Figure A.</w:t>
            </w:r>
            <w:r>
              <w:rPr>
                <w:rFonts w:asciiTheme="minorHAnsi" w:hAnsiTheme="minorHAnsi" w:cstheme="minorHAnsi"/>
              </w:rPr>
              <w:t>3.</w:t>
            </w:r>
            <w:r w:rsidRPr="004C4E26">
              <w:rPr>
                <w:rFonts w:asciiTheme="minorHAnsi" w:hAnsiTheme="minorHAnsi" w:cstheme="minorHAnsi"/>
              </w:rPr>
              <w:t>1). Largely similar areas appeared in an analysis of patterns in primary production derived from satellite data.</w:t>
            </w:r>
          </w:p>
          <w:p w14:paraId="43CBD4BF" w14:textId="77777777" w:rsidR="007F23BD" w:rsidRPr="004C4E26" w:rsidRDefault="007F23BD" w:rsidP="00454F93">
            <w:pPr>
              <w:rPr>
                <w:rFonts w:asciiTheme="minorHAnsi" w:hAnsiTheme="minorHAnsi" w:cstheme="minorHAnsi"/>
              </w:rPr>
            </w:pPr>
            <w:r w:rsidRPr="004C4E26">
              <w:rPr>
                <w:rFonts w:asciiTheme="minorHAnsi" w:hAnsiTheme="minorHAnsi" w:cstheme="minorHAnsi"/>
                <w:noProof/>
              </w:rPr>
              <w:lastRenderedPageBreak/>
              <w:drawing>
                <wp:inline distT="0" distB="0" distL="0" distR="0" wp14:anchorId="17275E77" wp14:editId="5C5FB3CD">
                  <wp:extent cx="5563032" cy="3155315"/>
                  <wp:effectExtent l="25400" t="25400" r="25400" b="1968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563032" cy="3155315"/>
                          </a:xfrm>
                          <a:prstGeom prst="rect">
                            <a:avLst/>
                          </a:prstGeom>
                          <a:noFill/>
                          <a:ln>
                            <a:solidFill>
                              <a:srgbClr val="000000"/>
                            </a:solidFill>
                          </a:ln>
                        </pic:spPr>
                      </pic:pic>
                    </a:graphicData>
                  </a:graphic>
                </wp:inline>
              </w:drawing>
            </w:r>
          </w:p>
          <w:p w14:paraId="7DAD8CBC" w14:textId="77777777" w:rsidR="007F23BD" w:rsidRDefault="007F23BD" w:rsidP="00454F93">
            <w:pPr>
              <w:rPr>
                <w:rFonts w:cs="Times New Roman"/>
              </w:rPr>
            </w:pPr>
            <w:r w:rsidRPr="004C4E26">
              <w:rPr>
                <w:rFonts w:asciiTheme="minorHAnsi" w:hAnsiTheme="minorHAnsi" w:cstheme="minorHAnsi"/>
                <w:bCs/>
                <w:i/>
              </w:rPr>
              <w:t>Areas with similar phytoplankton dynamics in satellite data.</w:t>
            </w:r>
          </w:p>
        </w:tc>
      </w:tr>
      <w:tr w:rsidR="007F23BD" w14:paraId="0E3B923C" w14:textId="77777777" w:rsidTr="00D13DB8">
        <w:tc>
          <w:tcPr>
            <w:tcW w:w="643" w:type="dxa"/>
          </w:tcPr>
          <w:p w14:paraId="5727C913" w14:textId="77777777" w:rsidR="007F23BD" w:rsidRDefault="007F23BD" w:rsidP="00454F93">
            <w:pPr>
              <w:rPr>
                <w:rFonts w:cs="Times New Roman"/>
              </w:rPr>
            </w:pPr>
            <w:r>
              <w:rPr>
                <w:rFonts w:cs="Times New Roman"/>
              </w:rPr>
              <w:lastRenderedPageBreak/>
              <w:t>4</w:t>
            </w:r>
          </w:p>
        </w:tc>
        <w:tc>
          <w:tcPr>
            <w:tcW w:w="9056" w:type="dxa"/>
          </w:tcPr>
          <w:p w14:paraId="2C59D424" w14:textId="77777777" w:rsidR="007F23BD" w:rsidRDefault="007F23BD" w:rsidP="00454F93">
            <w:pPr>
              <w:rPr>
                <w:rFonts w:asciiTheme="minorHAnsi" w:hAnsiTheme="minorHAnsi" w:cstheme="minorHAnsi"/>
              </w:rPr>
            </w:pPr>
            <w:r w:rsidRPr="004C4E26">
              <w:rPr>
                <w:rFonts w:asciiTheme="minorHAnsi" w:hAnsiTheme="minorHAnsi" w:cstheme="minorHAnsi"/>
              </w:rPr>
              <w:t>In JMP-EUNOSAT Deltares used the hydrodynamic model DCSMv6 FM (Dutch Continental Shelf model version 6) to model stratification and salinity and those results were combined with data on bathymetry. The DCSMv6 FM model has a spatial resolution (model grid size) of 1 nautical mile for all areas that are less than 100 m deep and covers the Greater North Sea and part of the NE Atlantic Ocean and Baltic Sea. Satellite data, in-situ data and FerryBox data were used for the model validation. Stratification was determined based on the modelled monthly averaged density difference between the top and bottom layer in the model. A grid cell was classified as stratified when the density difference was larger than 0.75 kg m</w:t>
            </w:r>
            <w:r w:rsidRPr="004C4E26">
              <w:rPr>
                <w:rFonts w:asciiTheme="minorHAnsi" w:hAnsiTheme="minorHAnsi" w:cstheme="minorHAnsi"/>
                <w:vertAlign w:val="superscript"/>
              </w:rPr>
              <w:t>-3</w:t>
            </w:r>
            <w:r w:rsidRPr="004C4E26">
              <w:rPr>
                <w:rFonts w:asciiTheme="minorHAnsi" w:hAnsiTheme="minorHAnsi" w:cstheme="minorHAnsi"/>
              </w:rPr>
              <w:t xml:space="preserve"> similar to van Leeuwen et al. (2015). Areas that are almost always stratified are the Norwegian Trench and the waters off the French Atlantic coast. The Northern North Sea is only stratified in summer and mixed in winter. The shallow areas of the Dogger Bank and the Southern North Sea are always mixed. The Atlantic Ocean seems never to be stratified in the model, although in reality the ocean is permanently stratified. To differentiate the type of stratification (permanently, seasonally or intermittently) the number of consecutive months, in which grid cells are either mixed or stratified is calculated.</w:t>
            </w:r>
          </w:p>
          <w:p w14:paraId="0D2C34AF" w14:textId="77777777" w:rsidR="007F23BD" w:rsidRDefault="007F23BD" w:rsidP="00454F93">
            <w:pPr>
              <w:rPr>
                <w:rFonts w:asciiTheme="minorHAnsi" w:hAnsiTheme="minorHAnsi" w:cstheme="minorHAnsi"/>
              </w:rPr>
            </w:pPr>
            <w:r>
              <w:rPr>
                <w:rFonts w:asciiTheme="minorHAnsi" w:hAnsiTheme="minorHAnsi" w:cstheme="minorHAnsi"/>
              </w:rPr>
              <w:t>See below for stratification classes</w:t>
            </w:r>
          </w:p>
          <w:tbl>
            <w:tblPr>
              <w:tblStyle w:val="TableGrid"/>
              <w:tblW w:w="0" w:type="auto"/>
              <w:tblLook w:val="04A0" w:firstRow="1" w:lastRow="0" w:firstColumn="1" w:lastColumn="0" w:noHBand="0" w:noVBand="1"/>
            </w:tblPr>
            <w:tblGrid>
              <w:gridCol w:w="3831"/>
              <w:gridCol w:w="2624"/>
              <w:gridCol w:w="2375"/>
            </w:tblGrid>
            <w:tr w:rsidR="007F23BD" w:rsidRPr="004C4E26" w14:paraId="1FE68551" w14:textId="77777777" w:rsidTr="00454F93">
              <w:tc>
                <w:tcPr>
                  <w:tcW w:w="3833" w:type="dxa"/>
                  <w:shd w:val="pct12" w:color="auto" w:fill="auto"/>
                </w:tcPr>
                <w:p w14:paraId="73EDDB9D" w14:textId="77777777" w:rsidR="007F23BD" w:rsidRPr="004C4E26" w:rsidRDefault="007F23BD" w:rsidP="00454F93">
                  <w:pPr>
                    <w:rPr>
                      <w:rFonts w:asciiTheme="minorHAnsi" w:hAnsiTheme="minorHAnsi" w:cstheme="minorHAnsi"/>
                      <w:b/>
                    </w:rPr>
                  </w:pPr>
                  <w:r w:rsidRPr="004C4E26">
                    <w:rPr>
                      <w:rFonts w:asciiTheme="minorHAnsi" w:hAnsiTheme="minorHAnsi" w:cstheme="minorHAnsi"/>
                      <w:b/>
                    </w:rPr>
                    <w:t>Stratification class</w:t>
                  </w:r>
                </w:p>
              </w:tc>
              <w:tc>
                <w:tcPr>
                  <w:tcW w:w="2625" w:type="dxa"/>
                  <w:shd w:val="pct12" w:color="auto" w:fill="auto"/>
                </w:tcPr>
                <w:p w14:paraId="070EFF2A" w14:textId="77777777" w:rsidR="007F23BD" w:rsidRPr="004C4E26" w:rsidRDefault="007F23BD" w:rsidP="00454F93">
                  <w:pPr>
                    <w:rPr>
                      <w:rFonts w:asciiTheme="minorHAnsi" w:hAnsiTheme="minorHAnsi" w:cstheme="minorHAnsi"/>
                      <w:b/>
                    </w:rPr>
                  </w:pPr>
                  <w:r w:rsidRPr="004C4E26">
                    <w:rPr>
                      <w:rFonts w:asciiTheme="minorHAnsi" w:hAnsiTheme="minorHAnsi" w:cstheme="minorHAnsi"/>
                      <w:b/>
                    </w:rPr>
                    <w:t>Number of consecutive months stratified</w:t>
                  </w:r>
                </w:p>
              </w:tc>
              <w:tc>
                <w:tcPr>
                  <w:tcW w:w="2376" w:type="dxa"/>
                  <w:shd w:val="pct12" w:color="auto" w:fill="auto"/>
                </w:tcPr>
                <w:p w14:paraId="655F9BBD" w14:textId="77777777" w:rsidR="007F23BD" w:rsidRPr="004C4E26" w:rsidRDefault="007F23BD" w:rsidP="00454F93">
                  <w:pPr>
                    <w:rPr>
                      <w:rFonts w:asciiTheme="minorHAnsi" w:hAnsiTheme="minorHAnsi" w:cstheme="minorHAnsi"/>
                      <w:b/>
                    </w:rPr>
                  </w:pPr>
                  <w:r w:rsidRPr="004C4E26">
                    <w:rPr>
                      <w:rFonts w:asciiTheme="minorHAnsi" w:hAnsiTheme="minorHAnsi" w:cstheme="minorHAnsi"/>
                      <w:b/>
                    </w:rPr>
                    <w:t>Number of consecutive months mixed</w:t>
                  </w:r>
                </w:p>
              </w:tc>
            </w:tr>
            <w:tr w:rsidR="007F23BD" w:rsidRPr="004C4E26" w14:paraId="7B7DD788" w14:textId="77777777" w:rsidTr="00454F93">
              <w:tc>
                <w:tcPr>
                  <w:tcW w:w="3833" w:type="dxa"/>
                </w:tcPr>
                <w:p w14:paraId="69953E3A"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lastRenderedPageBreak/>
                    <w:t>Permanently stratified</w:t>
                  </w:r>
                </w:p>
              </w:tc>
              <w:tc>
                <w:tcPr>
                  <w:tcW w:w="2625" w:type="dxa"/>
                </w:tcPr>
                <w:p w14:paraId="1D81340E"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8</w:t>
                  </w:r>
                </w:p>
              </w:tc>
              <w:tc>
                <w:tcPr>
                  <w:tcW w:w="2376" w:type="dxa"/>
                </w:tcPr>
                <w:p w14:paraId="00B6AFAB"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&lt;8</w:t>
                  </w:r>
                </w:p>
              </w:tc>
            </w:tr>
            <w:tr w:rsidR="007F23BD" w:rsidRPr="004C4E26" w14:paraId="21DE247F" w14:textId="77777777" w:rsidTr="00454F93">
              <w:tc>
                <w:tcPr>
                  <w:tcW w:w="3833" w:type="dxa"/>
                </w:tcPr>
                <w:p w14:paraId="25C28740"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Seasonally stratified</w:t>
                  </w:r>
                </w:p>
              </w:tc>
              <w:tc>
                <w:tcPr>
                  <w:tcW w:w="2625" w:type="dxa"/>
                </w:tcPr>
                <w:p w14:paraId="32CB7798"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3 and &lt;8</w:t>
                  </w:r>
                </w:p>
              </w:tc>
              <w:tc>
                <w:tcPr>
                  <w:tcW w:w="2376" w:type="dxa"/>
                </w:tcPr>
                <w:p w14:paraId="42B7D7C9"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6</w:t>
                  </w:r>
                </w:p>
              </w:tc>
            </w:tr>
            <w:tr w:rsidR="007F23BD" w:rsidRPr="004C4E26" w14:paraId="699ACD39" w14:textId="77777777" w:rsidTr="00454F93">
              <w:tc>
                <w:tcPr>
                  <w:tcW w:w="3833" w:type="dxa"/>
                </w:tcPr>
                <w:p w14:paraId="622AD3E2"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Intermittently stratified</w:t>
                  </w:r>
                </w:p>
              </w:tc>
              <w:tc>
                <w:tcPr>
                  <w:tcW w:w="2625" w:type="dxa"/>
                </w:tcPr>
                <w:p w14:paraId="200F6456"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1 and &lt;3</w:t>
                  </w:r>
                </w:p>
              </w:tc>
              <w:tc>
                <w:tcPr>
                  <w:tcW w:w="2376" w:type="dxa"/>
                </w:tcPr>
                <w:p w14:paraId="09890BEA"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6</w:t>
                  </w:r>
                </w:p>
              </w:tc>
            </w:tr>
            <w:tr w:rsidR="007F23BD" w:rsidRPr="004C4E26" w14:paraId="478508C6" w14:textId="77777777" w:rsidTr="00454F93">
              <w:tc>
                <w:tcPr>
                  <w:tcW w:w="3833" w:type="dxa"/>
                </w:tcPr>
                <w:p w14:paraId="72BFECE7"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Permanently mixed</w:t>
                  </w:r>
                </w:p>
              </w:tc>
              <w:tc>
                <w:tcPr>
                  <w:tcW w:w="2625" w:type="dxa"/>
                </w:tcPr>
                <w:p w14:paraId="47F05B05"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0</w:t>
                  </w:r>
                </w:p>
              </w:tc>
              <w:tc>
                <w:tcPr>
                  <w:tcW w:w="2376" w:type="dxa"/>
                </w:tcPr>
                <w:p w14:paraId="6AE0A774" w14:textId="77777777" w:rsidR="007F23BD" w:rsidRPr="004C4E26" w:rsidRDefault="007F23BD" w:rsidP="00454F93">
                  <w:pPr>
                    <w:rPr>
                      <w:rFonts w:asciiTheme="minorHAnsi" w:hAnsiTheme="minorHAnsi" w:cstheme="minorHAnsi"/>
                    </w:rPr>
                  </w:pPr>
                  <w:r w:rsidRPr="004C4E26">
                    <w:rPr>
                      <w:rFonts w:asciiTheme="minorHAnsi" w:hAnsiTheme="minorHAnsi" w:cstheme="minorHAnsi"/>
                    </w:rPr>
                    <w:t>≥ 10</w:t>
                  </w:r>
                </w:p>
              </w:tc>
            </w:tr>
          </w:tbl>
          <w:p w14:paraId="55AE62AE" w14:textId="77777777" w:rsidR="007F23BD" w:rsidRDefault="007F23BD" w:rsidP="00454F93">
            <w:pPr>
              <w:rPr>
                <w:rFonts w:asciiTheme="minorHAnsi" w:hAnsiTheme="minorHAnsi" w:cstheme="minorHAnsi"/>
                <w:noProof/>
              </w:rPr>
            </w:pPr>
            <w:r w:rsidRPr="004C4E26">
              <w:rPr>
                <w:rFonts w:asciiTheme="minorHAnsi" w:hAnsiTheme="minorHAnsi" w:cstheme="minorHAnsi"/>
                <w:i/>
              </w:rPr>
              <w:t>Physical conditions used to determine ecologically coherent assessment areas. Top left (a): Depth contours; top right (b): Salinity contours of the modelled salinity in the top layer; bottom (c): Stratification classes: Permanently stratified (PS), seasonally stratified (SS), and intermittently stratified (IS) or permanently mixed (PM)</w:t>
            </w:r>
          </w:p>
          <w:p w14:paraId="1E0C8362" w14:textId="77777777" w:rsidR="007F23BD" w:rsidRDefault="007F23BD" w:rsidP="00454F93">
            <w:pPr>
              <w:rPr>
                <w:rFonts w:asciiTheme="minorHAnsi" w:hAnsiTheme="minorHAnsi" w:cstheme="minorHAnsi"/>
              </w:rPr>
            </w:pPr>
            <w:r w:rsidRPr="004C4E26">
              <w:rPr>
                <w:rFonts w:asciiTheme="minorHAnsi" w:hAnsiTheme="minorHAnsi" w:cstheme="minorHAnsi"/>
                <w:noProof/>
              </w:rPr>
              <w:drawing>
                <wp:inline distT="0" distB="0" distL="0" distR="0" wp14:anchorId="5E819EA1" wp14:editId="2DAF7A8E">
                  <wp:extent cx="2834985" cy="1790700"/>
                  <wp:effectExtent l="19050" t="19050" r="22860" b="19050"/>
                  <wp:docPr id="10" name="Picture 8" descr="D:\Projects\Noordzee\matlab\figures\DepthClasses_dra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Noordzee\matlab\figures\DepthClasses_draft5.jpg"/>
                          <pic:cNvPicPr>
                            <a:picLocks noChangeAspect="1" noChangeArrowheads="1"/>
                          </pic:cNvPicPr>
                        </pic:nvPicPr>
                        <pic:blipFill rotWithShape="1">
                          <a:blip r:embed="rId14" cstate="email">
                            <a:extLst>
                              <a:ext uri="{28A0092B-C50C-407E-A947-70E740481C1C}">
                                <a14:useLocalDpi xmlns:a14="http://schemas.microsoft.com/office/drawing/2010/main" val="0"/>
                              </a:ext>
                            </a:extLst>
                          </a:blip>
                          <a:srcRect t="10374" b="5365"/>
                          <a:stretch/>
                        </pic:blipFill>
                        <pic:spPr bwMode="auto">
                          <a:xfrm>
                            <a:off x="0" y="0"/>
                            <a:ext cx="2843051" cy="179579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18F5BB" w14:textId="77777777" w:rsidR="007F23BD" w:rsidRDefault="007F23BD" w:rsidP="00454F93">
            <w:pPr>
              <w:rPr>
                <w:rFonts w:asciiTheme="minorHAnsi" w:hAnsiTheme="minorHAnsi" w:cstheme="minorHAnsi"/>
              </w:rPr>
            </w:pPr>
            <w:r w:rsidRPr="004C4E26">
              <w:rPr>
                <w:rFonts w:asciiTheme="minorHAnsi" w:hAnsiTheme="minorHAnsi" w:cstheme="minorHAnsi"/>
                <w:noProof/>
              </w:rPr>
              <w:drawing>
                <wp:inline distT="0" distB="0" distL="0" distR="0" wp14:anchorId="3FFD5AEC" wp14:editId="7595F88E">
                  <wp:extent cx="2790825" cy="1776746"/>
                  <wp:effectExtent l="19050" t="19050" r="9525" b="13970"/>
                  <wp:docPr id="11" name="Picture 10" descr="D:\Projects\Noordzee\matlab\figures\SalinityClasses_draft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Noordzee\matlab\figures\SalinityClasses_draft5.tif"/>
                          <pic:cNvPicPr>
                            <a:picLocks noChangeAspect="1" noChangeArrowheads="1"/>
                          </pic:cNvPicPr>
                        </pic:nvPicPr>
                        <pic:blipFill rotWithShape="1">
                          <a:blip r:embed="rId15" cstate="email">
                            <a:extLst>
                              <a:ext uri="{28A0092B-C50C-407E-A947-70E740481C1C}">
                                <a14:useLocalDpi xmlns:a14="http://schemas.microsoft.com/office/drawing/2010/main" val="0"/>
                              </a:ext>
                            </a:extLst>
                          </a:blip>
                          <a:srcRect t="9405" b="5688"/>
                          <a:stretch/>
                        </pic:blipFill>
                        <pic:spPr bwMode="auto">
                          <a:xfrm>
                            <a:off x="0" y="0"/>
                            <a:ext cx="2790825" cy="1776746"/>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97EA71" w14:textId="77777777" w:rsidR="007F23BD" w:rsidRPr="004C4E26" w:rsidRDefault="007F23BD" w:rsidP="00454F93">
            <w:pPr>
              <w:rPr>
                <w:rFonts w:asciiTheme="minorHAnsi" w:hAnsiTheme="minorHAnsi" w:cstheme="minorHAnsi"/>
              </w:rPr>
            </w:pPr>
            <w:r w:rsidRPr="004C4E26">
              <w:rPr>
                <w:rFonts w:asciiTheme="minorHAnsi" w:hAnsiTheme="minorHAnsi" w:cstheme="minorHAnsi"/>
                <w:noProof/>
              </w:rPr>
              <w:lastRenderedPageBreak/>
              <w:drawing>
                <wp:inline distT="0" distB="0" distL="0" distR="0" wp14:anchorId="156D6436" wp14:editId="20AA3294">
                  <wp:extent cx="2838450" cy="1814581"/>
                  <wp:effectExtent l="19050" t="19050" r="19050" b="14605"/>
                  <wp:docPr id="12" name="Picture 23" descr="D:\Projects\Noordzee\matlab\figures\StratificationClasses_draft5_Limit=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cts\Noordzee\matlab\figures\StratificationClasses_draft5_Limit=75.tif"/>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t="9524" b="5238"/>
                          <a:stretch/>
                        </pic:blipFill>
                        <pic:spPr bwMode="auto">
                          <a:xfrm>
                            <a:off x="0" y="0"/>
                            <a:ext cx="2840773" cy="1816066"/>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0009ACEC" w14:textId="77777777" w:rsidR="007F23BD" w:rsidRDefault="007F23BD" w:rsidP="00454F93">
            <w:pPr>
              <w:rPr>
                <w:rFonts w:cs="Times New Roman"/>
              </w:rPr>
            </w:pPr>
          </w:p>
        </w:tc>
      </w:tr>
      <w:tr w:rsidR="007F23BD" w14:paraId="7372D377" w14:textId="77777777" w:rsidTr="00D13DB8">
        <w:tc>
          <w:tcPr>
            <w:tcW w:w="643" w:type="dxa"/>
          </w:tcPr>
          <w:p w14:paraId="1E65B9A1" w14:textId="77777777" w:rsidR="007F23BD" w:rsidRDefault="007F23BD" w:rsidP="00454F93">
            <w:pPr>
              <w:rPr>
                <w:rFonts w:cs="Times New Roman"/>
              </w:rPr>
            </w:pPr>
            <w:r>
              <w:rPr>
                <w:rFonts w:cs="Times New Roman"/>
              </w:rPr>
              <w:lastRenderedPageBreak/>
              <w:t>5</w:t>
            </w:r>
          </w:p>
        </w:tc>
        <w:tc>
          <w:tcPr>
            <w:tcW w:w="9056" w:type="dxa"/>
          </w:tcPr>
          <w:p w14:paraId="3F8F0E9A" w14:textId="77777777" w:rsidR="007F23BD" w:rsidRDefault="007F23BD" w:rsidP="00454F93">
            <w:pPr>
              <w:rPr>
                <w:rFonts w:asciiTheme="minorHAnsi" w:hAnsiTheme="minorHAnsi" w:cstheme="minorHAnsi"/>
              </w:rPr>
            </w:pPr>
            <w:r w:rsidRPr="004C4E26">
              <w:rPr>
                <w:rFonts w:asciiTheme="minorHAnsi" w:hAnsiTheme="minorHAnsi" w:cstheme="minorHAnsi"/>
              </w:rPr>
              <w:t>Some of the features in the spatial chlorophyll patterns are consistent with the bathymetry of the North Sea, namely the Dogger Bank, the Southern North Sea and the Norwegian Trench. Those features are best depictured by the 35 m (Dogger Bank and Southern North Sea) and the 250m depth contour (Norwegian Trench, Figure A.</w:t>
            </w:r>
            <w:r>
              <w:rPr>
                <w:rFonts w:asciiTheme="minorHAnsi" w:hAnsiTheme="minorHAnsi" w:cstheme="minorHAnsi"/>
              </w:rPr>
              <w:t>3.</w:t>
            </w:r>
            <w:r w:rsidRPr="004C4E26">
              <w:rPr>
                <w:rFonts w:asciiTheme="minorHAnsi" w:hAnsiTheme="minorHAnsi" w:cstheme="minorHAnsi"/>
              </w:rPr>
              <w:t xml:space="preserve">2). The deep Atlantic is also separated by the 250 m depth contour. A salinity threshold of 32 psu was chosen to best approximate the coastal water type (Figure </w:t>
            </w:r>
            <w:r>
              <w:rPr>
                <w:rFonts w:asciiTheme="minorHAnsi" w:hAnsiTheme="minorHAnsi" w:cstheme="minorHAnsi"/>
              </w:rPr>
              <w:t>S2</w:t>
            </w:r>
            <w:r w:rsidRPr="004C4E26">
              <w:rPr>
                <w:rFonts w:asciiTheme="minorHAnsi" w:hAnsiTheme="minorHAnsi" w:cstheme="minorHAnsi"/>
              </w:rPr>
              <w:t>).</w:t>
            </w:r>
          </w:p>
          <w:p w14:paraId="6E300BA6" w14:textId="77777777" w:rsidR="007F23BD" w:rsidRDefault="007F23BD" w:rsidP="00454F93">
            <w:pPr>
              <w:rPr>
                <w:rFonts w:asciiTheme="minorHAnsi" w:hAnsiTheme="minorHAnsi" w:cstheme="minorHAnsi"/>
              </w:rPr>
            </w:pPr>
            <w:r w:rsidRPr="004C4E26">
              <w:rPr>
                <w:rFonts w:asciiTheme="minorHAnsi" w:hAnsiTheme="minorHAnsi" w:cstheme="minorHAnsi"/>
              </w:rPr>
              <w:t xml:space="preserve">Figure </w:t>
            </w:r>
            <w:r>
              <w:rPr>
                <w:rFonts w:asciiTheme="minorHAnsi" w:hAnsiTheme="minorHAnsi" w:cstheme="minorHAnsi"/>
              </w:rPr>
              <w:t>S2</w:t>
            </w:r>
            <w:r w:rsidRPr="004C4E26">
              <w:rPr>
                <w:rFonts w:asciiTheme="minorHAnsi" w:hAnsiTheme="minorHAnsi" w:cstheme="minorHAnsi"/>
              </w:rPr>
              <w:t xml:space="preserve"> and </w:t>
            </w:r>
            <w:r>
              <w:rPr>
                <w:rFonts w:asciiTheme="minorHAnsi" w:hAnsiTheme="minorHAnsi" w:cstheme="minorHAnsi"/>
              </w:rPr>
              <w:t>S3</w:t>
            </w:r>
            <w:r w:rsidRPr="004C4E26">
              <w:rPr>
                <w:rFonts w:asciiTheme="minorHAnsi" w:hAnsiTheme="minorHAnsi" w:cstheme="minorHAnsi"/>
              </w:rPr>
              <w:t xml:space="preserve"> show the resulting assessment areas proposed by JMP-EUNOSAT. When comparing these assessment areas with the assessment areas used for the previous OSPAR assessment report (Figure A.</w:t>
            </w:r>
            <w:r>
              <w:rPr>
                <w:rFonts w:asciiTheme="minorHAnsi" w:hAnsiTheme="minorHAnsi" w:cstheme="minorHAnsi"/>
              </w:rPr>
              <w:t>3.</w:t>
            </w:r>
            <w:r w:rsidRPr="004C4E26">
              <w:rPr>
                <w:rFonts w:asciiTheme="minorHAnsi" w:hAnsiTheme="minorHAnsi" w:cstheme="minorHAnsi"/>
              </w:rPr>
              <w:t>3) the main difference is that different water types in the North Sea stand out clearly in the new approach and different water types (for example ‘coastal waters’ or ‘Dogger Bank’) are defined in the same way across national borders and form a coherent sub-area.</w:t>
            </w:r>
          </w:p>
          <w:p w14:paraId="443BDA1D" w14:textId="77777777" w:rsidR="007F23BD" w:rsidRDefault="007F23BD" w:rsidP="00454F93">
            <w:pPr>
              <w:rPr>
                <w:rFonts w:asciiTheme="minorHAnsi" w:hAnsiTheme="minorHAnsi" w:cstheme="minorHAnsi"/>
              </w:rPr>
            </w:pPr>
            <w:r w:rsidRPr="004C4E26">
              <w:rPr>
                <w:rFonts w:asciiTheme="minorHAnsi" w:hAnsiTheme="minorHAnsi" w:cstheme="minorHAnsi"/>
                <w:bCs/>
                <w:i/>
              </w:rPr>
              <w:t>Comparison of ‘new’ assessment areas developed by JMP Eunosat with COMP3 assessment areas (indicated with black broken lines). Borders between MSFD subregions are shown by yellow lines</w:t>
            </w:r>
          </w:p>
          <w:p w14:paraId="472B5949" w14:textId="77777777" w:rsidR="007F23BD" w:rsidRDefault="007F23BD" w:rsidP="00454F93">
            <w:pPr>
              <w:rPr>
                <w:rFonts w:asciiTheme="minorHAnsi" w:hAnsiTheme="minorHAnsi" w:cstheme="minorHAnsi"/>
              </w:rPr>
            </w:pPr>
            <w:r w:rsidRPr="004C4E26">
              <w:rPr>
                <w:rFonts w:asciiTheme="minorHAnsi" w:hAnsiTheme="minorHAnsi" w:cstheme="minorHAnsi"/>
                <w:noProof/>
              </w:rPr>
              <w:lastRenderedPageBreak/>
              <w:drawing>
                <wp:inline distT="0" distB="0" distL="0" distR="0" wp14:anchorId="3C630BC4" wp14:editId="3EC73A4A">
                  <wp:extent cx="4761470" cy="3617904"/>
                  <wp:effectExtent l="0" t="0" r="1270" b="1905"/>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0" y="0"/>
                            <a:ext cx="4783328" cy="3634512"/>
                          </a:xfrm>
                          <a:prstGeom prst="rect">
                            <a:avLst/>
                          </a:prstGeom>
                        </pic:spPr>
                      </pic:pic>
                    </a:graphicData>
                  </a:graphic>
                </wp:inline>
              </w:drawing>
            </w:r>
          </w:p>
          <w:p w14:paraId="650D1BAF" w14:textId="77777777" w:rsidR="007F23BD" w:rsidRPr="004C4E26" w:rsidRDefault="007F23BD" w:rsidP="00454F93">
            <w:pPr>
              <w:rPr>
                <w:rFonts w:asciiTheme="minorHAnsi" w:hAnsiTheme="minorHAnsi" w:cstheme="minorHAnsi"/>
              </w:rPr>
            </w:pPr>
            <w:r w:rsidRPr="004C4E26">
              <w:rPr>
                <w:rFonts w:asciiTheme="minorHAnsi" w:hAnsiTheme="minorHAnsi" w:cstheme="minorHAnsi"/>
                <w:i/>
              </w:rPr>
              <w:t>JMP-EUNOSAT proposal for ecologically relevant assessment areas based on phytoplankton dynamics, duration of stratification, mean surface salinity and depth, with borders between EEZs projected on the assessment areas as black lines.</w:t>
            </w:r>
          </w:p>
          <w:p w14:paraId="42EC046E" w14:textId="77777777" w:rsidR="007F23BD" w:rsidRPr="001D6694" w:rsidRDefault="007F23BD" w:rsidP="00454F93">
            <w:pPr>
              <w:rPr>
                <w:rFonts w:asciiTheme="minorHAnsi" w:hAnsiTheme="minorHAnsi" w:cstheme="minorHAnsi"/>
              </w:rPr>
            </w:pPr>
            <w:r>
              <w:rPr>
                <w:noProof/>
              </w:rPr>
              <w:drawing>
                <wp:inline distT="0" distB="0" distL="0" distR="0" wp14:anchorId="7C140BC9" wp14:editId="2815153B">
                  <wp:extent cx="4585063" cy="3527987"/>
                  <wp:effectExtent l="0" t="0" r="6350" b="0"/>
                  <wp:docPr id="6164" name="Picture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4"/>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592187" cy="3533469"/>
                          </a:xfrm>
                          <a:prstGeom prst="rect">
                            <a:avLst/>
                          </a:prstGeom>
                        </pic:spPr>
                      </pic:pic>
                    </a:graphicData>
                  </a:graphic>
                </wp:inline>
              </w:drawing>
            </w:r>
          </w:p>
        </w:tc>
      </w:tr>
    </w:tbl>
    <w:p w14:paraId="555C7716" w14:textId="10824CFC" w:rsidR="00D13DB8" w:rsidRPr="00D13DB8" w:rsidRDefault="004B45E5" w:rsidP="004B45E5">
      <w:pPr>
        <w:pStyle w:val="Caption"/>
      </w:pPr>
      <w:bookmarkStart w:id="1" w:name="_Toc139460463"/>
      <w:r>
        <w:lastRenderedPageBreak/>
        <w:t xml:space="preserve">Supplementary Table S </w:t>
      </w:r>
      <w:fldSimple w:instr=" SEQ Supplementary_Table_S \* ARABIC ">
        <w:r>
          <w:rPr>
            <w:noProof/>
          </w:rPr>
          <w:t>2</w:t>
        </w:r>
      </w:fldSimple>
      <w:r w:rsidR="00D13DB8">
        <w:t xml:space="preserve">: </w:t>
      </w:r>
      <w:r w:rsidR="00D13DB8" w:rsidRPr="00D13DB8">
        <w:t>Further development of the OSPAR assessment areas after JMP-EUNOSAT and National modifications*.</w:t>
      </w:r>
      <w:bookmarkEnd w:id="1"/>
      <w:r w:rsidR="00D13DB8" w:rsidRPr="00D13DB8">
        <w:t xml:space="preserve">  </w:t>
      </w:r>
    </w:p>
    <w:p w14:paraId="5751767C" w14:textId="77777777" w:rsidR="00D13DB8" w:rsidRPr="0070330E" w:rsidRDefault="00D13DB8" w:rsidP="00D13DB8">
      <w:pPr>
        <w:rPr>
          <w:rFonts w:cs="Times New Roman"/>
          <w:iCs/>
        </w:rPr>
      </w:pPr>
      <w:r w:rsidRPr="0070330E">
        <w:rPr>
          <w:rFonts w:cs="Times New Roman"/>
        </w:rPr>
        <w:t>*The original proposal by the JMP-EUNOSAT project was to carry out assessments at three levels of spatial detail including  (i) areas defined based on similar ecological and physical functioning throughout the North Sea, based on spatial and seasonal patterns of chlorophyll and primary production in satellite data, (ii) Subdivision of cross-border coherent areas into national sub-areas, so countries can take responsibility for their own part of the cross-border assessment areas and (iii) National sub-areas further subdivided into smaller areas, depending on preferences and practical considerations of countries. This would allow e.g., to assess changes in areas that are affected by specific river catchments. A lengthy consultation was then carried out where further refinements would be made to the assessment areas proposed by JMP-EUNOSAT, based on requests by OSPAR Contracting Parties. This then enable full agreement on the harmonised assessment areas..</w:t>
      </w:r>
      <w:r w:rsidRPr="0070330E">
        <w:rPr>
          <w:rFonts w:cs="Times New Roman"/>
          <w:iCs/>
        </w:rPr>
        <w:t xml:space="preserve">For a full history of edits to the shapefiles for the assessment areas, visit the </w:t>
      </w:r>
      <w:hyperlink r:id="rId19" w:history="1">
        <w:r w:rsidRPr="0070330E">
          <w:rPr>
            <w:rStyle w:val="Hyperlink"/>
            <w:rFonts w:cs="Times New Roman"/>
            <w:iCs/>
          </w:rPr>
          <w:t>COMPEAT github repository</w:t>
        </w:r>
      </w:hyperlink>
      <w:r w:rsidRPr="0070330E">
        <w:rPr>
          <w:rFonts w:cs="Times New Roman"/>
          <w:iCs/>
        </w:rPr>
        <w:t xml:space="preserve"> and view the commit history.</w:t>
      </w:r>
    </w:p>
    <w:tbl>
      <w:tblPr>
        <w:tblStyle w:val="TableGrid"/>
        <w:tblW w:w="10279" w:type="dxa"/>
        <w:tblLook w:val="04A0" w:firstRow="1" w:lastRow="0" w:firstColumn="1" w:lastColumn="0" w:noHBand="0" w:noVBand="1"/>
      </w:tblPr>
      <w:tblGrid>
        <w:gridCol w:w="1003"/>
        <w:gridCol w:w="9276"/>
      </w:tblGrid>
      <w:tr w:rsidR="00D13DB8" w:rsidRPr="00FD2779" w14:paraId="460B3D2B" w14:textId="77777777" w:rsidTr="00454F93">
        <w:tc>
          <w:tcPr>
            <w:tcW w:w="1003" w:type="dxa"/>
          </w:tcPr>
          <w:p w14:paraId="668A768C" w14:textId="77777777" w:rsidR="00D13DB8" w:rsidRPr="00FD2779" w:rsidRDefault="00D13DB8" w:rsidP="00454F93">
            <w:pPr>
              <w:rPr>
                <w:rFonts w:cs="Times New Roman"/>
              </w:rPr>
            </w:pPr>
            <w:r w:rsidRPr="00FD2779">
              <w:rPr>
                <w:rFonts w:cs="Times New Roman"/>
              </w:rPr>
              <w:t xml:space="preserve">Number </w:t>
            </w:r>
          </w:p>
        </w:tc>
        <w:tc>
          <w:tcPr>
            <w:tcW w:w="9276" w:type="dxa"/>
          </w:tcPr>
          <w:p w14:paraId="68F2CF65" w14:textId="77777777" w:rsidR="00D13DB8" w:rsidRPr="00FD2779" w:rsidRDefault="00D13DB8" w:rsidP="00454F93">
            <w:pPr>
              <w:rPr>
                <w:rFonts w:cs="Times New Roman"/>
              </w:rPr>
            </w:pPr>
            <w:r w:rsidRPr="00FD2779">
              <w:rPr>
                <w:rFonts w:cs="Times New Roman"/>
              </w:rPr>
              <w:t>Modification added to the initial assessment area</w:t>
            </w:r>
          </w:p>
        </w:tc>
      </w:tr>
      <w:tr w:rsidR="00D13DB8" w:rsidRPr="00FD2779" w14:paraId="56E06E29" w14:textId="77777777" w:rsidTr="00454F93">
        <w:tc>
          <w:tcPr>
            <w:tcW w:w="1003" w:type="dxa"/>
          </w:tcPr>
          <w:p w14:paraId="38366E8B" w14:textId="77777777" w:rsidR="00D13DB8" w:rsidRPr="00FD2779" w:rsidRDefault="00D13DB8" w:rsidP="00454F93">
            <w:pPr>
              <w:rPr>
                <w:rFonts w:cs="Times New Roman"/>
              </w:rPr>
            </w:pPr>
            <w:r w:rsidRPr="00FD2779">
              <w:rPr>
                <w:rFonts w:cs="Times New Roman"/>
              </w:rPr>
              <w:t>1</w:t>
            </w:r>
          </w:p>
        </w:tc>
        <w:tc>
          <w:tcPr>
            <w:tcW w:w="9276" w:type="dxa"/>
          </w:tcPr>
          <w:p w14:paraId="1B3B8EC2" w14:textId="77777777" w:rsidR="00D13DB8" w:rsidRPr="00FD2779" w:rsidRDefault="00D13DB8" w:rsidP="00454F93">
            <w:pPr>
              <w:rPr>
                <w:rFonts w:cs="Times New Roman"/>
              </w:rPr>
            </w:pPr>
            <w:r w:rsidRPr="00FD2779">
              <w:rPr>
                <w:rFonts w:cs="Times New Roman"/>
              </w:rPr>
              <w:t>For practical reasons, such as easy implementation of the assessment procedure in the COMPEAT tool, it was decided at the September 2019 TG COMP/ICG EMO meeting in Hamburg that OSPAR will only perform assessments at one level of spatial detail. There was no need to separate assessment areas along country boundaries. But it was considered important that individual large river catchments would be represented as distinct assessment areas. Furthermore, it was decided that the OSPAR assessment areas should not overlap with the WFD assessment areas. Therefore, the WFD assessment areas were cropped out of the OSPAR assessment areas.</w:t>
            </w:r>
          </w:p>
        </w:tc>
      </w:tr>
      <w:tr w:rsidR="00D13DB8" w:rsidRPr="00FD2779" w14:paraId="3B81C829" w14:textId="77777777" w:rsidTr="00454F93">
        <w:tc>
          <w:tcPr>
            <w:tcW w:w="1003" w:type="dxa"/>
          </w:tcPr>
          <w:p w14:paraId="7AEEF1E2" w14:textId="77777777" w:rsidR="00D13DB8" w:rsidRPr="00FD2779" w:rsidRDefault="00D13DB8" w:rsidP="00454F93">
            <w:pPr>
              <w:rPr>
                <w:rFonts w:cs="Times New Roman"/>
              </w:rPr>
            </w:pPr>
            <w:r>
              <w:rPr>
                <w:rFonts w:cs="Times New Roman"/>
              </w:rPr>
              <w:t>2</w:t>
            </w:r>
          </w:p>
        </w:tc>
        <w:tc>
          <w:tcPr>
            <w:tcW w:w="9276" w:type="dxa"/>
          </w:tcPr>
          <w:p w14:paraId="3BC266E2" w14:textId="77777777" w:rsidR="00D13DB8" w:rsidRPr="00FD2779" w:rsidRDefault="00D13DB8" w:rsidP="00454F93">
            <w:pPr>
              <w:rPr>
                <w:rFonts w:cs="Times New Roman"/>
              </w:rPr>
            </w:pPr>
            <w:r w:rsidRPr="00FD2779">
              <w:rPr>
                <w:rFonts w:cs="Times New Roman"/>
              </w:rPr>
              <w:t xml:space="preserve">The area ‘coastal waters’ along the Belgian, Dutch, German and Danish coasts has been split up along river catchments, following the same delineations as used by the WFD. So, the boundaries perpendicular to the coast that split up the 1 nautical mile area (WFD water bodies) along the coast have been extended further offshore. This resulted in the following areas, representing major river inflows: Scheldt plume, Meuse plume, Rhine plume, Ems plume and Elbe plume (all the way up along the Danish coast). We have considered to include the Weser as separate river plume but abandoned this idea to avoid a very small assessment area. We also considered changing the boundaries between the Scheldt, Meuse and Rhine plumes to better represent that, in reality, the coastal waters are dominated by fresh water inputs from the Rhine and, to a lesser extent, Meuse rivers (already mixed in the Dutch delta area) rather than the Scheldt (that has a relatively small discharge and nutrient load). For coherence with the WFD we have so far used the WFD boundaries between the Scheldt, Meuse and Rhine catchments. </w:t>
            </w:r>
          </w:p>
          <w:p w14:paraId="2BF1C8A4" w14:textId="77777777" w:rsidR="00D13DB8" w:rsidRPr="00FD2779" w:rsidRDefault="00D13DB8" w:rsidP="00454F93">
            <w:pPr>
              <w:rPr>
                <w:rFonts w:cs="Times New Roman"/>
              </w:rPr>
            </w:pPr>
            <w:r w:rsidRPr="00FD2779">
              <w:rPr>
                <w:rFonts w:cs="Times New Roman"/>
                <w:i/>
              </w:rPr>
              <w:t>WFD assessment areas (pink), JMP-EUNOSAT assessment areas (green with grey borders) and the proposed cut-up of the coastal water assessment area into river catchments (dark blue) by extending WFD boundaries further offshore.</w:t>
            </w:r>
          </w:p>
          <w:p w14:paraId="75AAFB90" w14:textId="77777777" w:rsidR="00D13DB8" w:rsidRPr="00FD2779" w:rsidRDefault="00D13DB8" w:rsidP="00454F93">
            <w:pPr>
              <w:rPr>
                <w:rFonts w:cs="Times New Roman"/>
              </w:rPr>
            </w:pPr>
            <w:r w:rsidRPr="00FD2779">
              <w:rPr>
                <w:rFonts w:cs="Times New Roman"/>
                <w:noProof/>
              </w:rPr>
              <w:lastRenderedPageBreak/>
              <w:drawing>
                <wp:inline distT="0" distB="0" distL="0" distR="0" wp14:anchorId="66A7124B" wp14:editId="3275A535">
                  <wp:extent cx="4646140" cy="379783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4648452" cy="3799721"/>
                          </a:xfrm>
                          <a:prstGeom prst="rect">
                            <a:avLst/>
                          </a:prstGeom>
                        </pic:spPr>
                      </pic:pic>
                    </a:graphicData>
                  </a:graphic>
                </wp:inline>
              </w:drawing>
            </w:r>
          </w:p>
        </w:tc>
      </w:tr>
      <w:tr w:rsidR="00D13DB8" w:rsidRPr="00FD2779" w14:paraId="710303A3" w14:textId="77777777" w:rsidTr="00454F93">
        <w:tc>
          <w:tcPr>
            <w:tcW w:w="1003" w:type="dxa"/>
          </w:tcPr>
          <w:p w14:paraId="7CE8A8AE" w14:textId="77777777" w:rsidR="00D13DB8" w:rsidRPr="00FD2779" w:rsidRDefault="00D13DB8" w:rsidP="00454F93">
            <w:pPr>
              <w:rPr>
                <w:rFonts w:cs="Times New Roman"/>
              </w:rPr>
            </w:pPr>
            <w:r>
              <w:rPr>
                <w:rFonts w:cs="Times New Roman"/>
              </w:rPr>
              <w:lastRenderedPageBreak/>
              <w:t>3</w:t>
            </w:r>
          </w:p>
        </w:tc>
        <w:tc>
          <w:tcPr>
            <w:tcW w:w="9276" w:type="dxa"/>
          </w:tcPr>
          <w:p w14:paraId="049C089C" w14:textId="77777777" w:rsidR="00D13DB8" w:rsidRPr="00FD2779" w:rsidRDefault="00D13DB8" w:rsidP="00454F93">
            <w:pPr>
              <w:spacing w:before="0" w:after="120" w:line="276" w:lineRule="auto"/>
              <w:jc w:val="both"/>
              <w:rPr>
                <w:rFonts w:cs="Times New Roman"/>
              </w:rPr>
            </w:pPr>
            <w:r w:rsidRPr="00FD2779">
              <w:rPr>
                <w:rFonts w:cs="Times New Roman"/>
              </w:rPr>
              <w:t>In UK coastal waters river plumes of the Humber, Thames and Liverpool Bay were defined as separate assessment areas. After some discussion with the Environment Agency, it was decided to include some of the outer WFD areas in the Thames and Liverpool Bay areas as the areas extend quite a bit into the plume and it was preferred to assess it as one area. The Thames plume follows the 25mg/l SPM contour, Liverpool Bay follows 10 mg/l SPM and Humber follows 11 mg/l SPM, based on a 10-year average (Greenwood et al., 2019).</w:t>
            </w:r>
          </w:p>
        </w:tc>
      </w:tr>
      <w:tr w:rsidR="00D13DB8" w:rsidRPr="00FD2779" w14:paraId="4560EC5C" w14:textId="77777777" w:rsidTr="00454F93">
        <w:tc>
          <w:tcPr>
            <w:tcW w:w="1003" w:type="dxa"/>
          </w:tcPr>
          <w:p w14:paraId="1BAF828C" w14:textId="77777777" w:rsidR="00D13DB8" w:rsidRPr="00FD2779" w:rsidRDefault="00D13DB8" w:rsidP="00454F93">
            <w:pPr>
              <w:rPr>
                <w:rFonts w:cs="Times New Roman"/>
              </w:rPr>
            </w:pPr>
            <w:r>
              <w:rPr>
                <w:rFonts w:cs="Times New Roman"/>
              </w:rPr>
              <w:t>4</w:t>
            </w:r>
          </w:p>
        </w:tc>
        <w:tc>
          <w:tcPr>
            <w:tcW w:w="9276" w:type="dxa"/>
          </w:tcPr>
          <w:p w14:paraId="372FF1ED" w14:textId="77777777" w:rsidR="00D13DB8" w:rsidRPr="00FD2779" w:rsidRDefault="00D13DB8" w:rsidP="00454F93">
            <w:pPr>
              <w:spacing w:before="0" w:after="120" w:line="276" w:lineRule="auto"/>
              <w:jc w:val="both"/>
              <w:rPr>
                <w:rFonts w:cs="Times New Roman"/>
              </w:rPr>
            </w:pPr>
            <w:r w:rsidRPr="00FD2779">
              <w:rPr>
                <w:rFonts w:cs="Times New Roman"/>
              </w:rPr>
              <w:t>In French coastal waters</w:t>
            </w:r>
            <w:r>
              <w:rPr>
                <w:rFonts w:cs="Times New Roman"/>
              </w:rPr>
              <w:t>,</w:t>
            </w:r>
            <w:r w:rsidRPr="00FD2779">
              <w:rPr>
                <w:rFonts w:cs="Times New Roman"/>
              </w:rPr>
              <w:t xml:space="preserve"> major river plumes were used as assessment areas: Adour plume, Gironde plume, Loire plume and Seine plume. The area boundaries were based on combined modelling and data analysis work by SHOM (Cachera et al., 2019 and Tew-Kai et al., 2020).</w:t>
            </w:r>
          </w:p>
        </w:tc>
      </w:tr>
      <w:tr w:rsidR="00D13DB8" w:rsidRPr="00FD2779" w14:paraId="0B174625" w14:textId="77777777" w:rsidTr="00454F93">
        <w:tc>
          <w:tcPr>
            <w:tcW w:w="1003" w:type="dxa"/>
          </w:tcPr>
          <w:p w14:paraId="32586867" w14:textId="77777777" w:rsidR="00D13DB8" w:rsidRPr="00FD2779" w:rsidRDefault="00D13DB8" w:rsidP="00454F93">
            <w:pPr>
              <w:rPr>
                <w:rFonts w:cs="Times New Roman"/>
              </w:rPr>
            </w:pPr>
            <w:r>
              <w:rPr>
                <w:rFonts w:cs="Times New Roman"/>
              </w:rPr>
              <w:t>5</w:t>
            </w:r>
          </w:p>
        </w:tc>
        <w:tc>
          <w:tcPr>
            <w:tcW w:w="9276" w:type="dxa"/>
          </w:tcPr>
          <w:p w14:paraId="04AA0F3D" w14:textId="77777777" w:rsidR="00D13DB8" w:rsidRPr="00FD2779" w:rsidRDefault="00D13DB8" w:rsidP="00454F93">
            <w:pPr>
              <w:spacing w:before="0" w:after="120" w:line="276" w:lineRule="auto"/>
              <w:jc w:val="both"/>
              <w:rPr>
                <w:rFonts w:cs="Times New Roman"/>
              </w:rPr>
            </w:pPr>
            <w:r w:rsidRPr="00FD2779">
              <w:rPr>
                <w:rFonts w:cs="Times New Roman"/>
              </w:rPr>
              <w:t>In French coastal waters</w:t>
            </w:r>
            <w:r>
              <w:rPr>
                <w:rFonts w:cs="Times New Roman"/>
              </w:rPr>
              <w:t xml:space="preserve">, </w:t>
            </w:r>
            <w:r w:rsidRPr="00FD2779">
              <w:rPr>
                <w:rFonts w:cs="Times New Roman"/>
              </w:rPr>
              <w:t>new area boundary definitions have been defined based on the same work by SHOM: Bay of Biscay shelf waters, Bay of Biscay coastal waters and Channel coastal waters.</w:t>
            </w:r>
          </w:p>
        </w:tc>
      </w:tr>
      <w:tr w:rsidR="00D13DB8" w:rsidRPr="00FD2779" w14:paraId="22673C9F" w14:textId="77777777" w:rsidTr="00454F93">
        <w:tc>
          <w:tcPr>
            <w:tcW w:w="1003" w:type="dxa"/>
          </w:tcPr>
          <w:p w14:paraId="16EAA8A6" w14:textId="77777777" w:rsidR="00D13DB8" w:rsidRPr="00FD2779" w:rsidRDefault="00D13DB8" w:rsidP="00454F93">
            <w:pPr>
              <w:rPr>
                <w:rFonts w:cs="Times New Roman"/>
              </w:rPr>
            </w:pPr>
            <w:r>
              <w:rPr>
                <w:rFonts w:cs="Times New Roman"/>
              </w:rPr>
              <w:t>6</w:t>
            </w:r>
          </w:p>
        </w:tc>
        <w:tc>
          <w:tcPr>
            <w:tcW w:w="9276" w:type="dxa"/>
          </w:tcPr>
          <w:p w14:paraId="4354AC6A" w14:textId="77777777" w:rsidR="00D13DB8" w:rsidRPr="00FD2779" w:rsidRDefault="00D13DB8" w:rsidP="00454F93">
            <w:pPr>
              <w:spacing w:before="0" w:after="120" w:line="276" w:lineRule="auto"/>
              <w:jc w:val="both"/>
              <w:rPr>
                <w:rFonts w:cs="Times New Roman"/>
              </w:rPr>
            </w:pPr>
            <w:r w:rsidRPr="00FD2779">
              <w:rPr>
                <w:rFonts w:cs="Times New Roman"/>
              </w:rPr>
              <w:t>Based on the same SHOM work and discussions between UK and France both CPs agreed on new cross-boundary sub-areas within the Channel.</w:t>
            </w:r>
          </w:p>
        </w:tc>
      </w:tr>
      <w:tr w:rsidR="00D13DB8" w:rsidRPr="00FD2779" w14:paraId="651C34FF" w14:textId="77777777" w:rsidTr="00454F93">
        <w:tc>
          <w:tcPr>
            <w:tcW w:w="1003" w:type="dxa"/>
          </w:tcPr>
          <w:p w14:paraId="6D8D58A1" w14:textId="77777777" w:rsidR="00D13DB8" w:rsidRPr="00FD2779" w:rsidRDefault="00D13DB8" w:rsidP="00454F93">
            <w:pPr>
              <w:rPr>
                <w:rFonts w:cs="Times New Roman"/>
              </w:rPr>
            </w:pPr>
            <w:r>
              <w:rPr>
                <w:rFonts w:cs="Times New Roman"/>
              </w:rPr>
              <w:t>7</w:t>
            </w:r>
          </w:p>
        </w:tc>
        <w:tc>
          <w:tcPr>
            <w:tcW w:w="9276" w:type="dxa"/>
          </w:tcPr>
          <w:p w14:paraId="628E1385" w14:textId="77777777" w:rsidR="00D13DB8" w:rsidRPr="00FD2779" w:rsidRDefault="00D13DB8" w:rsidP="00454F93">
            <w:pPr>
              <w:spacing w:before="0" w:after="120" w:line="276" w:lineRule="auto"/>
              <w:jc w:val="both"/>
              <w:rPr>
                <w:rFonts w:cs="Times New Roman"/>
              </w:rPr>
            </w:pPr>
            <w:r w:rsidRPr="00FD2779">
              <w:rPr>
                <w:rFonts w:cs="Times New Roman"/>
              </w:rPr>
              <w:t xml:space="preserve">Germany proposed a new subarea in the eastern North Sea for a better representation of the salinity gradient. This has been implemented as German Bight central </w:t>
            </w:r>
          </w:p>
          <w:p w14:paraId="7F8FB90B" w14:textId="77777777" w:rsidR="00D13DB8" w:rsidRPr="00FD2779" w:rsidRDefault="00D13DB8" w:rsidP="00454F93">
            <w:pPr>
              <w:spacing w:before="0" w:after="120" w:line="276" w:lineRule="auto"/>
              <w:jc w:val="both"/>
              <w:rPr>
                <w:rFonts w:cs="Times New Roman"/>
              </w:rPr>
            </w:pPr>
            <w:r w:rsidRPr="00FD2779">
              <w:rPr>
                <w:rFonts w:cs="Times New Roman"/>
                <w:noProof/>
              </w:rPr>
              <w:lastRenderedPageBreak/>
              <w:drawing>
                <wp:inline distT="0" distB="0" distL="0" distR="0" wp14:anchorId="664FB38D" wp14:editId="1AA80523">
                  <wp:extent cx="2343150" cy="286941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7701" cy="2874992"/>
                          </a:xfrm>
                          <a:prstGeom prst="rect">
                            <a:avLst/>
                          </a:prstGeom>
                        </pic:spPr>
                      </pic:pic>
                    </a:graphicData>
                  </a:graphic>
                </wp:inline>
              </w:drawing>
            </w:r>
          </w:p>
          <w:p w14:paraId="47BAD222" w14:textId="77777777" w:rsidR="00D13DB8" w:rsidRPr="00FD2779" w:rsidRDefault="00D13DB8" w:rsidP="00454F93">
            <w:pPr>
              <w:spacing w:before="0" w:after="120" w:line="276" w:lineRule="auto"/>
              <w:jc w:val="both"/>
              <w:rPr>
                <w:rFonts w:cs="Times New Roman"/>
              </w:rPr>
            </w:pPr>
            <w:r w:rsidRPr="00FD2779">
              <w:rPr>
                <w:rFonts w:cs="Times New Roman"/>
                <w:i/>
              </w:rPr>
              <w:t>The newly proposed sub-area in the German Bight as red area projected on the original JMP-EUNOSAT assessment areas.</w:t>
            </w:r>
          </w:p>
        </w:tc>
      </w:tr>
      <w:tr w:rsidR="00D13DB8" w:rsidRPr="00FD2779" w14:paraId="700032ED" w14:textId="77777777" w:rsidTr="00454F93">
        <w:tc>
          <w:tcPr>
            <w:tcW w:w="1003" w:type="dxa"/>
          </w:tcPr>
          <w:p w14:paraId="062A01E4" w14:textId="77777777" w:rsidR="00D13DB8" w:rsidRPr="00FD2779" w:rsidRDefault="00D13DB8" w:rsidP="00454F93">
            <w:pPr>
              <w:rPr>
                <w:rFonts w:cs="Times New Roman"/>
              </w:rPr>
            </w:pPr>
            <w:r>
              <w:rPr>
                <w:rFonts w:cs="Times New Roman"/>
              </w:rPr>
              <w:lastRenderedPageBreak/>
              <w:t>8</w:t>
            </w:r>
          </w:p>
        </w:tc>
        <w:tc>
          <w:tcPr>
            <w:tcW w:w="9276" w:type="dxa"/>
          </w:tcPr>
          <w:p w14:paraId="149746D9" w14:textId="77777777" w:rsidR="00D13DB8" w:rsidRPr="00FD2779" w:rsidRDefault="00D13DB8" w:rsidP="00454F93">
            <w:pPr>
              <w:rPr>
                <w:rFonts w:cs="Times New Roman"/>
              </w:rPr>
            </w:pPr>
            <w:r w:rsidRPr="00FD2779">
              <w:rPr>
                <w:rFonts w:cs="Times New Roman"/>
              </w:rPr>
              <w:t>Furthermore, some smaller polishing edits were made such as: removing small leftover polygons after cropping out WFD areas and splitting up some assessment areas into separate areas</w:t>
            </w:r>
            <w:r>
              <w:rPr>
                <w:rFonts w:cs="Times New Roman"/>
              </w:rPr>
              <w:t xml:space="preserve"> including:</w:t>
            </w:r>
          </w:p>
          <w:p w14:paraId="0A859D18"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Removed Outer Coastal area splitting up Skagerrak</w:t>
            </w:r>
          </w:p>
          <w:p w14:paraId="42E86647"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 xml:space="preserve">Moved boundary between Eastern North Sea and German Bight to align with 34psu salinity contour. </w:t>
            </w:r>
          </w:p>
          <w:p w14:paraId="68A89359"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Moved boundary between Coastal UK1 and Irish Sea to align with old OSPAR boundary.</w:t>
            </w:r>
          </w:p>
          <w:p w14:paraId="2629AA34"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Extended outer boundaries to encompass all of UK and Irish EEZs.</w:t>
            </w:r>
          </w:p>
          <w:p w14:paraId="277363CF"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Removed a fragment polygon in Outer Coastal region (merged with German Bight)</w:t>
            </w:r>
          </w:p>
          <w:p w14:paraId="10C8CAA7"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 xml:space="preserve">Split the intermittently stratified region into two along the boundary between the Celtic Seas and Greater North Sea </w:t>
            </w:r>
          </w:p>
          <w:p w14:paraId="021322F7"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Scottish WFD areas outside 3nm boundary were reinstated to unify Scottish Sea into one assessment area.</w:t>
            </w:r>
          </w:p>
          <w:p w14:paraId="33311D58" w14:textId="77777777" w:rsidR="00D13DB8" w:rsidRPr="00FD2779" w:rsidRDefault="00D13DB8" w:rsidP="00454F93">
            <w:pPr>
              <w:numPr>
                <w:ilvl w:val="1"/>
                <w:numId w:val="4"/>
              </w:numPr>
              <w:spacing w:before="0" w:after="120" w:line="276" w:lineRule="auto"/>
              <w:ind w:left="284"/>
              <w:jc w:val="both"/>
              <w:rPr>
                <w:rFonts w:cs="Times New Roman"/>
              </w:rPr>
            </w:pPr>
            <w:r w:rsidRPr="00FD2779">
              <w:rPr>
                <w:rFonts w:cs="Times New Roman"/>
              </w:rPr>
              <w:t>Merged Coastal IRL 1 and Scottish Sea 1</w:t>
            </w:r>
          </w:p>
          <w:p w14:paraId="7E3F9AF9" w14:textId="77777777" w:rsidR="00D13DB8" w:rsidRPr="00FD2779" w:rsidRDefault="00D13DB8" w:rsidP="00454F93">
            <w:pPr>
              <w:spacing w:before="0" w:after="120" w:line="276" w:lineRule="auto"/>
              <w:ind w:left="426"/>
              <w:jc w:val="both"/>
              <w:rPr>
                <w:rFonts w:cs="Times New Roman"/>
              </w:rPr>
            </w:pPr>
            <w:r w:rsidRPr="00FD2779">
              <w:rPr>
                <w:rFonts w:cs="Times New Roman"/>
                <w:noProof/>
              </w:rPr>
              <w:lastRenderedPageBreak/>
              <w:drawing>
                <wp:inline distT="0" distB="0" distL="0" distR="0" wp14:anchorId="3AD9CC2F" wp14:editId="507AF0F4">
                  <wp:extent cx="428625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inline>
              </w:drawing>
            </w:r>
          </w:p>
          <w:p w14:paraId="692949C6" w14:textId="77777777" w:rsidR="00D13DB8" w:rsidRPr="00FD2779" w:rsidRDefault="00D13DB8" w:rsidP="00454F93">
            <w:pPr>
              <w:spacing w:before="0" w:after="120" w:line="276" w:lineRule="auto"/>
              <w:ind w:left="426"/>
              <w:jc w:val="both"/>
              <w:rPr>
                <w:rFonts w:cs="Times New Roman"/>
              </w:rPr>
            </w:pPr>
            <w:r w:rsidRPr="00FD2779">
              <w:rPr>
                <w:rFonts w:cs="Times New Roman"/>
                <w:i/>
              </w:rPr>
              <w:t>Illustration of some small edits in Scottish waters</w:t>
            </w:r>
            <w:r>
              <w:rPr>
                <w:rFonts w:cs="Times New Roman"/>
                <w:i/>
              </w:rPr>
              <w:t xml:space="preserve">, </w:t>
            </w:r>
          </w:p>
        </w:tc>
      </w:tr>
      <w:tr w:rsidR="00D13DB8" w:rsidRPr="00FD2779" w14:paraId="38B7DC87" w14:textId="77777777" w:rsidTr="00454F93">
        <w:tc>
          <w:tcPr>
            <w:tcW w:w="1003" w:type="dxa"/>
          </w:tcPr>
          <w:p w14:paraId="52AEB3EB" w14:textId="77777777" w:rsidR="00D13DB8" w:rsidRPr="00FD2779" w:rsidRDefault="00D13DB8" w:rsidP="00454F93">
            <w:pPr>
              <w:rPr>
                <w:rFonts w:cs="Times New Roman"/>
              </w:rPr>
            </w:pPr>
            <w:r>
              <w:rPr>
                <w:rFonts w:cs="Times New Roman"/>
              </w:rPr>
              <w:lastRenderedPageBreak/>
              <w:t>9</w:t>
            </w:r>
          </w:p>
        </w:tc>
        <w:tc>
          <w:tcPr>
            <w:tcW w:w="9276" w:type="dxa"/>
          </w:tcPr>
          <w:p w14:paraId="13392819" w14:textId="77777777" w:rsidR="00D13DB8" w:rsidRPr="00FD2779" w:rsidRDefault="00D13DB8" w:rsidP="00454F93">
            <w:pPr>
              <w:rPr>
                <w:rFonts w:cs="Times New Roman"/>
                <w:iCs/>
              </w:rPr>
            </w:pPr>
            <w:r w:rsidRPr="00FD2779">
              <w:rPr>
                <w:rFonts w:cs="Times New Roman"/>
                <w:iCs/>
              </w:rPr>
              <w:t>In the Spanish North Atlantic waters, six pixel-groups with marked differences in the C</w:t>
            </w:r>
            <w:r w:rsidRPr="00FD2779">
              <w:rPr>
                <w:rFonts w:cs="Times New Roman"/>
                <w:iCs/>
                <w:vertAlign w:val="subscript"/>
              </w:rPr>
              <w:t>SAT</w:t>
            </w:r>
            <w:r w:rsidRPr="00FD2779">
              <w:rPr>
                <w:rFonts w:cs="Times New Roman"/>
                <w:iCs/>
              </w:rPr>
              <w:t xml:space="preserve"> annual cycle shape were identified. The most productive waters (i.e., with higher C</w:t>
            </w:r>
            <w:r w:rsidRPr="00FD2779">
              <w:rPr>
                <w:rFonts w:cs="Times New Roman"/>
                <w:iCs/>
                <w:vertAlign w:val="subscript"/>
              </w:rPr>
              <w:t>SAT</w:t>
            </w:r>
            <w:r w:rsidRPr="00FD2779">
              <w:rPr>
                <w:rFonts w:cs="Times New Roman"/>
                <w:iCs/>
              </w:rPr>
              <w:t xml:space="preserve"> and C</w:t>
            </w:r>
            <w:r w:rsidRPr="00FD2779">
              <w:rPr>
                <w:rFonts w:cs="Times New Roman"/>
                <w:iCs/>
                <w:vertAlign w:val="subscript"/>
              </w:rPr>
              <w:t>M</w:t>
            </w:r>
            <w:r w:rsidRPr="00FD2779">
              <w:rPr>
                <w:rFonts w:cs="Times New Roman"/>
                <w:iCs/>
              </w:rPr>
              <w:t>) were located in the Galician Rias (NorC1/NAAC1) and the surrounding environments (NorC2/NAAC2). The Iberian Peninsula northwest coast, which is frequently affected by intensive upwelling, was also discriminated (NorC3/NAAC3). For the rest of Spanish northern-Atlantic waters, the pixels were grouped following the gradient from coast (NorP2/NAAP2) to open sea (NorO1/NAAO1). These differences among grouping areas were also obtained when C</w:t>
            </w:r>
            <w:r w:rsidRPr="00FD2779">
              <w:rPr>
                <w:rFonts w:cs="Times New Roman"/>
                <w:iCs/>
                <w:vertAlign w:val="subscript"/>
              </w:rPr>
              <w:t>M</w:t>
            </w:r>
            <w:r w:rsidRPr="00FD2779">
              <w:rPr>
                <w:rFonts w:cs="Times New Roman"/>
                <w:iCs/>
              </w:rPr>
              <w:t xml:space="preserve"> and nutrients concentrations are compared. Consequently, the grouping of pixels based on satellite data reflected reasonably the underlying mechanisms that control the phytoplankton biomass in the study area </w:t>
            </w:r>
          </w:p>
          <w:p w14:paraId="12C405E0" w14:textId="77777777" w:rsidR="00D13DB8" w:rsidRPr="00FD2779" w:rsidRDefault="00D13DB8" w:rsidP="00454F93">
            <w:pPr>
              <w:rPr>
                <w:rFonts w:cs="Times New Roman"/>
                <w:iCs/>
              </w:rPr>
            </w:pPr>
            <w:r w:rsidRPr="00FD2779">
              <w:rPr>
                <w:rFonts w:cs="Times New Roman"/>
                <w:iCs/>
                <w:noProof/>
                <w:lang w:eastAsia="es-ES"/>
              </w:rPr>
              <w:lastRenderedPageBreak/>
              <w:drawing>
                <wp:inline distT="0" distB="0" distL="0" distR="0" wp14:anchorId="177A9E3B" wp14:editId="5614EBE3">
                  <wp:extent cx="5731510" cy="3157534"/>
                  <wp:effectExtent l="19050" t="0" r="2540" b="0"/>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31510" cy="3157534"/>
                          </a:xfrm>
                          <a:prstGeom prst="rect">
                            <a:avLst/>
                          </a:prstGeom>
                          <a:noFill/>
                          <a:ln w="9525">
                            <a:noFill/>
                            <a:miter lim="800000"/>
                            <a:headEnd/>
                            <a:tailEnd/>
                          </a:ln>
                        </pic:spPr>
                      </pic:pic>
                    </a:graphicData>
                  </a:graphic>
                </wp:inline>
              </w:drawing>
            </w:r>
          </w:p>
          <w:p w14:paraId="05221E19" w14:textId="77777777" w:rsidR="00D13DB8" w:rsidRPr="00FD2779" w:rsidRDefault="00D13DB8" w:rsidP="00454F93">
            <w:pPr>
              <w:rPr>
                <w:rFonts w:cs="Times New Roman"/>
                <w:i/>
              </w:rPr>
            </w:pPr>
            <w:r w:rsidRPr="00FD2779">
              <w:rPr>
                <w:rFonts w:cs="Times New Roman"/>
                <w:i/>
              </w:rPr>
              <w:t>Resulting assessment areas in the North Atlantic Spanish waters.</w:t>
            </w:r>
          </w:p>
          <w:p w14:paraId="08E94FA5" w14:textId="77777777" w:rsidR="00D13DB8" w:rsidRPr="00FD2779" w:rsidRDefault="00D13DB8" w:rsidP="00454F93">
            <w:pPr>
              <w:rPr>
                <w:rFonts w:cs="Times New Roman"/>
                <w:bCs/>
              </w:rPr>
            </w:pPr>
            <w:r w:rsidRPr="00FD2779">
              <w:rPr>
                <w:rFonts w:cs="Times New Roman"/>
                <w:bCs/>
              </w:rPr>
              <w:t>The South Atlantic waters we found also different areas. The most coastal SUR-C1(SAAC1) and SUR-C2 (SAAC2) with the highest chlorophyll concentrations, and very influenced by the river discharges. We also find 2 areas of transition between the coastal and the open ocean (SUR-OCEAN/SAAOC), one of them also very influence by the rivers (Guadalquivir and Guadiana, Tinto-Odiel, Guadalete) SUR-P1 (SAAP1), and another more external SUR-P2 (SAAP2) (Figure A.3.10).</w:t>
            </w:r>
          </w:p>
          <w:p w14:paraId="79A12702" w14:textId="77777777" w:rsidR="00D13DB8" w:rsidRPr="00FD2779" w:rsidRDefault="00D13DB8" w:rsidP="00454F93">
            <w:pPr>
              <w:jc w:val="center"/>
              <w:rPr>
                <w:rFonts w:cs="Times New Roman"/>
                <w:i/>
              </w:rPr>
            </w:pPr>
            <w:r w:rsidRPr="00FD2779">
              <w:rPr>
                <w:rFonts w:cs="Times New Roman"/>
                <w:i/>
                <w:noProof/>
                <w:lang w:eastAsia="es-ES"/>
              </w:rPr>
              <w:lastRenderedPageBreak/>
              <w:drawing>
                <wp:inline distT="0" distB="0" distL="0" distR="0" wp14:anchorId="7BAA54FA" wp14:editId="508B0224">
                  <wp:extent cx="3192321" cy="3524250"/>
                  <wp:effectExtent l="0" t="0" r="8255" b="0"/>
                  <wp:docPr id="61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202576" cy="3535571"/>
                          </a:xfrm>
                          <a:prstGeom prst="rect">
                            <a:avLst/>
                          </a:prstGeom>
                          <a:noFill/>
                          <a:ln w="9525">
                            <a:noFill/>
                            <a:miter lim="800000"/>
                            <a:headEnd/>
                            <a:tailEnd/>
                          </a:ln>
                        </pic:spPr>
                      </pic:pic>
                    </a:graphicData>
                  </a:graphic>
                </wp:inline>
              </w:drawing>
            </w:r>
          </w:p>
          <w:p w14:paraId="36626F2A" w14:textId="77777777" w:rsidR="00D13DB8" w:rsidRPr="00FD2779" w:rsidRDefault="00D13DB8" w:rsidP="00454F93">
            <w:pPr>
              <w:rPr>
                <w:rFonts w:cs="Times New Roman"/>
                <w:i/>
              </w:rPr>
            </w:pPr>
            <w:r w:rsidRPr="00FD2779">
              <w:rPr>
                <w:rFonts w:cs="Times New Roman"/>
                <w:i/>
              </w:rPr>
              <w:t>Resulting assessment areas in the South Atlantic Spanish waters.</w:t>
            </w:r>
          </w:p>
          <w:p w14:paraId="794F6669" w14:textId="77777777" w:rsidR="00D13DB8" w:rsidRPr="00FD2779" w:rsidRDefault="00D13DB8" w:rsidP="00454F93">
            <w:pPr>
              <w:rPr>
                <w:rFonts w:cs="Times New Roman"/>
                <w:bCs/>
              </w:rPr>
            </w:pPr>
            <w:r w:rsidRPr="00FD2779">
              <w:rPr>
                <w:rFonts w:cs="Times New Roman"/>
              </w:rPr>
              <w:t xml:space="preserve">These units can be used for spatial aggregation of eutrophication indicators, e.g., data collected from </w:t>
            </w:r>
            <w:r w:rsidRPr="00FD2779">
              <w:rPr>
                <w:rFonts w:cs="Times New Roman"/>
                <w:i/>
                <w:iCs/>
              </w:rPr>
              <w:t>in situ</w:t>
            </w:r>
            <w:r w:rsidRPr="00FD2779">
              <w:rPr>
                <w:rFonts w:cs="Times New Roman"/>
              </w:rPr>
              <w:t xml:space="preserve"> samplings, as well as for calculating robust reference values and time trends (see Mercado et al. 2016). Furthermore, the pixel grouping is useful for </w:t>
            </w:r>
            <w:r w:rsidRPr="00FD2779">
              <w:rPr>
                <w:rFonts w:cs="Times New Roman"/>
                <w:color w:val="000000"/>
              </w:rPr>
              <w:t>optimising the pre-existing monitoring programs as it facilitates the aggregation, selection, and location of sampling stations in order to avoid collection of redundant and/or pointless information.</w:t>
            </w:r>
            <w:r w:rsidRPr="00FD2779">
              <w:rPr>
                <w:rFonts w:cs="Times New Roman"/>
                <w:b/>
                <w:bCs/>
              </w:rPr>
              <w:t xml:space="preserve"> </w:t>
            </w:r>
            <w:r w:rsidRPr="00FD2779">
              <w:rPr>
                <w:rFonts w:cs="Times New Roman"/>
                <w:bCs/>
              </w:rPr>
              <w:t xml:space="preserve">Also, this method is useful to decide when is preferable to sample as the centroides of each cluster are the characteristic annual cycle of surface chlorophyll </w:t>
            </w:r>
            <w:r w:rsidRPr="00FD2779">
              <w:rPr>
                <w:rFonts w:cs="Times New Roman"/>
                <w:bCs/>
                <w:i/>
              </w:rPr>
              <w:t>a</w:t>
            </w:r>
            <w:r w:rsidRPr="00FD2779">
              <w:rPr>
                <w:rFonts w:cs="Times New Roman"/>
                <w:bCs/>
              </w:rPr>
              <w:t xml:space="preserve"> concentration in the corresponding assessment area (Figure A.3.11).</w:t>
            </w:r>
          </w:p>
          <w:p w14:paraId="7618C746" w14:textId="77777777" w:rsidR="00D13DB8" w:rsidRPr="00FD2779" w:rsidRDefault="00D13DB8" w:rsidP="00454F93">
            <w:pPr>
              <w:jc w:val="center"/>
              <w:rPr>
                <w:rFonts w:cs="Times New Roman"/>
              </w:rPr>
            </w:pPr>
            <w:r w:rsidRPr="00FD2779">
              <w:rPr>
                <w:rFonts w:cs="Times New Roman"/>
                <w:noProof/>
                <w:lang w:eastAsia="es-ES"/>
              </w:rPr>
              <w:lastRenderedPageBreak/>
              <w:drawing>
                <wp:inline distT="0" distB="0" distL="0" distR="0" wp14:anchorId="7FDDFAB6" wp14:editId="01E81DF1">
                  <wp:extent cx="5095194" cy="3743325"/>
                  <wp:effectExtent l="0" t="0" r="0" b="0"/>
                  <wp:docPr id="61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098240" cy="3745563"/>
                          </a:xfrm>
                          <a:prstGeom prst="rect">
                            <a:avLst/>
                          </a:prstGeom>
                          <a:noFill/>
                          <a:ln w="9525">
                            <a:noFill/>
                            <a:miter lim="800000"/>
                            <a:headEnd/>
                            <a:tailEnd/>
                          </a:ln>
                        </pic:spPr>
                      </pic:pic>
                    </a:graphicData>
                  </a:graphic>
                </wp:inline>
              </w:drawing>
            </w:r>
          </w:p>
          <w:p w14:paraId="2FA1AF75" w14:textId="77777777" w:rsidR="00D13DB8" w:rsidRPr="00FD2779" w:rsidRDefault="00D13DB8" w:rsidP="00454F93">
            <w:pPr>
              <w:rPr>
                <w:rFonts w:cs="Times New Roman"/>
              </w:rPr>
            </w:pPr>
            <w:r w:rsidRPr="00FD2779">
              <w:rPr>
                <w:rFonts w:cs="Times New Roman"/>
                <w:bCs/>
                <w:i/>
              </w:rPr>
              <w:t>Figure A.3.11</w:t>
            </w:r>
            <w:r w:rsidRPr="00FD2779">
              <w:rPr>
                <w:rFonts w:cs="Times New Roman"/>
                <w:i/>
              </w:rPr>
              <w:t xml:space="preserve"> Resulting centroides in the North Atlantic Spanish waters.</w:t>
            </w:r>
          </w:p>
          <w:p w14:paraId="68D4EC0D" w14:textId="77777777" w:rsidR="00D13DB8" w:rsidRPr="00FD2779" w:rsidRDefault="00D13DB8" w:rsidP="00454F93">
            <w:pPr>
              <w:rPr>
                <w:rFonts w:cs="Times New Roman"/>
                <w:bCs/>
              </w:rPr>
            </w:pPr>
          </w:p>
          <w:p w14:paraId="4B7092AD" w14:textId="77777777" w:rsidR="00D13DB8" w:rsidRPr="00FD2779" w:rsidRDefault="00D13DB8" w:rsidP="00454F93">
            <w:pPr>
              <w:rPr>
                <w:rFonts w:cs="Times New Roman"/>
              </w:rPr>
            </w:pPr>
          </w:p>
        </w:tc>
      </w:tr>
      <w:tr w:rsidR="00D13DB8" w:rsidRPr="00FD2779" w14:paraId="3E26841D" w14:textId="77777777" w:rsidTr="00454F93">
        <w:tc>
          <w:tcPr>
            <w:tcW w:w="1003" w:type="dxa"/>
          </w:tcPr>
          <w:p w14:paraId="0093ED2E" w14:textId="77777777" w:rsidR="00D13DB8" w:rsidRDefault="00D13DB8" w:rsidP="00454F93">
            <w:pPr>
              <w:rPr>
                <w:rFonts w:cs="Times New Roman"/>
              </w:rPr>
            </w:pPr>
            <w:r>
              <w:rPr>
                <w:rFonts w:cs="Times New Roman"/>
              </w:rPr>
              <w:lastRenderedPageBreak/>
              <w:t>10</w:t>
            </w:r>
          </w:p>
        </w:tc>
        <w:tc>
          <w:tcPr>
            <w:tcW w:w="9276" w:type="dxa"/>
          </w:tcPr>
          <w:p w14:paraId="45FEB1C9" w14:textId="77777777" w:rsidR="00D13DB8" w:rsidRDefault="00D13DB8" w:rsidP="00454F93">
            <w:r w:rsidRPr="007103E7">
              <w:t>The Portuguese continental EEZ was divided into smaller sub-areas due to the geographic and oceanographic spatial heterogeneity of this wide region. The limits of the assessment areas were adopted from the Water Framework Directive (WFD) for coastal waters (Bettencourt et al., 2004) and were lengthen up to the EEZ boundaries, resulting in three major areas, designated as A, B and C, from north to south (Fig</w:t>
            </w:r>
            <w:r>
              <w:t>ure</w:t>
            </w:r>
            <w:r w:rsidRPr="007103E7">
              <w:t xml:space="preserve"> </w:t>
            </w:r>
            <w:r>
              <w:t>A.3.</w:t>
            </w:r>
            <w:r w:rsidRPr="007103E7">
              <w:t>1</w:t>
            </w:r>
            <w:r>
              <w:t>2</w:t>
            </w:r>
            <w:r w:rsidRPr="007103E7">
              <w:t xml:space="preserve">). </w:t>
            </w:r>
          </w:p>
          <w:p w14:paraId="56F74F13" w14:textId="77777777" w:rsidR="00D13DB8" w:rsidRDefault="00D13DB8" w:rsidP="00454F93">
            <w:r>
              <w:t>WFD Coastal waters were assessed by using t</w:t>
            </w:r>
            <w:r w:rsidRPr="000919A7">
              <w:t>wo main tools: a top-down approach, based on expert knowledge, and a bottom-up approach developed as a follow up to the LoiczView clustering tool developed by LOICZ, and entitled “Deluxe Integrated System for Clustering Operations” (DISCO)</w:t>
            </w:r>
            <w:r>
              <w:t>. Three</w:t>
            </w:r>
            <w:r w:rsidRPr="000919A7">
              <w:t xml:space="preserve"> different coastal types </w:t>
            </w:r>
            <w:r>
              <w:t>were</w:t>
            </w:r>
            <w:r w:rsidRPr="000919A7">
              <w:t xml:space="preserve"> identified for coastal waters: Exposed Atlantic Coast</w:t>
            </w:r>
            <w:r>
              <w:t xml:space="preserve"> (A)</w:t>
            </w:r>
            <w:r w:rsidRPr="000919A7">
              <w:t>, Moderately Exposed Atlantic Coast</w:t>
            </w:r>
            <w:r>
              <w:t xml:space="preserve"> (B)</w:t>
            </w:r>
            <w:r w:rsidRPr="000919A7">
              <w:t xml:space="preserve"> and Sheltered Atlantic Coast</w:t>
            </w:r>
            <w:r>
              <w:t xml:space="preserve"> (C)</w:t>
            </w:r>
            <w:r w:rsidRPr="000919A7">
              <w:t>.</w:t>
            </w:r>
            <w:r>
              <w:t xml:space="preserve"> </w:t>
            </w:r>
            <w:r w:rsidRPr="000919A7">
              <w:t xml:space="preserve">Of these three, </w:t>
            </w:r>
            <w:r>
              <w:t>B area</w:t>
            </w:r>
            <w:r w:rsidRPr="000919A7">
              <w:t xml:space="preserve">, mesotidal moderately exposed Atlantic coast, </w:t>
            </w:r>
            <w:r>
              <w:t xml:space="preserve">is unique because </w:t>
            </w:r>
            <w:r w:rsidRPr="000919A7">
              <w:t>combines colder north-east Atlantic and warmer Mediterranean influences with the dynamics of a narrow shelf</w:t>
            </w:r>
            <w:r>
              <w:t>.</w:t>
            </w:r>
          </w:p>
          <w:p w14:paraId="68A17626" w14:textId="77777777" w:rsidR="00D13DB8" w:rsidRDefault="00D13DB8" w:rsidP="00454F93"/>
          <w:p w14:paraId="153E7F60" w14:textId="77777777" w:rsidR="00D13DB8" w:rsidRDefault="00D13DB8" w:rsidP="00454F93">
            <w:pPr>
              <w:jc w:val="center"/>
            </w:pPr>
            <w:r>
              <w:rPr>
                <w:noProof/>
              </w:rPr>
              <w:lastRenderedPageBreak/>
              <w:drawing>
                <wp:inline distT="0" distB="0" distL="0" distR="0" wp14:anchorId="40D169E9" wp14:editId="3CD8F4CD">
                  <wp:extent cx="3390900" cy="400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401011" cy="4020207"/>
                          </a:xfrm>
                          <a:prstGeom prst="rect">
                            <a:avLst/>
                          </a:prstGeom>
                          <a:noFill/>
                        </pic:spPr>
                      </pic:pic>
                    </a:graphicData>
                  </a:graphic>
                </wp:inline>
              </w:drawing>
            </w:r>
          </w:p>
          <w:p w14:paraId="19A94B1D" w14:textId="77777777" w:rsidR="00D13DB8" w:rsidRDefault="00D13DB8" w:rsidP="00454F93">
            <w:r w:rsidRPr="00CB152F">
              <w:rPr>
                <w:i/>
                <w:iCs/>
              </w:rPr>
              <w:t>Fig</w:t>
            </w:r>
            <w:r>
              <w:rPr>
                <w:i/>
                <w:iCs/>
              </w:rPr>
              <w:t>ure</w:t>
            </w:r>
            <w:r w:rsidRPr="00CB152F">
              <w:rPr>
                <w:i/>
                <w:iCs/>
              </w:rPr>
              <w:t xml:space="preserve"> A</w:t>
            </w:r>
            <w:r>
              <w:rPr>
                <w:i/>
                <w:iCs/>
              </w:rPr>
              <w:t>.3.</w:t>
            </w:r>
            <w:r w:rsidRPr="00CB152F">
              <w:rPr>
                <w:i/>
                <w:iCs/>
              </w:rPr>
              <w:t xml:space="preserve">12 </w:t>
            </w:r>
            <w:r w:rsidRPr="000450B9">
              <w:rPr>
                <w:i/>
                <w:iCs/>
              </w:rPr>
              <w:t>Map of the Portuguese continental EEZ showing bathymetry, the 100 m isobath, assessment areas (</w:t>
            </w:r>
            <w:r>
              <w:rPr>
                <w:i/>
                <w:iCs/>
              </w:rPr>
              <w:t>CWAC</w:t>
            </w:r>
            <w:r w:rsidRPr="000450B9">
              <w:rPr>
                <w:i/>
                <w:iCs/>
              </w:rPr>
              <w:t xml:space="preserve">, </w:t>
            </w:r>
            <w:r>
              <w:rPr>
                <w:i/>
                <w:iCs/>
              </w:rPr>
              <w:t>OWAO</w:t>
            </w:r>
            <w:r w:rsidRPr="000450B9">
              <w:rPr>
                <w:i/>
                <w:iCs/>
              </w:rPr>
              <w:t xml:space="preserve">, </w:t>
            </w:r>
            <w:r>
              <w:rPr>
                <w:i/>
                <w:iCs/>
              </w:rPr>
              <w:t>CWCB</w:t>
            </w:r>
            <w:r w:rsidRPr="000450B9">
              <w:rPr>
                <w:i/>
                <w:iCs/>
              </w:rPr>
              <w:t xml:space="preserve">, </w:t>
            </w:r>
            <w:r>
              <w:rPr>
                <w:i/>
                <w:iCs/>
              </w:rPr>
              <w:t>OWBO</w:t>
            </w:r>
            <w:r w:rsidRPr="000450B9">
              <w:rPr>
                <w:i/>
                <w:iCs/>
              </w:rPr>
              <w:t xml:space="preserve">, </w:t>
            </w:r>
            <w:r>
              <w:rPr>
                <w:i/>
                <w:iCs/>
              </w:rPr>
              <w:t>CWCC</w:t>
            </w:r>
            <w:r w:rsidRPr="000450B9">
              <w:rPr>
                <w:i/>
                <w:iCs/>
              </w:rPr>
              <w:t xml:space="preserve">, </w:t>
            </w:r>
            <w:r>
              <w:rPr>
                <w:i/>
                <w:iCs/>
              </w:rPr>
              <w:t>OWCO</w:t>
            </w:r>
            <w:r w:rsidRPr="000450B9">
              <w:rPr>
                <w:i/>
                <w:iCs/>
              </w:rPr>
              <w:t>)</w:t>
            </w:r>
          </w:p>
          <w:p w14:paraId="0EB344B8" w14:textId="77777777" w:rsidR="00D13DB8" w:rsidRDefault="00D13DB8" w:rsidP="00454F93"/>
          <w:p w14:paraId="0E600EA1" w14:textId="77777777" w:rsidR="00D13DB8" w:rsidRDefault="00D13DB8" w:rsidP="00454F93">
            <w:r w:rsidRPr="007103E7">
              <w:t xml:space="preserve">The </w:t>
            </w:r>
            <w:r>
              <w:t xml:space="preserve">three main </w:t>
            </w:r>
            <w:r w:rsidRPr="007103E7">
              <w:t>areas</w:t>
            </w:r>
            <w:r>
              <w:t xml:space="preserve"> (A, B and C </w:t>
            </w:r>
            <w:r w:rsidRPr="007103E7">
              <w:t xml:space="preserve"> lengthen up to the EEZ boundaries,</w:t>
            </w:r>
            <w:r>
              <w:t>)</w:t>
            </w:r>
            <w:r w:rsidRPr="007103E7">
              <w:t xml:space="preserve"> included zones of coastal water under the influence of both </w:t>
            </w:r>
            <w:r>
              <w:t xml:space="preserve">river </w:t>
            </w:r>
            <w:r w:rsidRPr="007103E7">
              <w:t>and upwelling plumes, and offshore areas, either well mixed or seasonally stratified. Assuming that eutrophication is mostly associated with nutrient enriched freshwater inputs and to ensure that any eutrophication problems were not overlooked, the assessment areas A, B and C were further divided longitudinally on the basis of salinity gradients that resulted from the mixing of freshwater and seawater, in order to separate the coastal plume influenced strip (</w:t>
            </w:r>
            <w:r>
              <w:t>CW</w:t>
            </w:r>
            <w:r w:rsidRPr="007103E7">
              <w:t>A</w:t>
            </w:r>
            <w:r>
              <w:t>C</w:t>
            </w:r>
            <w:r w:rsidRPr="007103E7">
              <w:t xml:space="preserve">, </w:t>
            </w:r>
            <w:r>
              <w:t>CW</w:t>
            </w:r>
            <w:r w:rsidRPr="007103E7">
              <w:t>B</w:t>
            </w:r>
            <w:r>
              <w:t>C</w:t>
            </w:r>
            <w:r w:rsidRPr="007103E7">
              <w:t xml:space="preserve"> and C</w:t>
            </w:r>
            <w:r>
              <w:t>WCC</w:t>
            </w:r>
            <w:r w:rsidRPr="007103E7">
              <w:t>, Fig</w:t>
            </w:r>
            <w:r>
              <w:t>ure A.3.</w:t>
            </w:r>
            <w:r w:rsidRPr="007103E7">
              <w:t>1</w:t>
            </w:r>
            <w:r>
              <w:t>2</w:t>
            </w:r>
            <w:r w:rsidRPr="007103E7">
              <w:t>) from the offshore area (</w:t>
            </w:r>
            <w:r>
              <w:t>OWAO</w:t>
            </w:r>
            <w:r w:rsidRPr="007103E7">
              <w:t xml:space="preserve">, </w:t>
            </w:r>
            <w:r>
              <w:t>OWBO</w:t>
            </w:r>
            <w:r w:rsidRPr="007103E7">
              <w:t xml:space="preserve"> and </w:t>
            </w:r>
            <w:r>
              <w:t>OWCO</w:t>
            </w:r>
            <w:r w:rsidRPr="007103E7">
              <w:t xml:space="preserve">, Fig </w:t>
            </w:r>
            <w:r>
              <w:t>A.3.12</w:t>
            </w:r>
            <w:r w:rsidRPr="007103E7">
              <w:t>). The salinity regimes adopted were 30.0–34.5 for coastal waters and &gt;34.5 for offshore waters</w:t>
            </w:r>
            <w:r>
              <w:t xml:space="preserve">. </w:t>
            </w:r>
            <w:r w:rsidRPr="00E44DDE">
              <w:t xml:space="preserve">The </w:t>
            </w:r>
            <w:r>
              <w:t xml:space="preserve">adopted </w:t>
            </w:r>
            <w:r w:rsidRPr="00E44DDE">
              <w:t>criteria separate the coastal plume influenced</w:t>
            </w:r>
            <w:r>
              <w:t xml:space="preserve"> waters</w:t>
            </w:r>
            <w:r w:rsidRPr="00E44DDE">
              <w:t xml:space="preserve"> strip (</w:t>
            </w:r>
            <w:r>
              <w:t>CW</w:t>
            </w:r>
            <w:r w:rsidRPr="007103E7">
              <w:t>A</w:t>
            </w:r>
            <w:r>
              <w:t>C</w:t>
            </w:r>
            <w:r w:rsidRPr="007103E7">
              <w:t xml:space="preserve">, </w:t>
            </w:r>
            <w:r>
              <w:t>CW</w:t>
            </w:r>
            <w:r w:rsidRPr="007103E7">
              <w:t>B</w:t>
            </w:r>
            <w:r>
              <w:t>C</w:t>
            </w:r>
            <w:r w:rsidRPr="007103E7">
              <w:t xml:space="preserve"> and C</w:t>
            </w:r>
            <w:r>
              <w:t>WCC</w:t>
            </w:r>
            <w:r w:rsidRPr="007103E7">
              <w:t xml:space="preserve">, Fig. </w:t>
            </w:r>
            <w:r>
              <w:t>A</w:t>
            </w:r>
            <w:r w:rsidRPr="007103E7">
              <w:t>1</w:t>
            </w:r>
            <w:r>
              <w:t>2</w:t>
            </w:r>
            <w:r w:rsidRPr="00E44DDE">
              <w:t>) from the offshore area (</w:t>
            </w:r>
            <w:r>
              <w:t>OWAO</w:t>
            </w:r>
            <w:r w:rsidRPr="007103E7">
              <w:t xml:space="preserve">, </w:t>
            </w:r>
            <w:r>
              <w:t>OWBO</w:t>
            </w:r>
            <w:r w:rsidRPr="007103E7">
              <w:t xml:space="preserve"> and </w:t>
            </w:r>
            <w:r>
              <w:t>OWCO</w:t>
            </w:r>
            <w:r w:rsidRPr="007103E7">
              <w:t>, Fig</w:t>
            </w:r>
            <w:r>
              <w:t>ure</w:t>
            </w:r>
            <w:r w:rsidRPr="007103E7">
              <w:t xml:space="preserve"> </w:t>
            </w:r>
            <w:r>
              <w:t>A.3.12</w:t>
            </w:r>
            <w:r w:rsidRPr="00E44DDE">
              <w:t>) at an average depth of 81 m</w:t>
            </w:r>
            <w:r>
              <w:t>.</w:t>
            </w:r>
            <w:r w:rsidRPr="00E44DDE">
              <w:t xml:space="preserve"> However, given the observed large intra- and inter-annual variability, denoted by the high standard deviation</w:t>
            </w:r>
            <w:r>
              <w:t xml:space="preserve"> </w:t>
            </w:r>
            <w:r w:rsidRPr="00E44DDE">
              <w:t>(</w:t>
            </w:r>
            <w:r>
              <w:t>Cabrita et al., 2015</w:t>
            </w:r>
            <w:r w:rsidRPr="00E44DDE">
              <w:t>)., the 100 m isobath was cautiously selected and used to separate coastal from offshore waters so that any eutrophication problems were not overlooked</w:t>
            </w:r>
            <w:r>
              <w:t>. This decision was made taking into account the spatial variation of the 90</w:t>
            </w:r>
            <w:r w:rsidRPr="006B07AA">
              <w:rPr>
                <w:vertAlign w:val="superscript"/>
              </w:rPr>
              <w:t>th</w:t>
            </w:r>
            <w:r>
              <w:t xml:space="preserve"> percentile of Chl a concentration (Figure A.3.13).</w:t>
            </w:r>
          </w:p>
          <w:p w14:paraId="161DEA6B" w14:textId="77777777" w:rsidR="00D13DB8" w:rsidRPr="007103E7" w:rsidRDefault="00D13DB8" w:rsidP="00454F93"/>
          <w:p w14:paraId="14B6B9A1" w14:textId="77777777" w:rsidR="00D13DB8" w:rsidRDefault="00D13DB8" w:rsidP="00454F93"/>
          <w:p w14:paraId="40FC1627" w14:textId="77777777" w:rsidR="00D13DB8" w:rsidRPr="007103E7" w:rsidRDefault="00D13DB8" w:rsidP="00454F93">
            <w:pPr>
              <w:jc w:val="center"/>
            </w:pPr>
            <w:r>
              <w:rPr>
                <w:noProof/>
              </w:rPr>
              <w:drawing>
                <wp:inline distT="0" distB="0" distL="0" distR="0" wp14:anchorId="6A342F31" wp14:editId="6F035905">
                  <wp:extent cx="3963670" cy="380479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968626" cy="3809557"/>
                          </a:xfrm>
                          <a:prstGeom prst="rect">
                            <a:avLst/>
                          </a:prstGeom>
                          <a:noFill/>
                        </pic:spPr>
                      </pic:pic>
                    </a:graphicData>
                  </a:graphic>
                </wp:inline>
              </w:drawing>
            </w:r>
          </w:p>
          <w:p w14:paraId="21EAA6A5" w14:textId="77777777" w:rsidR="00D13DB8" w:rsidRPr="006E5F6F" w:rsidRDefault="00D13DB8" w:rsidP="00454F93">
            <w:r w:rsidRPr="00CB152F">
              <w:rPr>
                <w:i/>
                <w:iCs/>
              </w:rPr>
              <w:t>Fig</w:t>
            </w:r>
            <w:r>
              <w:rPr>
                <w:i/>
                <w:iCs/>
              </w:rPr>
              <w:t>ure</w:t>
            </w:r>
            <w:r w:rsidRPr="00CB152F">
              <w:rPr>
                <w:i/>
                <w:iCs/>
              </w:rPr>
              <w:t xml:space="preserve"> A</w:t>
            </w:r>
            <w:r>
              <w:rPr>
                <w:i/>
                <w:iCs/>
              </w:rPr>
              <w:t>.3.</w:t>
            </w:r>
            <w:r w:rsidRPr="00CB152F">
              <w:rPr>
                <w:i/>
                <w:iCs/>
              </w:rPr>
              <w:t>1</w:t>
            </w:r>
            <w:r>
              <w:rPr>
                <w:i/>
                <w:iCs/>
              </w:rPr>
              <w:t>3</w:t>
            </w:r>
            <w:r w:rsidRPr="00CB152F">
              <w:rPr>
                <w:i/>
                <w:iCs/>
              </w:rPr>
              <w:t xml:space="preserve"> </w:t>
            </w:r>
            <w:r w:rsidRPr="00E65EA0">
              <w:rPr>
                <w:i/>
                <w:iCs/>
              </w:rPr>
              <w:t xml:space="preserve">Spatial variation of 90th percentile values (P90) of Chl a concentration (μM) in the water column, in the assessment areas </w:t>
            </w:r>
            <w:r w:rsidRPr="000450B9">
              <w:rPr>
                <w:i/>
                <w:iCs/>
              </w:rPr>
              <w:t>(</w:t>
            </w:r>
            <w:r>
              <w:rPr>
                <w:i/>
                <w:iCs/>
              </w:rPr>
              <w:t>CWAC</w:t>
            </w:r>
            <w:r w:rsidRPr="000450B9">
              <w:rPr>
                <w:i/>
                <w:iCs/>
              </w:rPr>
              <w:t xml:space="preserve">, </w:t>
            </w:r>
            <w:r>
              <w:rPr>
                <w:i/>
                <w:iCs/>
              </w:rPr>
              <w:t>OWAO</w:t>
            </w:r>
            <w:r w:rsidRPr="000450B9">
              <w:rPr>
                <w:i/>
                <w:iCs/>
              </w:rPr>
              <w:t xml:space="preserve">, </w:t>
            </w:r>
            <w:r>
              <w:rPr>
                <w:i/>
                <w:iCs/>
              </w:rPr>
              <w:t>CWCB</w:t>
            </w:r>
            <w:r w:rsidRPr="000450B9">
              <w:rPr>
                <w:i/>
                <w:iCs/>
              </w:rPr>
              <w:t xml:space="preserve">, </w:t>
            </w:r>
            <w:r>
              <w:rPr>
                <w:i/>
                <w:iCs/>
              </w:rPr>
              <w:t>OWBO</w:t>
            </w:r>
            <w:r w:rsidRPr="000450B9">
              <w:rPr>
                <w:i/>
                <w:iCs/>
              </w:rPr>
              <w:t xml:space="preserve">, </w:t>
            </w:r>
            <w:r>
              <w:rPr>
                <w:i/>
                <w:iCs/>
              </w:rPr>
              <w:t>CWCC</w:t>
            </w:r>
            <w:r w:rsidRPr="000450B9">
              <w:rPr>
                <w:i/>
                <w:iCs/>
              </w:rPr>
              <w:t xml:space="preserve">, </w:t>
            </w:r>
            <w:r>
              <w:rPr>
                <w:i/>
                <w:iCs/>
              </w:rPr>
              <w:t>OWCO</w:t>
            </w:r>
            <w:r w:rsidRPr="000450B9">
              <w:rPr>
                <w:i/>
                <w:iCs/>
              </w:rPr>
              <w:t>)</w:t>
            </w:r>
            <w:r>
              <w:rPr>
                <w:i/>
                <w:iCs/>
              </w:rPr>
              <w:t xml:space="preserve"> </w:t>
            </w:r>
            <w:r w:rsidRPr="00E65EA0">
              <w:rPr>
                <w:i/>
                <w:iCs/>
              </w:rPr>
              <w:t>within the Portuguese continental EEZ. The 100 m isobath line is also indicated.</w:t>
            </w:r>
          </w:p>
          <w:p w14:paraId="4207BE90" w14:textId="77777777" w:rsidR="00D13DB8" w:rsidRPr="00FD2779" w:rsidRDefault="00D13DB8" w:rsidP="00454F93">
            <w:pPr>
              <w:rPr>
                <w:rFonts w:cs="Times New Roman"/>
                <w:iCs/>
              </w:rPr>
            </w:pPr>
          </w:p>
        </w:tc>
      </w:tr>
    </w:tbl>
    <w:p w14:paraId="76C32693" w14:textId="37ABBFCD" w:rsidR="007F23BD" w:rsidRDefault="007F23BD" w:rsidP="007F23BD"/>
    <w:p w14:paraId="52E9F29D" w14:textId="369A3EF0" w:rsidR="007F23BD" w:rsidRDefault="007F23BD" w:rsidP="007F23BD"/>
    <w:p w14:paraId="566D5B99" w14:textId="77777777" w:rsidR="007F23BD" w:rsidRPr="007F23BD" w:rsidRDefault="007F23BD" w:rsidP="007F23BD"/>
    <w:p w14:paraId="7E3F080C" w14:textId="77777777" w:rsidR="00D13DB8" w:rsidRDefault="00D13DB8">
      <w:pPr>
        <w:spacing w:before="0" w:after="200" w:line="276" w:lineRule="auto"/>
        <w:rPr>
          <w:rFonts w:cs="Times New Roman"/>
          <w:b/>
          <w:bCs/>
          <w:szCs w:val="24"/>
        </w:rPr>
      </w:pPr>
      <w:r>
        <w:br w:type="page"/>
      </w:r>
    </w:p>
    <w:p w14:paraId="07A05D34" w14:textId="07D3458A" w:rsidR="00BD302E" w:rsidRDefault="00BD302E" w:rsidP="00BD302E">
      <w:pPr>
        <w:pStyle w:val="Caption"/>
      </w:pPr>
      <w:bookmarkStart w:id="2" w:name="_Toc96528971"/>
      <w:bookmarkStart w:id="3" w:name="_Toc104905702"/>
      <w:bookmarkStart w:id="4" w:name="_Toc139460464"/>
      <w:r>
        <w:lastRenderedPageBreak/>
        <w:t xml:space="preserve">Supplementary Table S </w:t>
      </w:r>
      <w:r>
        <w:fldChar w:fldCharType="begin"/>
      </w:r>
      <w:r>
        <w:instrText xml:space="preserve"> SEQ Supplementary_Table_S \* ARABIC </w:instrText>
      </w:r>
      <w:r>
        <w:fldChar w:fldCharType="separate"/>
      </w:r>
      <w:r w:rsidR="006E0DAB">
        <w:rPr>
          <w:noProof/>
        </w:rPr>
        <w:t>3</w:t>
      </w:r>
      <w:r>
        <w:rPr>
          <w:noProof/>
        </w:rPr>
        <w:fldChar w:fldCharType="end"/>
      </w:r>
      <w:r w:rsidRPr="001D6694">
        <w:t xml:space="preserve">: </w:t>
      </w:r>
      <w:r>
        <w:t>Steps in the data flow sequence within COMPEAT. Note that steps 1 to 3 are carried out within COMPEAT to provide an assessment of the common indicators and a final outcome for each assessment area.</w:t>
      </w:r>
      <w:bookmarkEnd w:id="4"/>
      <w:r>
        <w:t xml:space="preserve"> </w:t>
      </w:r>
    </w:p>
    <w:tbl>
      <w:tblPr>
        <w:tblStyle w:val="TableGrid"/>
        <w:tblW w:w="9493" w:type="dxa"/>
        <w:tblLook w:val="04A0" w:firstRow="1" w:lastRow="0" w:firstColumn="1" w:lastColumn="0" w:noHBand="0" w:noVBand="1"/>
      </w:tblPr>
      <w:tblGrid>
        <w:gridCol w:w="1980"/>
        <w:gridCol w:w="7513"/>
      </w:tblGrid>
      <w:tr w:rsidR="00BD302E" w:rsidRPr="002853AE" w14:paraId="3CA4E45F" w14:textId="77777777" w:rsidTr="00A831F3">
        <w:tc>
          <w:tcPr>
            <w:tcW w:w="1980" w:type="dxa"/>
          </w:tcPr>
          <w:p w14:paraId="2E2451DC" w14:textId="77777777" w:rsidR="00BD302E" w:rsidRPr="002853AE" w:rsidRDefault="00BD302E" w:rsidP="00A831F3">
            <w:pPr>
              <w:spacing w:after="0"/>
              <w:rPr>
                <w:rFonts w:ascii="Calibri" w:eastAsia="Times New Roman" w:hAnsi="Calibri" w:cs="Times New Roman"/>
                <w:b/>
                <w:bCs/>
                <w:color w:val="000000"/>
                <w:sz w:val="22"/>
                <w:lang w:val="en-GB" w:eastAsia="en-GB"/>
              </w:rPr>
            </w:pPr>
            <w:r w:rsidRPr="002853AE">
              <w:rPr>
                <w:rFonts w:ascii="Calibri" w:eastAsia="Times New Roman" w:hAnsi="Calibri" w:cs="Times New Roman"/>
                <w:b/>
                <w:bCs/>
                <w:color w:val="000000"/>
                <w:sz w:val="22"/>
                <w:lang w:val="en-GB" w:eastAsia="en-GB"/>
              </w:rPr>
              <w:t>Data flow sequence #</w:t>
            </w:r>
          </w:p>
        </w:tc>
        <w:tc>
          <w:tcPr>
            <w:tcW w:w="7513" w:type="dxa"/>
          </w:tcPr>
          <w:p w14:paraId="426520B7" w14:textId="77777777" w:rsidR="00BD302E" w:rsidRPr="002853AE" w:rsidRDefault="00BD302E" w:rsidP="00A831F3">
            <w:pPr>
              <w:spacing w:after="0"/>
              <w:rPr>
                <w:sz w:val="22"/>
              </w:rPr>
            </w:pPr>
            <w:r w:rsidRPr="002853AE">
              <w:rPr>
                <w:sz w:val="22"/>
              </w:rPr>
              <w:t>Description of analysis</w:t>
            </w:r>
          </w:p>
        </w:tc>
      </w:tr>
      <w:tr w:rsidR="00BD302E" w:rsidRPr="002853AE" w14:paraId="34017679" w14:textId="77777777" w:rsidTr="00A831F3">
        <w:tc>
          <w:tcPr>
            <w:tcW w:w="1980" w:type="dxa"/>
          </w:tcPr>
          <w:p w14:paraId="1CD9ECD3" w14:textId="77777777" w:rsidR="00BD302E" w:rsidRPr="002853AE" w:rsidRDefault="00BD302E" w:rsidP="00A831F3">
            <w:pPr>
              <w:spacing w:after="0"/>
              <w:rPr>
                <w:sz w:val="22"/>
              </w:rPr>
            </w:pPr>
            <w:r w:rsidRPr="002853AE">
              <w:rPr>
                <w:sz w:val="22"/>
              </w:rPr>
              <w:t>Step 1: Aggregation</w:t>
            </w:r>
          </w:p>
          <w:p w14:paraId="6F5F2C19" w14:textId="77777777" w:rsidR="00BD302E" w:rsidRPr="002853AE" w:rsidRDefault="00BD302E" w:rsidP="00A831F3">
            <w:pPr>
              <w:spacing w:after="0"/>
              <w:rPr>
                <w:sz w:val="22"/>
              </w:rPr>
            </w:pPr>
          </w:p>
          <w:p w14:paraId="312BA5EE" w14:textId="77777777" w:rsidR="00BD302E" w:rsidRPr="002853AE" w:rsidRDefault="00BD302E" w:rsidP="00A831F3">
            <w:pPr>
              <w:spacing w:after="0"/>
              <w:rPr>
                <w:b/>
                <w:i/>
                <w:sz w:val="22"/>
              </w:rPr>
            </w:pPr>
            <w:r w:rsidRPr="002853AE">
              <w:rPr>
                <w:b/>
                <w:i/>
                <w:sz w:val="22"/>
              </w:rPr>
              <w:t xml:space="preserve">Data is aggregated to an assessment per parameter over the assessment period. </w:t>
            </w:r>
          </w:p>
          <w:p w14:paraId="72897632" w14:textId="77777777" w:rsidR="00BD302E" w:rsidRPr="002853AE" w:rsidRDefault="00BD302E" w:rsidP="00A831F3">
            <w:pPr>
              <w:spacing w:after="0"/>
              <w:rPr>
                <w:sz w:val="22"/>
              </w:rPr>
            </w:pPr>
          </w:p>
          <w:p w14:paraId="1E885B18" w14:textId="77777777" w:rsidR="00BD302E" w:rsidRPr="002853AE" w:rsidRDefault="00BD302E" w:rsidP="00A831F3">
            <w:pPr>
              <w:spacing w:after="0"/>
              <w:rPr>
                <w:sz w:val="22"/>
              </w:rPr>
            </w:pPr>
          </w:p>
          <w:p w14:paraId="701B762B" w14:textId="77777777" w:rsidR="00BD302E" w:rsidRPr="002853AE" w:rsidRDefault="00BD302E" w:rsidP="00A831F3">
            <w:pPr>
              <w:spacing w:after="0"/>
              <w:rPr>
                <w:sz w:val="22"/>
              </w:rPr>
            </w:pPr>
          </w:p>
        </w:tc>
        <w:tc>
          <w:tcPr>
            <w:tcW w:w="7513" w:type="dxa"/>
          </w:tcPr>
          <w:p w14:paraId="68913047"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Individual parameters are assessed annually, and the annual assessments averaged over the defined assessment period </w:t>
            </w:r>
          </w:p>
          <w:p w14:paraId="24F5F9EC"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Individual parameters are then assessed against their area-specific assessment levels by calculating an environmental quality ratio (EQR).</w:t>
            </w:r>
          </w:p>
          <w:p w14:paraId="0B819C51"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EQRs are obtained by dividing the assessment data by the respective background concentration or vice versa depending on the </w:t>
            </w:r>
            <w:r>
              <w:rPr>
                <w:sz w:val="22"/>
              </w:rPr>
              <w:t xml:space="preserve">direction of the </w:t>
            </w:r>
            <w:r w:rsidRPr="002853AE">
              <w:rPr>
                <w:sz w:val="22"/>
              </w:rPr>
              <w:t xml:space="preserve">response of the parameter to </w:t>
            </w:r>
            <w:r>
              <w:rPr>
                <w:sz w:val="22"/>
              </w:rPr>
              <w:t>changes in nutrient inputs</w:t>
            </w:r>
            <w:r w:rsidRPr="002853AE">
              <w:rPr>
                <w:sz w:val="22"/>
              </w:rPr>
              <w:t xml:space="preserve">. </w:t>
            </w:r>
          </w:p>
          <w:p w14:paraId="06569124"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EQRs are scaled to a uniform scale (EQRS = scaled </w:t>
            </w:r>
            <w:r w:rsidRPr="00F04C74">
              <w:rPr>
                <w:sz w:val="22"/>
              </w:rPr>
              <w:t>EQRs)</w:t>
            </w:r>
          </w:p>
          <w:p w14:paraId="420AD105" w14:textId="77777777" w:rsidR="00BD302E" w:rsidRPr="002853AE" w:rsidRDefault="00BD302E" w:rsidP="00A831F3">
            <w:pPr>
              <w:pStyle w:val="ListParagraph"/>
              <w:numPr>
                <w:ilvl w:val="0"/>
                <w:numId w:val="39"/>
              </w:numPr>
              <w:tabs>
                <w:tab w:val="left" w:pos="567"/>
              </w:tabs>
              <w:ind w:left="178" w:hanging="178"/>
              <w:contextualSpacing w:val="0"/>
              <w:jc w:val="both"/>
              <w:rPr>
                <w:sz w:val="22"/>
              </w:rPr>
            </w:pPr>
            <w:r>
              <w:rPr>
                <w:sz w:val="22"/>
              </w:rPr>
              <w:t xml:space="preserve">Final EQRS value for the assessment period is calculate as  </w:t>
            </w:r>
            <w:r w:rsidRPr="002853AE">
              <w:rPr>
                <w:sz w:val="22"/>
              </w:rPr>
              <w:t xml:space="preserve">the averages of the annual averages (note that the calculation of annual averages is dependent on adequate data availability). </w:t>
            </w:r>
          </w:p>
        </w:tc>
      </w:tr>
      <w:tr w:rsidR="00BD302E" w:rsidRPr="002853AE" w14:paraId="7D6429CB" w14:textId="77777777" w:rsidTr="00A831F3">
        <w:tc>
          <w:tcPr>
            <w:tcW w:w="1980" w:type="dxa"/>
          </w:tcPr>
          <w:p w14:paraId="372AC8A3" w14:textId="77777777" w:rsidR="00BD302E" w:rsidRPr="002853AE" w:rsidRDefault="00BD302E" w:rsidP="00A831F3">
            <w:pPr>
              <w:spacing w:after="0"/>
              <w:rPr>
                <w:sz w:val="22"/>
              </w:rPr>
            </w:pPr>
            <w:r w:rsidRPr="002853AE">
              <w:rPr>
                <w:sz w:val="22"/>
              </w:rPr>
              <w:t>Step 2 Integration within indicators.</w:t>
            </w:r>
          </w:p>
          <w:p w14:paraId="7F5FF665" w14:textId="77777777" w:rsidR="00BD302E" w:rsidRPr="002853AE" w:rsidRDefault="00BD302E" w:rsidP="00A831F3">
            <w:pPr>
              <w:spacing w:after="0"/>
              <w:rPr>
                <w:sz w:val="22"/>
              </w:rPr>
            </w:pPr>
          </w:p>
          <w:p w14:paraId="1F7C7116" w14:textId="77777777" w:rsidR="00BD302E" w:rsidRPr="002853AE" w:rsidRDefault="00BD302E" w:rsidP="00A831F3">
            <w:pPr>
              <w:spacing w:after="0"/>
              <w:rPr>
                <w:sz w:val="22"/>
              </w:rPr>
            </w:pPr>
            <w:r>
              <w:rPr>
                <w:b/>
                <w:i/>
                <w:sz w:val="22"/>
              </w:rPr>
              <w:t>I</w:t>
            </w:r>
            <w:r w:rsidRPr="002853AE">
              <w:rPr>
                <w:b/>
                <w:i/>
                <w:sz w:val="22"/>
              </w:rPr>
              <w:t>ntegrating within the common indicators (categories I, II and III).</w:t>
            </w:r>
          </w:p>
        </w:tc>
        <w:tc>
          <w:tcPr>
            <w:tcW w:w="7513" w:type="dxa"/>
          </w:tcPr>
          <w:p w14:paraId="040B1E28"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The nutrients nitrogen and phosphorus are assessed separately within category I to allow identification of the nutrient that is potentially causing eutrophication effects. </w:t>
            </w:r>
          </w:p>
          <w:p w14:paraId="39908ABF"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If both dissolved and total nutrient components are assessed, the EQRs for each nutrient will be averaged (DIN &amp; TN or DIP &amp; TP), but nitrogen and phosphorus are kept separate</w:t>
            </w:r>
            <w:r>
              <w:rPr>
                <w:sz w:val="22"/>
              </w:rPr>
              <w:t>.</w:t>
            </w:r>
          </w:p>
          <w:p w14:paraId="79278D49"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The assessment parameters within categories II (Chlorophyll) and III (Dissolved Oxygen) were integrated</w:t>
            </w:r>
            <w:r>
              <w:rPr>
                <w:sz w:val="22"/>
              </w:rPr>
              <w:t>.</w:t>
            </w:r>
          </w:p>
        </w:tc>
      </w:tr>
      <w:tr w:rsidR="00BD302E" w:rsidRPr="002853AE" w14:paraId="166B0569" w14:textId="77777777" w:rsidTr="00A831F3">
        <w:tc>
          <w:tcPr>
            <w:tcW w:w="1980" w:type="dxa"/>
          </w:tcPr>
          <w:p w14:paraId="06A44FC1" w14:textId="77777777" w:rsidR="00BD302E" w:rsidRPr="002853AE" w:rsidRDefault="00BD302E" w:rsidP="00A831F3">
            <w:pPr>
              <w:spacing w:after="0"/>
              <w:rPr>
                <w:sz w:val="22"/>
              </w:rPr>
            </w:pPr>
            <w:r w:rsidRPr="002853AE">
              <w:rPr>
                <w:sz w:val="22"/>
              </w:rPr>
              <w:t>Step 3: Integration across the common indicators</w:t>
            </w:r>
          </w:p>
          <w:p w14:paraId="68944E17" w14:textId="77777777" w:rsidR="00BD302E" w:rsidRPr="002853AE" w:rsidRDefault="00BD302E" w:rsidP="00A831F3">
            <w:pPr>
              <w:spacing w:after="0"/>
              <w:rPr>
                <w:sz w:val="22"/>
              </w:rPr>
            </w:pPr>
          </w:p>
          <w:p w14:paraId="1C84C44A" w14:textId="77777777" w:rsidR="00BD302E" w:rsidRPr="002853AE" w:rsidRDefault="00BD302E" w:rsidP="00A831F3">
            <w:pPr>
              <w:spacing w:after="0"/>
              <w:rPr>
                <w:sz w:val="22"/>
              </w:rPr>
            </w:pPr>
            <w:r w:rsidRPr="002853AE">
              <w:rPr>
                <w:b/>
                <w:i/>
                <w:sz w:val="22"/>
              </w:rPr>
              <w:t>Integration between the common indicators (categories I, II and III).</w:t>
            </w:r>
          </w:p>
        </w:tc>
        <w:tc>
          <w:tcPr>
            <w:tcW w:w="7513" w:type="dxa"/>
          </w:tcPr>
          <w:p w14:paraId="2C6B0EFF"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The assessment parameters are strongly interlinked along a cause/effect scheme from nutrient enrichment (Category I) to direct effects (Category II, e.g. chlorophyll-a) and indirect effects (Category III, e.g. oxygen deficiency</w:t>
            </w:r>
            <w:r>
              <w:rPr>
                <w:sz w:val="22"/>
              </w:rPr>
              <w:t xml:space="preserve"> or light attenuation</w:t>
            </w:r>
            <w:r w:rsidRPr="002853AE">
              <w:rPr>
                <w:sz w:val="22"/>
              </w:rPr>
              <w:t>).</w:t>
            </w:r>
          </w:p>
          <w:p w14:paraId="222B0463"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Areas showing an increased degree of nutrient enrichment accompanied by direct and/or indirect effects are classified as problem areas;</w:t>
            </w:r>
          </w:p>
          <w:p w14:paraId="675402D5"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Areas may show direct effects and/or indirect effects, </w:t>
            </w:r>
            <w:r>
              <w:rPr>
                <w:sz w:val="22"/>
              </w:rPr>
              <w:t xml:space="preserve">despite </w:t>
            </w:r>
            <w:r w:rsidRPr="002853AE">
              <w:rPr>
                <w:sz w:val="22"/>
              </w:rPr>
              <w:t>no eviden</w:t>
            </w:r>
            <w:r>
              <w:rPr>
                <w:sz w:val="22"/>
              </w:rPr>
              <w:t xml:space="preserve">ce for </w:t>
            </w:r>
            <w:r w:rsidRPr="002853AE">
              <w:rPr>
                <w:sz w:val="22"/>
              </w:rPr>
              <w:t>increased nutrient enrichment, for example, as a result of transboundary transport</w:t>
            </w:r>
            <w:r>
              <w:rPr>
                <w:sz w:val="22"/>
              </w:rPr>
              <w:t>. T</w:t>
            </w:r>
            <w:r w:rsidRPr="002853AE">
              <w:rPr>
                <w:sz w:val="22"/>
              </w:rPr>
              <w:t xml:space="preserve">hese </w:t>
            </w:r>
            <w:r>
              <w:rPr>
                <w:sz w:val="22"/>
              </w:rPr>
              <w:t xml:space="preserve">areas </w:t>
            </w:r>
            <w:r w:rsidRPr="002853AE">
              <w:rPr>
                <w:sz w:val="22"/>
              </w:rPr>
              <w:t>are classified as problem areas</w:t>
            </w:r>
          </w:p>
          <w:p w14:paraId="1CFDA06A"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Areas with </w:t>
            </w:r>
            <w:r>
              <w:rPr>
                <w:sz w:val="22"/>
              </w:rPr>
              <w:t xml:space="preserve">elevated nutrient concentrations are </w:t>
            </w:r>
            <w:r w:rsidRPr="002853AE">
              <w:rPr>
                <w:sz w:val="22"/>
              </w:rPr>
              <w:t xml:space="preserve">classified as non-problem areas </w:t>
            </w:r>
            <w:r>
              <w:rPr>
                <w:sz w:val="22"/>
              </w:rPr>
              <w:t xml:space="preserve">if </w:t>
            </w:r>
            <w:r w:rsidRPr="002853AE">
              <w:rPr>
                <w:sz w:val="22"/>
              </w:rPr>
              <w:t xml:space="preserve"> there is firm, scientifically based evidence of the absence of (direct, indirect) eutrophication effects (though could be contribution to issues elsewhere and will be flagged)</w:t>
            </w:r>
          </w:p>
          <w:p w14:paraId="48FFBFB9"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Areas without nutrient enrichment and related (in)direct effects are classified as non-problem areas </w:t>
            </w:r>
          </w:p>
        </w:tc>
      </w:tr>
      <w:tr w:rsidR="00BD302E" w:rsidRPr="002853AE" w14:paraId="6D1E21EF" w14:textId="77777777" w:rsidTr="00A831F3">
        <w:tc>
          <w:tcPr>
            <w:tcW w:w="1980" w:type="dxa"/>
          </w:tcPr>
          <w:p w14:paraId="22BB4186" w14:textId="77777777" w:rsidR="00BD302E" w:rsidRPr="002853AE" w:rsidRDefault="00BD302E" w:rsidP="00A831F3">
            <w:pPr>
              <w:spacing w:after="0"/>
              <w:rPr>
                <w:sz w:val="22"/>
              </w:rPr>
            </w:pPr>
            <w:r w:rsidRPr="002853AE">
              <w:rPr>
                <w:sz w:val="22"/>
              </w:rPr>
              <w:t xml:space="preserve">Step 4: </w:t>
            </w:r>
          </w:p>
          <w:p w14:paraId="04CD63E3" w14:textId="77777777" w:rsidR="00BD302E" w:rsidRPr="002853AE" w:rsidRDefault="00BD302E" w:rsidP="00A831F3">
            <w:pPr>
              <w:spacing w:after="0"/>
              <w:rPr>
                <w:sz w:val="22"/>
              </w:rPr>
            </w:pPr>
            <w:r w:rsidRPr="002853AE">
              <w:rPr>
                <w:b/>
                <w:sz w:val="22"/>
              </w:rPr>
              <w:t>expert verification</w:t>
            </w:r>
          </w:p>
        </w:tc>
        <w:tc>
          <w:tcPr>
            <w:tcW w:w="7513" w:type="dxa"/>
          </w:tcPr>
          <w:p w14:paraId="567DA367" w14:textId="77777777" w:rsidR="00BD302E" w:rsidRPr="002853AE" w:rsidRDefault="00BD302E" w:rsidP="00A831F3">
            <w:pPr>
              <w:pStyle w:val="ListParagraph"/>
              <w:numPr>
                <w:ilvl w:val="0"/>
                <w:numId w:val="39"/>
              </w:numPr>
              <w:tabs>
                <w:tab w:val="left" w:pos="567"/>
              </w:tabs>
              <w:spacing w:before="0" w:after="0"/>
              <w:ind w:left="178" w:hanging="178"/>
              <w:contextualSpacing w:val="0"/>
              <w:jc w:val="both"/>
              <w:rPr>
                <w:sz w:val="22"/>
              </w:rPr>
            </w:pPr>
            <w:r w:rsidRPr="002853AE">
              <w:rPr>
                <w:sz w:val="22"/>
              </w:rPr>
              <w:t xml:space="preserve">Expert verification of the COMPEAT results made by the Contracting Parties in whose waters the assessment units occur. </w:t>
            </w:r>
          </w:p>
          <w:p w14:paraId="2CF27924" w14:textId="77777777" w:rsidR="00BD302E" w:rsidRPr="002853AE" w:rsidRDefault="00BD302E" w:rsidP="00A831F3">
            <w:pPr>
              <w:pStyle w:val="ListParagraph"/>
              <w:numPr>
                <w:ilvl w:val="0"/>
                <w:numId w:val="39"/>
              </w:numPr>
              <w:tabs>
                <w:tab w:val="left" w:pos="567"/>
              </w:tabs>
              <w:ind w:left="178" w:hanging="178"/>
              <w:contextualSpacing w:val="0"/>
              <w:jc w:val="both"/>
              <w:rPr>
                <w:sz w:val="22"/>
              </w:rPr>
            </w:pPr>
            <w:r>
              <w:rPr>
                <w:sz w:val="22"/>
              </w:rPr>
              <w:t>A</w:t>
            </w:r>
            <w:r w:rsidRPr="002853AE">
              <w:rPr>
                <w:sz w:val="22"/>
              </w:rPr>
              <w:t xml:space="preserve">t this stage </w:t>
            </w:r>
            <w:r w:rsidRPr="002853AE">
              <w:rPr>
                <w:sz w:val="22"/>
              </w:rPr>
              <w:t xml:space="preserve">Contracting Parties may </w:t>
            </w:r>
            <w:r>
              <w:rPr>
                <w:sz w:val="22"/>
              </w:rPr>
              <w:t xml:space="preserve">agree to include  </w:t>
            </w:r>
            <w:r w:rsidRPr="002853AE">
              <w:rPr>
                <w:sz w:val="22"/>
              </w:rPr>
              <w:t>additional parameters and thresholds in the relevant category in COMPEAT.</w:t>
            </w:r>
          </w:p>
        </w:tc>
      </w:tr>
    </w:tbl>
    <w:p w14:paraId="7AE95EB8" w14:textId="2EA35751" w:rsidR="006F33B0" w:rsidRDefault="004B45E5" w:rsidP="004B45E5">
      <w:pPr>
        <w:pStyle w:val="Caption"/>
        <w:rPr>
          <w:lang w:val="en-GB"/>
        </w:rPr>
      </w:pPr>
      <w:bookmarkStart w:id="5" w:name="_Toc139460465"/>
      <w:r>
        <w:lastRenderedPageBreak/>
        <w:t xml:space="preserve">Supplementary Table S </w:t>
      </w:r>
      <w:fldSimple w:instr=" SEQ Supplementary_Table_S \* ARABIC ">
        <w:r w:rsidR="006E0DAB">
          <w:rPr>
            <w:noProof/>
          </w:rPr>
          <w:t>4</w:t>
        </w:r>
      </w:fldSimple>
      <w:r w:rsidR="001D6694">
        <w:rPr>
          <w:lang w:val="en-GB"/>
        </w:rPr>
        <w:t xml:space="preserve">: </w:t>
      </w:r>
      <w:r w:rsidR="001D6694" w:rsidRPr="004C4E26">
        <w:rPr>
          <w:lang w:val="en-GB"/>
        </w:rPr>
        <w:t>Integration</w:t>
      </w:r>
      <w:r w:rsidR="001D6694" w:rsidRPr="00180FAC">
        <w:rPr>
          <w:lang w:val="en-GB"/>
        </w:rPr>
        <w:t xml:space="preserve"> rules between categories I, II and III</w:t>
      </w:r>
      <w:bookmarkEnd w:id="2"/>
      <w:bookmarkEnd w:id="3"/>
      <w:r w:rsidR="001D6694">
        <w:rPr>
          <w:lang w:val="en-GB"/>
        </w:rPr>
        <w:t>.</w:t>
      </w:r>
      <w:bookmarkEnd w:id="5"/>
    </w:p>
    <w:p w14:paraId="0D6E6780" w14:textId="6882BF14" w:rsidR="001D6694" w:rsidRPr="00BD6615" w:rsidRDefault="001D6694" w:rsidP="001D6694">
      <w:pPr>
        <w:pStyle w:val="Caption"/>
        <w:rPr>
          <w:color w:val="FFFFFF" w:themeColor="background1"/>
          <w14:textFill>
            <w14:noFill/>
          </w14:textFill>
        </w:rPr>
      </w:pPr>
      <w:r w:rsidRPr="5AEE4534">
        <w:t>For the assessment, there will be (up to) four EQRs for each assessment area including Category I (Nitrogen), Category I (Phosphorus), Category II (direct effects), Category III (indirect effects). The final classification will depend on the type of categories that have fallen below an EQR value of 0.6. The final EQR will be the lower of Categories II and III (Table A.11.1). Category I (Nitrogen and Phosphorus) failures do not drive the final assessment if they fail, but individual parameter failures will be indicated in the final assessment outcome.</w:t>
      </w:r>
    </w:p>
    <w:tbl>
      <w:tblPr>
        <w:tblW w:w="7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108"/>
        <w:gridCol w:w="1108"/>
        <w:gridCol w:w="1270"/>
        <w:gridCol w:w="1373"/>
        <w:gridCol w:w="1525"/>
      </w:tblGrid>
      <w:tr w:rsidR="001D6694" w:rsidRPr="004C4E26" w14:paraId="4F4D4488" w14:textId="77777777" w:rsidTr="00454F93">
        <w:trPr>
          <w:trHeight w:val="510"/>
          <w:jc w:val="center"/>
        </w:trPr>
        <w:tc>
          <w:tcPr>
            <w:tcW w:w="1108" w:type="dxa"/>
            <w:tcBorders>
              <w:top w:val="single" w:sz="4" w:space="0" w:color="auto"/>
              <w:left w:val="single" w:sz="4" w:space="0" w:color="auto"/>
              <w:bottom w:val="single" w:sz="4" w:space="0" w:color="auto"/>
              <w:right w:val="single" w:sz="4" w:space="0" w:color="auto"/>
            </w:tcBorders>
            <w:hideMark/>
          </w:tcPr>
          <w:p w14:paraId="5F855524" w14:textId="77777777" w:rsidR="001D6694" w:rsidRPr="004C4E26" w:rsidRDefault="001D6694" w:rsidP="00454F93">
            <w:pPr>
              <w:spacing w:after="0"/>
              <w:rPr>
                <w:rFonts w:asciiTheme="minorHAnsi" w:hAnsiTheme="minorHAnsi" w:cstheme="minorHAnsi"/>
                <w:b/>
                <w:bCs/>
              </w:rPr>
            </w:pPr>
            <w:r w:rsidRPr="004C4E26">
              <w:rPr>
                <w:rFonts w:asciiTheme="minorHAnsi" w:hAnsiTheme="minorHAnsi" w:cstheme="minorHAnsi"/>
                <w:b/>
                <w:bCs/>
              </w:rPr>
              <w:t>Category I</w:t>
            </w:r>
            <w:r>
              <w:rPr>
                <w:rFonts w:asciiTheme="minorHAnsi" w:hAnsiTheme="minorHAnsi" w:cstheme="minorHAnsi"/>
                <w:b/>
                <w:bCs/>
              </w:rPr>
              <w:t xml:space="preserve"> - N</w:t>
            </w:r>
          </w:p>
        </w:tc>
        <w:tc>
          <w:tcPr>
            <w:tcW w:w="1108" w:type="dxa"/>
            <w:tcBorders>
              <w:top w:val="single" w:sz="4" w:space="0" w:color="auto"/>
              <w:left w:val="single" w:sz="4" w:space="0" w:color="auto"/>
              <w:bottom w:val="single" w:sz="4" w:space="0" w:color="auto"/>
              <w:right w:val="single" w:sz="4" w:space="0" w:color="auto"/>
            </w:tcBorders>
            <w:vAlign w:val="center"/>
          </w:tcPr>
          <w:p w14:paraId="19203666" w14:textId="77777777" w:rsidR="001D6694" w:rsidRPr="004C4E26" w:rsidRDefault="001D6694" w:rsidP="00454F93">
            <w:pPr>
              <w:spacing w:after="0"/>
              <w:rPr>
                <w:rFonts w:asciiTheme="minorHAnsi" w:hAnsiTheme="minorHAnsi" w:cstheme="minorHAnsi"/>
                <w:b/>
                <w:bCs/>
              </w:rPr>
            </w:pPr>
            <w:r w:rsidRPr="004C4E26">
              <w:rPr>
                <w:rFonts w:asciiTheme="minorHAnsi" w:hAnsiTheme="minorHAnsi" w:cstheme="minorHAnsi"/>
                <w:b/>
                <w:bCs/>
              </w:rPr>
              <w:t>Category I</w:t>
            </w:r>
            <w:r>
              <w:rPr>
                <w:rFonts w:asciiTheme="minorHAnsi" w:hAnsiTheme="minorHAnsi" w:cstheme="minorHAnsi"/>
                <w:b/>
                <w:bCs/>
              </w:rPr>
              <w:t xml:space="preserve"> - P</w:t>
            </w:r>
          </w:p>
        </w:tc>
        <w:tc>
          <w:tcPr>
            <w:tcW w:w="1108" w:type="dxa"/>
            <w:tcBorders>
              <w:top w:val="single" w:sz="4" w:space="0" w:color="auto"/>
              <w:left w:val="single" w:sz="4" w:space="0" w:color="auto"/>
              <w:bottom w:val="single" w:sz="4" w:space="0" w:color="auto"/>
              <w:right w:val="single" w:sz="4" w:space="0" w:color="auto"/>
            </w:tcBorders>
            <w:vAlign w:val="center"/>
            <w:hideMark/>
          </w:tcPr>
          <w:p w14:paraId="03D3A540" w14:textId="77777777" w:rsidR="001D6694" w:rsidRPr="004C4E26" w:rsidRDefault="001D6694" w:rsidP="00454F93">
            <w:pPr>
              <w:spacing w:after="0"/>
              <w:rPr>
                <w:rFonts w:asciiTheme="minorHAnsi" w:hAnsiTheme="minorHAnsi" w:cstheme="minorHAnsi"/>
                <w:b/>
                <w:bCs/>
              </w:rPr>
            </w:pPr>
            <w:r w:rsidRPr="004C4E26">
              <w:rPr>
                <w:rFonts w:asciiTheme="minorHAnsi" w:hAnsiTheme="minorHAnsi" w:cstheme="minorHAnsi"/>
                <w:b/>
                <w:bCs/>
              </w:rPr>
              <w:t>Category II</w:t>
            </w:r>
          </w:p>
        </w:tc>
        <w:tc>
          <w:tcPr>
            <w:tcW w:w="1270" w:type="dxa"/>
            <w:tcBorders>
              <w:top w:val="single" w:sz="4" w:space="0" w:color="auto"/>
              <w:left w:val="single" w:sz="4" w:space="0" w:color="auto"/>
              <w:bottom w:val="single" w:sz="4" w:space="0" w:color="auto"/>
              <w:right w:val="single" w:sz="4" w:space="0" w:color="auto"/>
            </w:tcBorders>
            <w:vAlign w:val="center"/>
            <w:hideMark/>
          </w:tcPr>
          <w:p w14:paraId="69773295" w14:textId="77777777" w:rsidR="001D6694" w:rsidRPr="004C4E26" w:rsidRDefault="001D6694" w:rsidP="00454F93">
            <w:pPr>
              <w:spacing w:after="0"/>
              <w:rPr>
                <w:rFonts w:asciiTheme="minorHAnsi" w:hAnsiTheme="minorHAnsi" w:cstheme="minorHAnsi"/>
                <w:b/>
                <w:bCs/>
              </w:rPr>
            </w:pPr>
            <w:r w:rsidRPr="004C4E26">
              <w:rPr>
                <w:rFonts w:asciiTheme="minorHAnsi" w:hAnsiTheme="minorHAnsi" w:cstheme="minorHAnsi"/>
                <w:b/>
                <w:bCs/>
              </w:rPr>
              <w:t xml:space="preserve">Categories III </w:t>
            </w:r>
          </w:p>
        </w:tc>
        <w:tc>
          <w:tcPr>
            <w:tcW w:w="1373" w:type="dxa"/>
            <w:tcBorders>
              <w:top w:val="single" w:sz="4" w:space="0" w:color="auto"/>
              <w:left w:val="single" w:sz="4" w:space="0" w:color="auto"/>
              <w:bottom w:val="single" w:sz="4" w:space="0" w:color="auto"/>
              <w:right w:val="single" w:sz="4" w:space="0" w:color="auto"/>
            </w:tcBorders>
            <w:vAlign w:val="center"/>
            <w:hideMark/>
          </w:tcPr>
          <w:p w14:paraId="1CDC7006" w14:textId="77777777" w:rsidR="001D6694" w:rsidRDefault="001D6694" w:rsidP="00454F93">
            <w:pPr>
              <w:spacing w:after="0"/>
              <w:rPr>
                <w:rFonts w:asciiTheme="minorHAnsi" w:hAnsiTheme="minorHAnsi" w:cstheme="minorHAnsi"/>
                <w:b/>
                <w:bCs/>
              </w:rPr>
            </w:pPr>
            <w:r>
              <w:rPr>
                <w:rFonts w:asciiTheme="minorHAnsi" w:hAnsiTheme="minorHAnsi" w:cstheme="minorHAnsi"/>
                <w:b/>
                <w:bCs/>
              </w:rPr>
              <w:t>COMPEAT</w:t>
            </w:r>
          </w:p>
          <w:p w14:paraId="4FC24D40" w14:textId="77777777" w:rsidR="001D6694" w:rsidRPr="004C4E26" w:rsidRDefault="001D6694" w:rsidP="00454F93">
            <w:pPr>
              <w:spacing w:after="0"/>
              <w:rPr>
                <w:rFonts w:asciiTheme="minorHAnsi" w:hAnsiTheme="minorHAnsi" w:cstheme="minorHAnsi"/>
                <w:b/>
                <w:bCs/>
              </w:rPr>
            </w:pPr>
            <w:r>
              <w:rPr>
                <w:rFonts w:asciiTheme="minorHAnsi" w:hAnsiTheme="minorHAnsi" w:cstheme="minorHAnsi"/>
                <w:b/>
                <w:bCs/>
              </w:rPr>
              <w:t>outcomes</w:t>
            </w:r>
          </w:p>
        </w:tc>
        <w:tc>
          <w:tcPr>
            <w:tcW w:w="1525" w:type="dxa"/>
            <w:tcBorders>
              <w:top w:val="single" w:sz="4" w:space="0" w:color="auto"/>
              <w:left w:val="single" w:sz="4" w:space="0" w:color="auto"/>
              <w:bottom w:val="single" w:sz="4" w:space="0" w:color="auto"/>
              <w:right w:val="single" w:sz="4" w:space="0" w:color="auto"/>
            </w:tcBorders>
          </w:tcPr>
          <w:p w14:paraId="6C1A7D7E" w14:textId="77777777" w:rsidR="001D6694" w:rsidRPr="004C4E26" w:rsidRDefault="001D6694" w:rsidP="00454F93">
            <w:pPr>
              <w:spacing w:after="0"/>
              <w:rPr>
                <w:rFonts w:asciiTheme="minorHAnsi" w:hAnsiTheme="minorHAnsi" w:cstheme="minorHAnsi"/>
                <w:b/>
                <w:bCs/>
              </w:rPr>
            </w:pPr>
            <w:r>
              <w:rPr>
                <w:rFonts w:asciiTheme="minorHAnsi" w:hAnsiTheme="minorHAnsi" w:cstheme="minorHAnsi"/>
                <w:b/>
                <w:bCs/>
              </w:rPr>
              <w:t>Classification</w:t>
            </w:r>
          </w:p>
        </w:tc>
      </w:tr>
      <w:tr w:rsidR="001D6694" w:rsidRPr="004C4E26" w14:paraId="038772E3"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24AF5B0"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tcPr>
          <w:p w14:paraId="70C04A6F"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BF47AF0"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27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D1D1159"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F2F33BD" w14:textId="77777777" w:rsidR="001D6694" w:rsidRPr="004C4E26" w:rsidRDefault="001D6694" w:rsidP="00454F93">
            <w:pPr>
              <w:spacing w:after="0"/>
              <w:rPr>
                <w:rFonts w:asciiTheme="minorHAnsi" w:hAnsiTheme="minorHAnsi"/>
              </w:rPr>
            </w:pPr>
            <w:r>
              <w:rPr>
                <w:rFonts w:asciiTheme="minorHAnsi" w:hAnsiTheme="minorHAnsi"/>
              </w:rPr>
              <w:t>Moderate Status or worse</w:t>
            </w:r>
          </w:p>
        </w:tc>
        <w:tc>
          <w:tcPr>
            <w:tcW w:w="1525" w:type="dxa"/>
            <w:tcBorders>
              <w:top w:val="single" w:sz="4" w:space="0" w:color="auto"/>
              <w:left w:val="single" w:sz="4" w:space="0" w:color="auto"/>
              <w:bottom w:val="single" w:sz="4" w:space="0" w:color="auto"/>
              <w:right w:val="single" w:sz="4" w:space="0" w:color="auto"/>
            </w:tcBorders>
          </w:tcPr>
          <w:p w14:paraId="40E09A2C" w14:textId="77777777" w:rsidR="001D6694" w:rsidRPr="5C190B3A" w:rsidRDefault="001D6694" w:rsidP="00454F93">
            <w:pPr>
              <w:spacing w:after="0"/>
              <w:rPr>
                <w:rFonts w:asciiTheme="minorHAnsi" w:hAnsiTheme="minorHAnsi"/>
              </w:rPr>
            </w:pPr>
            <w:r>
              <w:rPr>
                <w:rFonts w:asciiTheme="minorHAnsi" w:hAnsiTheme="minorHAnsi"/>
              </w:rPr>
              <w:t>Problem Area</w:t>
            </w:r>
          </w:p>
        </w:tc>
      </w:tr>
      <w:tr w:rsidR="001D6694" w:rsidRPr="004C4E26" w14:paraId="5C1B27B4"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E4F2D54"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tcPr>
          <w:p w14:paraId="3E8AD891"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FA2FFA0"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358BDE"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373" w:type="dxa"/>
            <w:tcBorders>
              <w:top w:val="single" w:sz="4" w:space="0" w:color="auto"/>
              <w:left w:val="single" w:sz="4" w:space="0" w:color="auto"/>
              <w:bottom w:val="single" w:sz="4" w:space="0" w:color="auto"/>
              <w:right w:val="single" w:sz="4" w:space="0" w:color="auto"/>
            </w:tcBorders>
            <w:hideMark/>
          </w:tcPr>
          <w:p w14:paraId="3043AF79" w14:textId="77777777" w:rsidR="001D6694" w:rsidRPr="004C4E26" w:rsidRDefault="001D6694" w:rsidP="00454F93">
            <w:pPr>
              <w:spacing w:after="0"/>
              <w:rPr>
                <w:rFonts w:asciiTheme="minorHAnsi" w:hAnsiTheme="minorHAnsi"/>
              </w:rPr>
            </w:pPr>
            <w:r w:rsidRPr="0003286E">
              <w:rPr>
                <w:rFonts w:asciiTheme="minorHAnsi" w:hAnsiTheme="minorHAnsi"/>
              </w:rPr>
              <w:t>Moderate Status or worse</w:t>
            </w:r>
          </w:p>
        </w:tc>
        <w:tc>
          <w:tcPr>
            <w:tcW w:w="1525" w:type="dxa"/>
            <w:tcBorders>
              <w:top w:val="single" w:sz="4" w:space="0" w:color="auto"/>
              <w:left w:val="single" w:sz="4" w:space="0" w:color="auto"/>
              <w:bottom w:val="single" w:sz="4" w:space="0" w:color="auto"/>
              <w:right w:val="single" w:sz="4" w:space="0" w:color="auto"/>
            </w:tcBorders>
          </w:tcPr>
          <w:p w14:paraId="2FAF770C" w14:textId="77777777" w:rsidR="001D6694" w:rsidRPr="5C190B3A" w:rsidRDefault="001D6694" w:rsidP="00454F93">
            <w:pPr>
              <w:spacing w:after="0"/>
              <w:rPr>
                <w:rFonts w:asciiTheme="minorHAnsi" w:hAnsiTheme="minorHAnsi"/>
              </w:rPr>
            </w:pPr>
            <w:r w:rsidRPr="51752DE0">
              <w:rPr>
                <w:rFonts w:asciiTheme="minorHAnsi" w:hAnsiTheme="minorHAnsi"/>
              </w:rPr>
              <w:t>Problem Area</w:t>
            </w:r>
          </w:p>
          <w:p w14:paraId="7976C2C6" w14:textId="77777777" w:rsidR="001D6694" w:rsidRPr="5C190B3A" w:rsidRDefault="001D6694" w:rsidP="00454F93">
            <w:pPr>
              <w:spacing w:after="0"/>
              <w:rPr>
                <w:rFonts w:asciiTheme="minorHAnsi" w:hAnsiTheme="minorHAnsi"/>
              </w:rPr>
            </w:pPr>
          </w:p>
        </w:tc>
      </w:tr>
      <w:tr w:rsidR="001D6694" w:rsidRPr="004C4E26" w14:paraId="22BB4990"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8CF154F"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tcPr>
          <w:p w14:paraId="5B714746"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3C81E86"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27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F47C934"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373" w:type="dxa"/>
            <w:tcBorders>
              <w:top w:val="single" w:sz="4" w:space="0" w:color="auto"/>
              <w:left w:val="single" w:sz="4" w:space="0" w:color="auto"/>
              <w:bottom w:val="single" w:sz="4" w:space="0" w:color="auto"/>
              <w:right w:val="single" w:sz="4" w:space="0" w:color="auto"/>
            </w:tcBorders>
            <w:hideMark/>
          </w:tcPr>
          <w:p w14:paraId="0FFEB785" w14:textId="77777777" w:rsidR="001D6694" w:rsidRPr="004C4E26" w:rsidRDefault="001D6694" w:rsidP="00454F93">
            <w:pPr>
              <w:spacing w:after="0"/>
              <w:rPr>
                <w:rFonts w:asciiTheme="minorHAnsi" w:hAnsiTheme="minorHAnsi"/>
              </w:rPr>
            </w:pPr>
            <w:r w:rsidRPr="0003286E">
              <w:rPr>
                <w:rFonts w:asciiTheme="minorHAnsi" w:hAnsiTheme="minorHAnsi"/>
              </w:rPr>
              <w:t>Moderate Status or worse</w:t>
            </w:r>
          </w:p>
        </w:tc>
        <w:tc>
          <w:tcPr>
            <w:tcW w:w="1525" w:type="dxa"/>
            <w:tcBorders>
              <w:top w:val="single" w:sz="4" w:space="0" w:color="auto"/>
              <w:left w:val="single" w:sz="4" w:space="0" w:color="auto"/>
              <w:bottom w:val="single" w:sz="4" w:space="0" w:color="auto"/>
              <w:right w:val="single" w:sz="4" w:space="0" w:color="auto"/>
            </w:tcBorders>
          </w:tcPr>
          <w:p w14:paraId="39D324CF" w14:textId="77777777" w:rsidR="001D6694" w:rsidRPr="5C190B3A" w:rsidRDefault="001D6694" w:rsidP="00454F93">
            <w:pPr>
              <w:spacing w:after="0"/>
              <w:rPr>
                <w:rFonts w:asciiTheme="minorHAnsi" w:hAnsiTheme="minorHAnsi"/>
              </w:rPr>
            </w:pPr>
            <w:r w:rsidRPr="51752DE0">
              <w:rPr>
                <w:rFonts w:asciiTheme="minorHAnsi" w:hAnsiTheme="minorHAnsi"/>
              </w:rPr>
              <w:t>Problem Area</w:t>
            </w:r>
          </w:p>
          <w:p w14:paraId="7437FB94" w14:textId="77777777" w:rsidR="001D6694" w:rsidRPr="5C190B3A" w:rsidRDefault="001D6694" w:rsidP="00454F93">
            <w:pPr>
              <w:spacing w:after="0"/>
              <w:rPr>
                <w:rFonts w:asciiTheme="minorHAnsi" w:hAnsiTheme="minorHAnsi"/>
              </w:rPr>
            </w:pPr>
          </w:p>
        </w:tc>
      </w:tr>
      <w:tr w:rsidR="001D6694" w:rsidRPr="004C4E26" w14:paraId="108CFEC2"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01E944"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tcPr>
          <w:p w14:paraId="125E81EA"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EAAA7ED"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27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F9189A"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373" w:type="dxa"/>
            <w:tcBorders>
              <w:top w:val="single" w:sz="4" w:space="0" w:color="auto"/>
              <w:left w:val="single" w:sz="4" w:space="0" w:color="auto"/>
              <w:bottom w:val="single" w:sz="4" w:space="0" w:color="auto"/>
              <w:right w:val="single" w:sz="4" w:space="0" w:color="auto"/>
            </w:tcBorders>
            <w:hideMark/>
          </w:tcPr>
          <w:p w14:paraId="063175D6" w14:textId="77777777" w:rsidR="001D6694" w:rsidRPr="004C4E26" w:rsidRDefault="001D6694" w:rsidP="00454F93">
            <w:pPr>
              <w:spacing w:after="0"/>
              <w:rPr>
                <w:rFonts w:asciiTheme="minorHAnsi" w:hAnsiTheme="minorHAnsi"/>
              </w:rPr>
            </w:pPr>
            <w:r w:rsidRPr="0003286E">
              <w:rPr>
                <w:rFonts w:asciiTheme="minorHAnsi" w:hAnsiTheme="minorHAnsi"/>
              </w:rPr>
              <w:t>Moderate Status or worse</w:t>
            </w:r>
          </w:p>
        </w:tc>
        <w:tc>
          <w:tcPr>
            <w:tcW w:w="1525" w:type="dxa"/>
            <w:tcBorders>
              <w:top w:val="single" w:sz="4" w:space="0" w:color="auto"/>
              <w:left w:val="single" w:sz="4" w:space="0" w:color="auto"/>
              <w:bottom w:val="single" w:sz="4" w:space="0" w:color="auto"/>
              <w:right w:val="single" w:sz="4" w:space="0" w:color="auto"/>
            </w:tcBorders>
          </w:tcPr>
          <w:p w14:paraId="32823476" w14:textId="77777777" w:rsidR="001D6694" w:rsidRPr="5C190B3A" w:rsidRDefault="001D6694" w:rsidP="00454F93">
            <w:pPr>
              <w:spacing w:after="0"/>
              <w:rPr>
                <w:rFonts w:asciiTheme="minorHAnsi" w:hAnsiTheme="minorHAnsi"/>
              </w:rPr>
            </w:pPr>
            <w:r w:rsidRPr="51752DE0">
              <w:rPr>
                <w:rFonts w:asciiTheme="minorHAnsi" w:hAnsiTheme="minorHAnsi"/>
              </w:rPr>
              <w:t>Problem Area</w:t>
            </w:r>
          </w:p>
          <w:p w14:paraId="482362AA" w14:textId="77777777" w:rsidR="001D6694" w:rsidRPr="5C190B3A" w:rsidRDefault="001D6694" w:rsidP="00454F93">
            <w:pPr>
              <w:spacing w:after="0"/>
              <w:rPr>
                <w:rFonts w:asciiTheme="minorHAnsi" w:hAnsiTheme="minorHAnsi"/>
              </w:rPr>
            </w:pPr>
          </w:p>
        </w:tc>
      </w:tr>
      <w:tr w:rsidR="001D6694" w:rsidRPr="004C4E26" w14:paraId="2B6FD95A"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161AA4"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tcPr>
          <w:p w14:paraId="4708C7F7"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6EC2606"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7B7F1C"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373" w:type="dxa"/>
            <w:tcBorders>
              <w:top w:val="single" w:sz="4" w:space="0" w:color="auto"/>
              <w:left w:val="single" w:sz="4" w:space="0" w:color="auto"/>
              <w:bottom w:val="single" w:sz="4" w:space="0" w:color="auto"/>
              <w:right w:val="single" w:sz="4" w:space="0" w:color="auto"/>
            </w:tcBorders>
            <w:hideMark/>
          </w:tcPr>
          <w:p w14:paraId="48C82139" w14:textId="77777777" w:rsidR="001D6694" w:rsidRPr="004C4E26" w:rsidRDefault="001D6694" w:rsidP="00454F93">
            <w:pPr>
              <w:spacing w:after="0"/>
              <w:rPr>
                <w:rFonts w:asciiTheme="minorHAnsi" w:hAnsiTheme="minorHAnsi"/>
              </w:rPr>
            </w:pPr>
            <w:r w:rsidRPr="0003286E">
              <w:rPr>
                <w:rFonts w:asciiTheme="minorHAnsi" w:hAnsiTheme="minorHAnsi"/>
              </w:rPr>
              <w:t>Moderate Status or worse</w:t>
            </w:r>
          </w:p>
        </w:tc>
        <w:tc>
          <w:tcPr>
            <w:tcW w:w="1525" w:type="dxa"/>
            <w:tcBorders>
              <w:top w:val="single" w:sz="4" w:space="0" w:color="auto"/>
              <w:left w:val="single" w:sz="4" w:space="0" w:color="auto"/>
              <w:bottom w:val="single" w:sz="4" w:space="0" w:color="auto"/>
              <w:right w:val="single" w:sz="4" w:space="0" w:color="auto"/>
            </w:tcBorders>
          </w:tcPr>
          <w:p w14:paraId="40AF6F8F" w14:textId="77777777" w:rsidR="001D6694" w:rsidRPr="5C190B3A" w:rsidRDefault="001D6694" w:rsidP="00454F93">
            <w:pPr>
              <w:spacing w:after="0"/>
              <w:rPr>
                <w:rFonts w:asciiTheme="minorHAnsi" w:hAnsiTheme="minorHAnsi"/>
              </w:rPr>
            </w:pPr>
            <w:r w:rsidRPr="51752DE0">
              <w:rPr>
                <w:rFonts w:asciiTheme="minorHAnsi" w:hAnsiTheme="minorHAnsi"/>
              </w:rPr>
              <w:t>Problem Area</w:t>
            </w:r>
          </w:p>
          <w:p w14:paraId="25579159" w14:textId="77777777" w:rsidR="001D6694" w:rsidRPr="5C190B3A" w:rsidRDefault="001D6694" w:rsidP="00454F93">
            <w:pPr>
              <w:spacing w:after="0"/>
              <w:rPr>
                <w:rFonts w:asciiTheme="minorHAnsi" w:hAnsiTheme="minorHAnsi"/>
              </w:rPr>
            </w:pPr>
          </w:p>
        </w:tc>
      </w:tr>
      <w:tr w:rsidR="001D6694" w:rsidRPr="004C4E26" w14:paraId="17399297"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F21940"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tcPr>
          <w:p w14:paraId="6EBF97FF"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736F345"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27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21F6B9F"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373" w:type="dxa"/>
            <w:tcBorders>
              <w:top w:val="single" w:sz="4" w:space="0" w:color="auto"/>
              <w:left w:val="single" w:sz="4" w:space="0" w:color="auto"/>
              <w:bottom w:val="single" w:sz="4" w:space="0" w:color="auto"/>
              <w:right w:val="single" w:sz="4" w:space="0" w:color="auto"/>
            </w:tcBorders>
            <w:hideMark/>
          </w:tcPr>
          <w:p w14:paraId="2A70662A" w14:textId="77777777" w:rsidR="001D6694" w:rsidRPr="004C4E26" w:rsidRDefault="001D6694" w:rsidP="00454F93">
            <w:pPr>
              <w:spacing w:after="0"/>
              <w:rPr>
                <w:rFonts w:asciiTheme="minorHAnsi" w:hAnsiTheme="minorHAnsi"/>
              </w:rPr>
            </w:pPr>
            <w:r w:rsidRPr="0003286E">
              <w:rPr>
                <w:rFonts w:asciiTheme="minorHAnsi" w:hAnsiTheme="minorHAnsi"/>
              </w:rPr>
              <w:t>Moderate Status or worse</w:t>
            </w:r>
          </w:p>
        </w:tc>
        <w:tc>
          <w:tcPr>
            <w:tcW w:w="1525" w:type="dxa"/>
            <w:tcBorders>
              <w:top w:val="single" w:sz="4" w:space="0" w:color="auto"/>
              <w:left w:val="single" w:sz="4" w:space="0" w:color="auto"/>
              <w:bottom w:val="single" w:sz="4" w:space="0" w:color="auto"/>
              <w:right w:val="single" w:sz="4" w:space="0" w:color="auto"/>
            </w:tcBorders>
          </w:tcPr>
          <w:p w14:paraId="350C23F6" w14:textId="77777777" w:rsidR="001D6694" w:rsidRPr="5C190B3A" w:rsidRDefault="001D6694" w:rsidP="00454F93">
            <w:pPr>
              <w:spacing w:after="0"/>
              <w:rPr>
                <w:rFonts w:asciiTheme="minorHAnsi" w:hAnsiTheme="minorHAnsi"/>
              </w:rPr>
            </w:pPr>
            <w:r w:rsidRPr="51752DE0">
              <w:rPr>
                <w:rFonts w:asciiTheme="minorHAnsi" w:hAnsiTheme="minorHAnsi"/>
              </w:rPr>
              <w:t>Problem Area</w:t>
            </w:r>
          </w:p>
          <w:p w14:paraId="2DCC71E1" w14:textId="77777777" w:rsidR="001D6694" w:rsidRPr="5C190B3A" w:rsidRDefault="001D6694" w:rsidP="00454F93">
            <w:pPr>
              <w:spacing w:after="0"/>
              <w:rPr>
                <w:rFonts w:asciiTheme="minorHAnsi" w:hAnsiTheme="minorHAnsi"/>
              </w:rPr>
            </w:pPr>
          </w:p>
        </w:tc>
      </w:tr>
      <w:tr w:rsidR="001D6694" w:rsidRPr="004C4E26" w14:paraId="1DCDC7DA"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B97A22"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&lt;0.6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tcPr>
          <w:p w14:paraId="648F2492" w14:textId="77777777" w:rsidR="001D6694" w:rsidRPr="004C4E26" w:rsidRDefault="001D6694" w:rsidP="00454F93">
            <w:pPr>
              <w:spacing w:after="0"/>
              <w:rPr>
                <w:rFonts w:asciiTheme="minorHAnsi" w:hAnsiTheme="minorHAnsi"/>
              </w:rPr>
            </w:pPr>
            <w:r w:rsidRPr="2C42E801">
              <w:rPr>
                <w:rFonts w:asciiTheme="minorHAnsi" w:hAnsi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7AD40C"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25B67D"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4AD6A2FD" w14:textId="77777777" w:rsidR="001D6694" w:rsidRPr="004C4E26" w:rsidRDefault="001D6694" w:rsidP="00454F93">
            <w:pPr>
              <w:spacing w:after="0"/>
              <w:rPr>
                <w:rFonts w:asciiTheme="minorHAnsi" w:hAnsiTheme="minorHAnsi"/>
              </w:rPr>
            </w:pPr>
            <w:bookmarkStart w:id="6" w:name="RANGE!M12"/>
            <w:r w:rsidRPr="5C190B3A">
              <w:rPr>
                <w:rFonts w:asciiTheme="minorHAnsi" w:hAnsiTheme="minorHAnsi"/>
              </w:rPr>
              <w:t>Good status but failing nutrient(s)</w:t>
            </w:r>
            <w:bookmarkEnd w:id="6"/>
            <w:r>
              <w:rPr>
                <w:rFonts w:asciiTheme="minorHAnsi" w:hAnsiTheme="minorHAnsi"/>
              </w:rPr>
              <w:t>*</w:t>
            </w:r>
          </w:p>
        </w:tc>
        <w:tc>
          <w:tcPr>
            <w:tcW w:w="1525" w:type="dxa"/>
            <w:tcBorders>
              <w:top w:val="single" w:sz="4" w:space="0" w:color="auto"/>
              <w:left w:val="single" w:sz="4" w:space="0" w:color="auto"/>
              <w:bottom w:val="single" w:sz="4" w:space="0" w:color="auto"/>
              <w:right w:val="single" w:sz="4" w:space="0" w:color="auto"/>
            </w:tcBorders>
          </w:tcPr>
          <w:p w14:paraId="2737ABFD" w14:textId="77777777" w:rsidR="001D6694" w:rsidRPr="5C190B3A" w:rsidRDefault="001D6694" w:rsidP="00454F93">
            <w:pPr>
              <w:spacing w:after="0"/>
              <w:rPr>
                <w:rFonts w:asciiTheme="minorHAnsi" w:hAnsiTheme="minorHAnsi"/>
              </w:rPr>
            </w:pPr>
            <w:r>
              <w:rPr>
                <w:rFonts w:asciiTheme="minorHAnsi" w:hAnsiTheme="minorHAnsi"/>
              </w:rPr>
              <w:t>Non Problem Area but failing nutrients</w:t>
            </w:r>
            <w:r w:rsidRPr="74AEB302">
              <w:rPr>
                <w:rFonts w:asciiTheme="minorHAnsi" w:hAnsiTheme="minorHAnsi"/>
              </w:rPr>
              <w:t>*</w:t>
            </w:r>
          </w:p>
        </w:tc>
      </w:tr>
      <w:tr w:rsidR="001D6694" w:rsidRPr="004C4E26" w14:paraId="3F133680" w14:textId="77777777" w:rsidTr="00454F93">
        <w:trPr>
          <w:trHeight w:val="315"/>
          <w:jc w:val="center"/>
        </w:trPr>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78BFD9"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tcPr>
          <w:p w14:paraId="0564D6E1"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1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89430B6"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27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1D67B8" w14:textId="77777777" w:rsidR="001D6694" w:rsidRPr="004C4E26" w:rsidRDefault="001D6694" w:rsidP="00454F93">
            <w:pPr>
              <w:spacing w:after="0"/>
              <w:rPr>
                <w:rFonts w:asciiTheme="minorHAnsi" w:hAnsiTheme="minorHAnsi" w:cstheme="minorHAnsi"/>
              </w:rPr>
            </w:pPr>
            <w:r w:rsidRPr="004C4E26">
              <w:rPr>
                <w:rFonts w:asciiTheme="minorHAnsi" w:hAnsiTheme="minorHAnsi" w:cstheme="minorHAnsi"/>
              </w:rPr>
              <w:t>&gt;0.6</w:t>
            </w:r>
          </w:p>
        </w:tc>
        <w:tc>
          <w:tcPr>
            <w:tcW w:w="1373" w:type="dxa"/>
            <w:tcBorders>
              <w:top w:val="single" w:sz="4" w:space="0" w:color="auto"/>
              <w:left w:val="single" w:sz="4" w:space="0" w:color="auto"/>
              <w:bottom w:val="single" w:sz="4" w:space="0" w:color="auto"/>
              <w:right w:val="single" w:sz="4" w:space="0" w:color="auto"/>
            </w:tcBorders>
            <w:vAlign w:val="center"/>
            <w:hideMark/>
          </w:tcPr>
          <w:p w14:paraId="5B20E11F" w14:textId="77777777" w:rsidR="001D6694" w:rsidRPr="004C4E26" w:rsidRDefault="001D6694" w:rsidP="00454F93">
            <w:pPr>
              <w:spacing w:after="0"/>
              <w:rPr>
                <w:rFonts w:asciiTheme="minorHAnsi" w:hAnsiTheme="minorHAnsi"/>
              </w:rPr>
            </w:pPr>
            <w:r w:rsidRPr="5C190B3A">
              <w:rPr>
                <w:rFonts w:asciiTheme="minorHAnsi" w:hAnsiTheme="minorHAnsi"/>
              </w:rPr>
              <w:t xml:space="preserve">Good or High </w:t>
            </w:r>
            <w:r w:rsidRPr="4C3EC1E9">
              <w:rPr>
                <w:rFonts w:asciiTheme="minorHAnsi" w:hAnsiTheme="minorHAnsi"/>
              </w:rPr>
              <w:t>Status</w:t>
            </w:r>
          </w:p>
        </w:tc>
        <w:tc>
          <w:tcPr>
            <w:tcW w:w="1525" w:type="dxa"/>
            <w:tcBorders>
              <w:top w:val="single" w:sz="4" w:space="0" w:color="auto"/>
              <w:left w:val="single" w:sz="4" w:space="0" w:color="auto"/>
              <w:bottom w:val="single" w:sz="4" w:space="0" w:color="auto"/>
              <w:right w:val="single" w:sz="4" w:space="0" w:color="auto"/>
            </w:tcBorders>
          </w:tcPr>
          <w:p w14:paraId="176955F4" w14:textId="77777777" w:rsidR="001D6694" w:rsidRPr="5C190B3A" w:rsidRDefault="001D6694" w:rsidP="00454F93">
            <w:pPr>
              <w:spacing w:after="0"/>
              <w:rPr>
                <w:rFonts w:asciiTheme="minorHAnsi" w:hAnsiTheme="minorHAnsi"/>
              </w:rPr>
            </w:pPr>
            <w:r w:rsidRPr="51752DE0">
              <w:rPr>
                <w:rFonts w:asciiTheme="minorHAnsi" w:hAnsiTheme="minorHAnsi"/>
              </w:rPr>
              <w:t>Non Problem Area</w:t>
            </w:r>
          </w:p>
        </w:tc>
      </w:tr>
    </w:tbl>
    <w:p w14:paraId="054DFF71" w14:textId="77777777" w:rsidR="004B45E5" w:rsidRDefault="004B45E5" w:rsidP="004B45E5">
      <w:pPr>
        <w:pStyle w:val="Caption"/>
      </w:pPr>
    </w:p>
    <w:p w14:paraId="60587A75" w14:textId="77777777" w:rsidR="004B45E5" w:rsidRDefault="004B45E5" w:rsidP="004B45E5">
      <w:pPr>
        <w:pStyle w:val="Caption"/>
      </w:pPr>
    </w:p>
    <w:p w14:paraId="6E5D7EB8" w14:textId="2B7D24FC" w:rsidR="006E0DAB" w:rsidRPr="000954BC" w:rsidRDefault="004B45E5" w:rsidP="006E0DAB">
      <w:pPr>
        <w:pStyle w:val="Caption"/>
      </w:pPr>
      <w:bookmarkStart w:id="7" w:name="_Toc139460466"/>
      <w:r>
        <w:t xml:space="preserve">Supplementary Table S </w:t>
      </w:r>
      <w:fldSimple w:instr=" SEQ Supplementary_Table_S \* ARABIC ">
        <w:r w:rsidR="00BD302E">
          <w:rPr>
            <w:noProof/>
          </w:rPr>
          <w:t>5</w:t>
        </w:r>
      </w:fldSimple>
      <w:r>
        <w:t>:</w:t>
      </w:r>
      <w:r w:rsidRPr="0070330E">
        <w:rPr>
          <w:rFonts w:asciiTheme="minorHAnsi" w:hAnsiTheme="minorHAnsi" w:cstheme="minorBidi"/>
          <w:i/>
          <w:iCs/>
        </w:rPr>
        <w:t xml:space="preserve"> </w:t>
      </w:r>
      <w:r w:rsidRPr="5AEE4534">
        <w:rPr>
          <w:rFonts w:asciiTheme="minorHAnsi" w:hAnsiTheme="minorHAnsi" w:cstheme="minorBidi"/>
          <w:i/>
          <w:iCs/>
        </w:rPr>
        <w:t xml:space="preserve">Description of the </w:t>
      </w:r>
      <w:r w:rsidR="006825FF">
        <w:rPr>
          <w:rFonts w:asciiTheme="minorHAnsi" w:hAnsiTheme="minorHAnsi" w:cstheme="minorBidi"/>
          <w:i/>
          <w:iCs/>
        </w:rPr>
        <w:t xml:space="preserve">COMP 4 </w:t>
      </w:r>
      <w:r w:rsidRPr="5AEE4534">
        <w:rPr>
          <w:rFonts w:asciiTheme="minorHAnsi" w:hAnsiTheme="minorHAnsi" w:cstheme="minorBidi"/>
          <w:i/>
          <w:iCs/>
        </w:rPr>
        <w:t>assessment areas. WFD areas are excluded and the COMP4 assessment area are only relevant to open waters beyond W</w:t>
      </w:r>
      <w:r>
        <w:rPr>
          <w:rFonts w:asciiTheme="minorHAnsi" w:hAnsiTheme="minorHAnsi" w:cstheme="minorBidi"/>
          <w:i/>
          <w:iCs/>
        </w:rPr>
        <w:t>FD</w:t>
      </w:r>
      <w:r w:rsidR="006E0DAB">
        <w:rPr>
          <w:rFonts w:asciiTheme="minorHAnsi" w:hAnsiTheme="minorHAnsi" w:cstheme="minorBidi"/>
          <w:i/>
          <w:iCs/>
        </w:rPr>
        <w:t xml:space="preserve">. </w:t>
      </w:r>
      <w:r w:rsidR="006E0DAB">
        <w:t>Overview of ecologically relevant assessment areas based on duration of stratification, mean surface salinity, depth, suspended particulate matter and primary production.</w:t>
      </w:r>
      <w:bookmarkEnd w:id="7"/>
      <w:r w:rsidR="006E0DAB">
        <w:t xml:space="preserve"> </w:t>
      </w:r>
    </w:p>
    <w:p w14:paraId="0BEDF0FA" w14:textId="13D340B3" w:rsidR="004B45E5" w:rsidRDefault="004B45E5" w:rsidP="004B45E5">
      <w:pPr>
        <w:pStyle w:val="Caption"/>
        <w:rPr>
          <w:rFonts w:asciiTheme="minorHAnsi" w:hAnsiTheme="minorHAnsi" w:cstheme="minorBidi"/>
          <w:i/>
          <w:iCs/>
        </w:rPr>
      </w:pPr>
    </w:p>
    <w:p w14:paraId="4242526E" w14:textId="77777777" w:rsidR="004B45E5" w:rsidRPr="0070330E" w:rsidRDefault="004B45E5" w:rsidP="004B45E5">
      <w:pPr>
        <w:pStyle w:val="NoSpacing"/>
        <w:sectPr w:rsidR="004B45E5" w:rsidRPr="0070330E" w:rsidSect="0093429D">
          <w:headerReference w:type="even" r:id="rId28"/>
          <w:headerReference w:type="default" r:id="rId29"/>
          <w:footerReference w:type="even" r:id="rId30"/>
          <w:footerReference w:type="default" r:id="rId31"/>
          <w:headerReference w:type="first" r:id="rId32"/>
          <w:footerReference w:type="first" r:id="rId33"/>
          <w:pgSz w:w="12240" w:h="15840"/>
          <w:pgMar w:top="1138" w:right="1181" w:bottom="1138" w:left="1282" w:header="720" w:footer="720" w:gutter="0"/>
          <w:cols w:space="720"/>
          <w:titlePg/>
          <w:docGrid w:linePitch="360"/>
        </w:sectPr>
      </w:pPr>
    </w:p>
    <w:tbl>
      <w:tblPr>
        <w:tblW w:w="14029" w:type="dxa"/>
        <w:tblLook w:val="04A0" w:firstRow="1" w:lastRow="0" w:firstColumn="1" w:lastColumn="0" w:noHBand="0" w:noVBand="1"/>
      </w:tblPr>
      <w:tblGrid>
        <w:gridCol w:w="1180"/>
        <w:gridCol w:w="942"/>
        <w:gridCol w:w="2268"/>
        <w:gridCol w:w="5725"/>
        <w:gridCol w:w="860"/>
        <w:gridCol w:w="700"/>
        <w:gridCol w:w="767"/>
        <w:gridCol w:w="731"/>
        <w:gridCol w:w="856"/>
      </w:tblGrid>
      <w:tr w:rsidR="006825FF" w:rsidRPr="006825FF" w14:paraId="5F6F4E39" w14:textId="77777777" w:rsidTr="006825FF">
        <w:trPr>
          <w:trHeight w:val="270"/>
        </w:trPr>
        <w:tc>
          <w:tcPr>
            <w:tcW w:w="1180" w:type="dxa"/>
            <w:tcBorders>
              <w:top w:val="single" w:sz="4" w:space="0" w:color="auto"/>
              <w:left w:val="single" w:sz="4" w:space="0" w:color="auto"/>
              <w:bottom w:val="nil"/>
              <w:right w:val="single" w:sz="4" w:space="0" w:color="auto"/>
            </w:tcBorders>
            <w:shd w:val="clear" w:color="000000" w:fill="D9D9D9"/>
            <w:noWrap/>
            <w:vAlign w:val="center"/>
            <w:hideMark/>
          </w:tcPr>
          <w:p w14:paraId="26F5C69B"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val="en-GB" w:eastAsia="en-GB"/>
              </w:rPr>
              <w:lastRenderedPageBreak/>
              <w:t>Type</w:t>
            </w:r>
          </w:p>
        </w:tc>
        <w:tc>
          <w:tcPr>
            <w:tcW w:w="942" w:type="dxa"/>
            <w:tcBorders>
              <w:top w:val="single" w:sz="4" w:space="0" w:color="auto"/>
              <w:left w:val="nil"/>
              <w:bottom w:val="nil"/>
              <w:right w:val="single" w:sz="4" w:space="0" w:color="auto"/>
            </w:tcBorders>
            <w:shd w:val="clear" w:color="000000" w:fill="D9D9D9"/>
            <w:noWrap/>
            <w:vAlign w:val="center"/>
            <w:hideMark/>
          </w:tcPr>
          <w:p w14:paraId="3DD0F7CF"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eastAsia="en-GB"/>
              </w:rPr>
              <w:t>Area code</w:t>
            </w:r>
          </w:p>
        </w:tc>
        <w:tc>
          <w:tcPr>
            <w:tcW w:w="2268" w:type="dxa"/>
            <w:tcBorders>
              <w:top w:val="single" w:sz="4" w:space="0" w:color="auto"/>
              <w:left w:val="nil"/>
              <w:bottom w:val="nil"/>
              <w:right w:val="single" w:sz="4" w:space="0" w:color="auto"/>
            </w:tcBorders>
            <w:shd w:val="clear" w:color="000000" w:fill="D9D9D9"/>
            <w:noWrap/>
            <w:vAlign w:val="center"/>
            <w:hideMark/>
          </w:tcPr>
          <w:p w14:paraId="14BF8F54"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eastAsia="en-GB"/>
              </w:rPr>
              <w:t>Area name</w:t>
            </w:r>
          </w:p>
        </w:tc>
        <w:tc>
          <w:tcPr>
            <w:tcW w:w="5953" w:type="dxa"/>
            <w:tcBorders>
              <w:top w:val="single" w:sz="4" w:space="0" w:color="auto"/>
              <w:left w:val="nil"/>
              <w:bottom w:val="nil"/>
              <w:right w:val="single" w:sz="4" w:space="0" w:color="auto"/>
            </w:tcBorders>
            <w:shd w:val="clear" w:color="000000" w:fill="D9D9D9"/>
            <w:vAlign w:val="center"/>
            <w:hideMark/>
          </w:tcPr>
          <w:p w14:paraId="13EA35CD"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eastAsia="en-GB"/>
              </w:rPr>
              <w:t>Description</w:t>
            </w:r>
          </w:p>
        </w:tc>
        <w:tc>
          <w:tcPr>
            <w:tcW w:w="860" w:type="dxa"/>
            <w:tcBorders>
              <w:top w:val="single" w:sz="4" w:space="0" w:color="auto"/>
              <w:left w:val="nil"/>
              <w:bottom w:val="nil"/>
              <w:right w:val="single" w:sz="4" w:space="0" w:color="auto"/>
            </w:tcBorders>
            <w:shd w:val="clear" w:color="000000" w:fill="D9D9D9"/>
            <w:noWrap/>
            <w:vAlign w:val="center"/>
            <w:hideMark/>
          </w:tcPr>
          <w:p w14:paraId="1B1EBA5D"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eastAsia="en-GB"/>
              </w:rPr>
              <w:t>Area (km2)</w:t>
            </w:r>
          </w:p>
        </w:tc>
        <w:tc>
          <w:tcPr>
            <w:tcW w:w="700" w:type="dxa"/>
            <w:tcBorders>
              <w:top w:val="single" w:sz="4" w:space="0" w:color="auto"/>
              <w:left w:val="nil"/>
              <w:bottom w:val="nil"/>
              <w:right w:val="single" w:sz="4" w:space="0" w:color="auto"/>
            </w:tcBorders>
            <w:shd w:val="clear" w:color="000000" w:fill="D9D9D9"/>
            <w:noWrap/>
            <w:vAlign w:val="center"/>
            <w:hideMark/>
          </w:tcPr>
          <w:p w14:paraId="04E040CE"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eastAsia="en-GB"/>
              </w:rPr>
              <w:t>Depth mean</w:t>
            </w:r>
          </w:p>
        </w:tc>
        <w:tc>
          <w:tcPr>
            <w:tcW w:w="767" w:type="dxa"/>
            <w:tcBorders>
              <w:top w:val="single" w:sz="4" w:space="0" w:color="auto"/>
              <w:left w:val="nil"/>
              <w:bottom w:val="nil"/>
              <w:right w:val="single" w:sz="4" w:space="0" w:color="auto"/>
            </w:tcBorders>
            <w:shd w:val="clear" w:color="000000" w:fill="D9D9D9"/>
            <w:noWrap/>
            <w:vAlign w:val="center"/>
            <w:hideMark/>
          </w:tcPr>
          <w:p w14:paraId="2A22C919"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val="en-GB" w:eastAsia="en-GB"/>
              </w:rPr>
              <w:t>mean Salinity</w:t>
            </w:r>
          </w:p>
        </w:tc>
        <w:tc>
          <w:tcPr>
            <w:tcW w:w="731" w:type="dxa"/>
            <w:tcBorders>
              <w:top w:val="single" w:sz="4" w:space="0" w:color="auto"/>
              <w:left w:val="nil"/>
              <w:bottom w:val="nil"/>
              <w:right w:val="single" w:sz="4" w:space="0" w:color="auto"/>
            </w:tcBorders>
            <w:shd w:val="clear" w:color="000000" w:fill="D9D9D9"/>
            <w:noWrap/>
            <w:vAlign w:val="center"/>
            <w:hideMark/>
          </w:tcPr>
          <w:p w14:paraId="138988A5"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val="en-GB" w:eastAsia="en-GB"/>
              </w:rPr>
              <w:t>OSPAR Region</w:t>
            </w:r>
          </w:p>
        </w:tc>
        <w:tc>
          <w:tcPr>
            <w:tcW w:w="628" w:type="dxa"/>
            <w:tcBorders>
              <w:top w:val="single" w:sz="4" w:space="0" w:color="auto"/>
              <w:left w:val="nil"/>
              <w:bottom w:val="nil"/>
              <w:right w:val="single" w:sz="4" w:space="0" w:color="auto"/>
            </w:tcBorders>
            <w:shd w:val="clear" w:color="000000" w:fill="D9D9D9"/>
            <w:noWrap/>
            <w:vAlign w:val="center"/>
            <w:hideMark/>
          </w:tcPr>
          <w:p w14:paraId="1E4BDD23" w14:textId="77777777" w:rsidR="006825FF" w:rsidRPr="006825FF" w:rsidRDefault="006825FF" w:rsidP="006825FF">
            <w:pPr>
              <w:spacing w:before="0" w:after="0"/>
              <w:rPr>
                <w:rFonts w:ascii="Calibri" w:eastAsia="Times New Roman" w:hAnsi="Calibri" w:cs="Calibri"/>
                <w:b/>
                <w:bCs/>
                <w:color w:val="000000"/>
                <w:sz w:val="18"/>
                <w:szCs w:val="18"/>
                <w:lang w:val="en-GB" w:eastAsia="en-GB"/>
              </w:rPr>
            </w:pPr>
            <w:r w:rsidRPr="006825FF">
              <w:rPr>
                <w:rFonts w:ascii="Calibri" w:eastAsia="Times New Roman" w:hAnsi="Calibri" w:cs="Calibri"/>
                <w:b/>
                <w:bCs/>
                <w:color w:val="000000"/>
                <w:sz w:val="18"/>
                <w:szCs w:val="18"/>
                <w:lang w:val="en-GB" w:eastAsia="en-GB"/>
              </w:rPr>
              <w:t>CPs involved</w:t>
            </w:r>
          </w:p>
        </w:tc>
      </w:tr>
      <w:tr w:rsidR="006825FF" w:rsidRPr="006825FF" w14:paraId="6CACFF13" w14:textId="77777777" w:rsidTr="006825FF">
        <w:trPr>
          <w:trHeight w:val="490"/>
        </w:trPr>
        <w:tc>
          <w:tcPr>
            <w:tcW w:w="118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4C18B7A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single" w:sz="4" w:space="0" w:color="auto"/>
              <w:left w:val="nil"/>
              <w:bottom w:val="single" w:sz="4" w:space="0" w:color="auto"/>
              <w:right w:val="single" w:sz="4" w:space="0" w:color="auto"/>
            </w:tcBorders>
            <w:shd w:val="clear" w:color="000000" w:fill="D6DCE4"/>
            <w:noWrap/>
            <w:vAlign w:val="center"/>
            <w:hideMark/>
          </w:tcPr>
          <w:p w14:paraId="6B49439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ADPM</w:t>
            </w:r>
          </w:p>
        </w:tc>
        <w:tc>
          <w:tcPr>
            <w:tcW w:w="2268" w:type="dxa"/>
            <w:tcBorders>
              <w:top w:val="single" w:sz="4" w:space="0" w:color="auto"/>
              <w:left w:val="nil"/>
              <w:bottom w:val="single" w:sz="4" w:space="0" w:color="auto"/>
              <w:right w:val="single" w:sz="4" w:space="0" w:color="auto"/>
            </w:tcBorders>
            <w:shd w:val="clear" w:color="000000" w:fill="D6DCE4"/>
            <w:noWrap/>
            <w:vAlign w:val="center"/>
            <w:hideMark/>
          </w:tcPr>
          <w:p w14:paraId="74B23F0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Adour plume</w:t>
            </w:r>
          </w:p>
        </w:tc>
        <w:tc>
          <w:tcPr>
            <w:tcW w:w="5953" w:type="dxa"/>
            <w:tcBorders>
              <w:top w:val="single" w:sz="4" w:space="0" w:color="auto"/>
              <w:left w:val="nil"/>
              <w:bottom w:val="single" w:sz="4" w:space="0" w:color="auto"/>
              <w:right w:val="single" w:sz="4" w:space="0" w:color="auto"/>
            </w:tcBorders>
            <w:shd w:val="clear" w:color="000000" w:fill="D6DCE4"/>
            <w:vAlign w:val="center"/>
            <w:hideMark/>
          </w:tcPr>
          <w:p w14:paraId="752A089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Plume of the Adour river (SW France). The area boundaries were based on combined modelling and data analysis work by SHOM (Cachera et al., 2019)</w:t>
            </w:r>
          </w:p>
        </w:tc>
        <w:tc>
          <w:tcPr>
            <w:tcW w:w="860" w:type="dxa"/>
            <w:tcBorders>
              <w:top w:val="single" w:sz="4" w:space="0" w:color="auto"/>
              <w:left w:val="nil"/>
              <w:bottom w:val="single" w:sz="4" w:space="0" w:color="auto"/>
              <w:right w:val="single" w:sz="4" w:space="0" w:color="auto"/>
            </w:tcBorders>
            <w:shd w:val="clear" w:color="000000" w:fill="D6DCE4"/>
            <w:noWrap/>
            <w:vAlign w:val="center"/>
            <w:hideMark/>
          </w:tcPr>
          <w:p w14:paraId="6897DF6B"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283</w:t>
            </w:r>
          </w:p>
        </w:tc>
        <w:tc>
          <w:tcPr>
            <w:tcW w:w="700" w:type="dxa"/>
            <w:tcBorders>
              <w:top w:val="single" w:sz="4" w:space="0" w:color="auto"/>
              <w:left w:val="nil"/>
              <w:bottom w:val="single" w:sz="4" w:space="0" w:color="auto"/>
              <w:right w:val="single" w:sz="4" w:space="0" w:color="auto"/>
            </w:tcBorders>
            <w:shd w:val="clear" w:color="000000" w:fill="D6DCE4"/>
            <w:noWrap/>
            <w:vAlign w:val="center"/>
            <w:hideMark/>
          </w:tcPr>
          <w:p w14:paraId="2562FAF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87</w:t>
            </w:r>
          </w:p>
        </w:tc>
        <w:tc>
          <w:tcPr>
            <w:tcW w:w="767" w:type="dxa"/>
            <w:tcBorders>
              <w:top w:val="single" w:sz="4" w:space="0" w:color="auto"/>
              <w:left w:val="nil"/>
              <w:bottom w:val="single" w:sz="4" w:space="0" w:color="auto"/>
              <w:right w:val="single" w:sz="4" w:space="0" w:color="auto"/>
            </w:tcBorders>
            <w:shd w:val="clear" w:color="000000" w:fill="D6DCE4"/>
            <w:noWrap/>
            <w:vAlign w:val="center"/>
            <w:hideMark/>
          </w:tcPr>
          <w:p w14:paraId="6143A40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34.4</w:t>
            </w:r>
          </w:p>
        </w:tc>
        <w:tc>
          <w:tcPr>
            <w:tcW w:w="731" w:type="dxa"/>
            <w:tcBorders>
              <w:top w:val="single" w:sz="4" w:space="0" w:color="auto"/>
              <w:left w:val="nil"/>
              <w:bottom w:val="single" w:sz="4" w:space="0" w:color="auto"/>
              <w:right w:val="single" w:sz="4" w:space="0" w:color="auto"/>
            </w:tcBorders>
            <w:shd w:val="clear" w:color="000000" w:fill="D6DCE4"/>
            <w:noWrap/>
            <w:vAlign w:val="center"/>
            <w:hideMark/>
          </w:tcPr>
          <w:p w14:paraId="7AF9BFB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single" w:sz="4" w:space="0" w:color="auto"/>
              <w:left w:val="nil"/>
              <w:bottom w:val="single" w:sz="4" w:space="0" w:color="auto"/>
              <w:right w:val="single" w:sz="4" w:space="0" w:color="auto"/>
            </w:tcBorders>
            <w:shd w:val="clear" w:color="000000" w:fill="D6DCE4"/>
            <w:noWrap/>
            <w:vAlign w:val="center"/>
            <w:hideMark/>
          </w:tcPr>
          <w:p w14:paraId="5A3CE1B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FR</w:t>
            </w:r>
          </w:p>
        </w:tc>
      </w:tr>
      <w:tr w:rsidR="006825FF" w:rsidRPr="006825FF" w14:paraId="7FB17DB3"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43C27FE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17B2830A"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GDPM</w:t>
            </w:r>
          </w:p>
        </w:tc>
        <w:tc>
          <w:tcPr>
            <w:tcW w:w="2268" w:type="dxa"/>
            <w:tcBorders>
              <w:top w:val="nil"/>
              <w:left w:val="nil"/>
              <w:bottom w:val="single" w:sz="4" w:space="0" w:color="auto"/>
              <w:right w:val="single" w:sz="4" w:space="0" w:color="auto"/>
            </w:tcBorders>
            <w:shd w:val="clear" w:color="000000" w:fill="D6DCE4"/>
            <w:noWrap/>
            <w:vAlign w:val="center"/>
            <w:hideMark/>
          </w:tcPr>
          <w:p w14:paraId="3659C53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Gironde plume</w:t>
            </w:r>
          </w:p>
        </w:tc>
        <w:tc>
          <w:tcPr>
            <w:tcW w:w="5953" w:type="dxa"/>
            <w:tcBorders>
              <w:top w:val="nil"/>
              <w:left w:val="nil"/>
              <w:bottom w:val="single" w:sz="4" w:space="0" w:color="auto"/>
              <w:right w:val="single" w:sz="4" w:space="0" w:color="auto"/>
            </w:tcBorders>
            <w:shd w:val="clear" w:color="000000" w:fill="D6DCE4"/>
            <w:vAlign w:val="center"/>
            <w:hideMark/>
          </w:tcPr>
          <w:p w14:paraId="2CF08E4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Plume of the Gironde river (SW France). The area boundaries were based on combined modelling and data analysis work by SHOM (Cachera et al., 2019)</w:t>
            </w:r>
          </w:p>
        </w:tc>
        <w:tc>
          <w:tcPr>
            <w:tcW w:w="860" w:type="dxa"/>
            <w:tcBorders>
              <w:top w:val="nil"/>
              <w:left w:val="nil"/>
              <w:bottom w:val="single" w:sz="4" w:space="0" w:color="auto"/>
              <w:right w:val="single" w:sz="4" w:space="0" w:color="auto"/>
            </w:tcBorders>
            <w:shd w:val="clear" w:color="000000" w:fill="D6DCE4"/>
            <w:noWrap/>
            <w:vAlign w:val="center"/>
            <w:hideMark/>
          </w:tcPr>
          <w:p w14:paraId="238E05F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2828</w:t>
            </w:r>
          </w:p>
        </w:tc>
        <w:tc>
          <w:tcPr>
            <w:tcW w:w="700" w:type="dxa"/>
            <w:tcBorders>
              <w:top w:val="nil"/>
              <w:left w:val="nil"/>
              <w:bottom w:val="single" w:sz="4" w:space="0" w:color="auto"/>
              <w:right w:val="single" w:sz="4" w:space="0" w:color="auto"/>
            </w:tcBorders>
            <w:shd w:val="clear" w:color="000000" w:fill="D6DCE4"/>
            <w:noWrap/>
            <w:vAlign w:val="center"/>
            <w:hideMark/>
          </w:tcPr>
          <w:p w14:paraId="1A87B0F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34</w:t>
            </w:r>
          </w:p>
        </w:tc>
        <w:tc>
          <w:tcPr>
            <w:tcW w:w="767" w:type="dxa"/>
            <w:tcBorders>
              <w:top w:val="nil"/>
              <w:left w:val="nil"/>
              <w:bottom w:val="single" w:sz="4" w:space="0" w:color="auto"/>
              <w:right w:val="single" w:sz="4" w:space="0" w:color="auto"/>
            </w:tcBorders>
            <w:shd w:val="clear" w:color="000000" w:fill="D6DCE4"/>
            <w:noWrap/>
            <w:vAlign w:val="center"/>
            <w:hideMark/>
          </w:tcPr>
          <w:p w14:paraId="629CE49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33.5</w:t>
            </w:r>
          </w:p>
        </w:tc>
        <w:tc>
          <w:tcPr>
            <w:tcW w:w="731" w:type="dxa"/>
            <w:tcBorders>
              <w:top w:val="nil"/>
              <w:left w:val="nil"/>
              <w:bottom w:val="single" w:sz="4" w:space="0" w:color="auto"/>
              <w:right w:val="single" w:sz="4" w:space="0" w:color="auto"/>
            </w:tcBorders>
            <w:shd w:val="clear" w:color="000000" w:fill="D6DCE4"/>
            <w:noWrap/>
            <w:vAlign w:val="center"/>
            <w:hideMark/>
          </w:tcPr>
          <w:p w14:paraId="37F9A40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7F15BAF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FR</w:t>
            </w:r>
          </w:p>
        </w:tc>
      </w:tr>
      <w:tr w:rsidR="006825FF" w:rsidRPr="006825FF" w14:paraId="2D983537" w14:textId="77777777" w:rsidTr="006825FF">
        <w:trPr>
          <w:trHeight w:val="62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5730274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6D5E996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GBCW</w:t>
            </w:r>
          </w:p>
        </w:tc>
        <w:tc>
          <w:tcPr>
            <w:tcW w:w="2268" w:type="dxa"/>
            <w:tcBorders>
              <w:top w:val="nil"/>
              <w:left w:val="nil"/>
              <w:bottom w:val="single" w:sz="4" w:space="0" w:color="auto"/>
              <w:right w:val="single" w:sz="4" w:space="0" w:color="auto"/>
            </w:tcBorders>
            <w:shd w:val="clear" w:color="000000" w:fill="D6DCE4"/>
            <w:noWrap/>
            <w:vAlign w:val="center"/>
            <w:hideMark/>
          </w:tcPr>
          <w:p w14:paraId="612F74A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Gulf of Biscay coastal waters</w:t>
            </w:r>
          </w:p>
        </w:tc>
        <w:tc>
          <w:tcPr>
            <w:tcW w:w="5953" w:type="dxa"/>
            <w:tcBorders>
              <w:top w:val="nil"/>
              <w:left w:val="nil"/>
              <w:bottom w:val="single" w:sz="4" w:space="0" w:color="auto"/>
              <w:right w:val="single" w:sz="4" w:space="0" w:color="auto"/>
            </w:tcBorders>
            <w:shd w:val="clear" w:color="000000" w:fill="D6DCE4"/>
            <w:vAlign w:val="center"/>
            <w:hideMark/>
          </w:tcPr>
          <w:p w14:paraId="749C320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Coastal waters along the French coast (SW France). The landward boundaries are the WFD water bodies and the river plumes of Adour, Gironde and Loire. The area boundaries were based on combined modelling and data analysis work by SHOM (Cachera et al., 2019).</w:t>
            </w:r>
          </w:p>
        </w:tc>
        <w:tc>
          <w:tcPr>
            <w:tcW w:w="860" w:type="dxa"/>
            <w:tcBorders>
              <w:top w:val="nil"/>
              <w:left w:val="nil"/>
              <w:bottom w:val="single" w:sz="4" w:space="0" w:color="auto"/>
              <w:right w:val="single" w:sz="4" w:space="0" w:color="auto"/>
            </w:tcBorders>
            <w:shd w:val="clear" w:color="000000" w:fill="D6DCE4"/>
            <w:noWrap/>
            <w:vAlign w:val="center"/>
            <w:hideMark/>
          </w:tcPr>
          <w:p w14:paraId="2737B87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10846</w:t>
            </w:r>
          </w:p>
        </w:tc>
        <w:tc>
          <w:tcPr>
            <w:tcW w:w="700" w:type="dxa"/>
            <w:tcBorders>
              <w:top w:val="nil"/>
              <w:left w:val="nil"/>
              <w:bottom w:val="single" w:sz="4" w:space="0" w:color="auto"/>
              <w:right w:val="single" w:sz="4" w:space="0" w:color="auto"/>
            </w:tcBorders>
            <w:shd w:val="clear" w:color="000000" w:fill="D6DCE4"/>
            <w:noWrap/>
            <w:vAlign w:val="center"/>
            <w:hideMark/>
          </w:tcPr>
          <w:p w14:paraId="1FAD892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53</w:t>
            </w:r>
          </w:p>
        </w:tc>
        <w:tc>
          <w:tcPr>
            <w:tcW w:w="767" w:type="dxa"/>
            <w:tcBorders>
              <w:top w:val="nil"/>
              <w:left w:val="nil"/>
              <w:bottom w:val="single" w:sz="4" w:space="0" w:color="auto"/>
              <w:right w:val="single" w:sz="4" w:space="0" w:color="auto"/>
            </w:tcBorders>
            <w:shd w:val="clear" w:color="000000" w:fill="D6DCE4"/>
            <w:noWrap/>
            <w:vAlign w:val="center"/>
            <w:hideMark/>
          </w:tcPr>
          <w:p w14:paraId="5F7251D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34.6</w:t>
            </w:r>
          </w:p>
        </w:tc>
        <w:tc>
          <w:tcPr>
            <w:tcW w:w="731" w:type="dxa"/>
            <w:tcBorders>
              <w:top w:val="nil"/>
              <w:left w:val="nil"/>
              <w:bottom w:val="single" w:sz="4" w:space="0" w:color="auto"/>
              <w:right w:val="single" w:sz="4" w:space="0" w:color="auto"/>
            </w:tcBorders>
            <w:shd w:val="clear" w:color="000000" w:fill="D6DCE4"/>
            <w:noWrap/>
            <w:vAlign w:val="center"/>
            <w:hideMark/>
          </w:tcPr>
          <w:p w14:paraId="3FB9737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488EE94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FR</w:t>
            </w:r>
          </w:p>
        </w:tc>
      </w:tr>
      <w:tr w:rsidR="006825FF" w:rsidRPr="006825FF" w14:paraId="50D77ECE"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433E527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48EDECF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HPM</w:t>
            </w:r>
          </w:p>
        </w:tc>
        <w:tc>
          <w:tcPr>
            <w:tcW w:w="2268" w:type="dxa"/>
            <w:tcBorders>
              <w:top w:val="nil"/>
              <w:left w:val="nil"/>
              <w:bottom w:val="single" w:sz="4" w:space="0" w:color="auto"/>
              <w:right w:val="single" w:sz="4" w:space="0" w:color="auto"/>
            </w:tcBorders>
            <w:shd w:val="clear" w:color="000000" w:fill="D6DCE4"/>
            <w:noWrap/>
            <w:vAlign w:val="center"/>
            <w:hideMark/>
          </w:tcPr>
          <w:p w14:paraId="6AA82B0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Humber plume</w:t>
            </w:r>
          </w:p>
        </w:tc>
        <w:tc>
          <w:tcPr>
            <w:tcW w:w="5953" w:type="dxa"/>
            <w:tcBorders>
              <w:top w:val="nil"/>
              <w:left w:val="nil"/>
              <w:bottom w:val="single" w:sz="4" w:space="0" w:color="auto"/>
              <w:right w:val="single" w:sz="4" w:space="0" w:color="auto"/>
            </w:tcBorders>
            <w:shd w:val="clear" w:color="000000" w:fill="D6DCE4"/>
            <w:vAlign w:val="center"/>
            <w:hideMark/>
          </w:tcPr>
          <w:p w14:paraId="5088667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Plume of the Humber river. The outer boundary follows the 11 mg/l contour, based on a 10-year average (Greenwood et al., 2019).</w:t>
            </w:r>
          </w:p>
        </w:tc>
        <w:tc>
          <w:tcPr>
            <w:tcW w:w="860" w:type="dxa"/>
            <w:tcBorders>
              <w:top w:val="nil"/>
              <w:left w:val="nil"/>
              <w:bottom w:val="single" w:sz="4" w:space="0" w:color="auto"/>
              <w:right w:val="single" w:sz="4" w:space="0" w:color="auto"/>
            </w:tcBorders>
            <w:shd w:val="clear" w:color="000000" w:fill="D6DCE4"/>
            <w:noWrap/>
            <w:vAlign w:val="center"/>
            <w:hideMark/>
          </w:tcPr>
          <w:p w14:paraId="1BCFCDC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1368</w:t>
            </w:r>
          </w:p>
        </w:tc>
        <w:tc>
          <w:tcPr>
            <w:tcW w:w="700" w:type="dxa"/>
            <w:tcBorders>
              <w:top w:val="nil"/>
              <w:left w:val="nil"/>
              <w:bottom w:val="single" w:sz="4" w:space="0" w:color="auto"/>
              <w:right w:val="single" w:sz="4" w:space="0" w:color="auto"/>
            </w:tcBorders>
            <w:shd w:val="clear" w:color="000000" w:fill="D6DCE4"/>
            <w:noWrap/>
            <w:vAlign w:val="center"/>
            <w:hideMark/>
          </w:tcPr>
          <w:p w14:paraId="0E16306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16</w:t>
            </w:r>
          </w:p>
        </w:tc>
        <w:tc>
          <w:tcPr>
            <w:tcW w:w="767" w:type="dxa"/>
            <w:tcBorders>
              <w:top w:val="nil"/>
              <w:left w:val="nil"/>
              <w:bottom w:val="single" w:sz="4" w:space="0" w:color="auto"/>
              <w:right w:val="single" w:sz="4" w:space="0" w:color="auto"/>
            </w:tcBorders>
            <w:shd w:val="clear" w:color="000000" w:fill="D6DCE4"/>
            <w:noWrap/>
            <w:vAlign w:val="center"/>
            <w:hideMark/>
          </w:tcPr>
          <w:p w14:paraId="044A87A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33.5</w:t>
            </w:r>
          </w:p>
        </w:tc>
        <w:tc>
          <w:tcPr>
            <w:tcW w:w="731" w:type="dxa"/>
            <w:tcBorders>
              <w:top w:val="nil"/>
              <w:left w:val="nil"/>
              <w:bottom w:val="single" w:sz="4" w:space="0" w:color="auto"/>
              <w:right w:val="single" w:sz="4" w:space="0" w:color="auto"/>
            </w:tcBorders>
            <w:shd w:val="clear" w:color="000000" w:fill="D6DCE4"/>
            <w:noWrap/>
            <w:vAlign w:val="center"/>
            <w:hideMark/>
          </w:tcPr>
          <w:p w14:paraId="3A41DA2B"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II</w:t>
            </w:r>
          </w:p>
        </w:tc>
        <w:tc>
          <w:tcPr>
            <w:tcW w:w="628" w:type="dxa"/>
            <w:tcBorders>
              <w:top w:val="nil"/>
              <w:left w:val="nil"/>
              <w:bottom w:val="single" w:sz="4" w:space="0" w:color="auto"/>
              <w:right w:val="single" w:sz="4" w:space="0" w:color="auto"/>
            </w:tcBorders>
            <w:shd w:val="clear" w:color="000000" w:fill="D6DCE4"/>
            <w:noWrap/>
            <w:vAlign w:val="center"/>
            <w:hideMark/>
          </w:tcPr>
          <w:p w14:paraId="0B5B83A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UK</w:t>
            </w:r>
          </w:p>
        </w:tc>
      </w:tr>
      <w:tr w:rsidR="006825FF" w:rsidRPr="006825FF" w14:paraId="4B648B8D"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7628817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0AFADFB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IRS</w:t>
            </w:r>
          </w:p>
        </w:tc>
        <w:tc>
          <w:tcPr>
            <w:tcW w:w="2268" w:type="dxa"/>
            <w:tcBorders>
              <w:top w:val="nil"/>
              <w:left w:val="nil"/>
              <w:bottom w:val="single" w:sz="4" w:space="0" w:color="auto"/>
              <w:right w:val="single" w:sz="4" w:space="0" w:color="auto"/>
            </w:tcBorders>
            <w:shd w:val="clear" w:color="000000" w:fill="D6DCE4"/>
            <w:noWrap/>
            <w:vAlign w:val="center"/>
            <w:hideMark/>
          </w:tcPr>
          <w:p w14:paraId="556609B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Irish Sea</w:t>
            </w:r>
          </w:p>
        </w:tc>
        <w:tc>
          <w:tcPr>
            <w:tcW w:w="5953" w:type="dxa"/>
            <w:tcBorders>
              <w:top w:val="nil"/>
              <w:left w:val="nil"/>
              <w:bottom w:val="single" w:sz="4" w:space="0" w:color="auto"/>
              <w:right w:val="single" w:sz="4" w:space="0" w:color="auto"/>
            </w:tcBorders>
            <w:shd w:val="clear" w:color="000000" w:fill="D6DCE4"/>
            <w:vAlign w:val="center"/>
            <w:hideMark/>
          </w:tcPr>
          <w:p w14:paraId="4690545A"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Permanently mixed central part of the Irish Sea. Landward boundaries are the WFD water bodies and coastal waters of Ireland.</w:t>
            </w:r>
          </w:p>
        </w:tc>
        <w:tc>
          <w:tcPr>
            <w:tcW w:w="860" w:type="dxa"/>
            <w:tcBorders>
              <w:top w:val="nil"/>
              <w:left w:val="nil"/>
              <w:bottom w:val="single" w:sz="4" w:space="0" w:color="auto"/>
              <w:right w:val="single" w:sz="4" w:space="0" w:color="auto"/>
            </w:tcBorders>
            <w:shd w:val="clear" w:color="000000" w:fill="D6DCE4"/>
            <w:noWrap/>
            <w:vAlign w:val="center"/>
            <w:hideMark/>
          </w:tcPr>
          <w:p w14:paraId="2A00DF7B"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32691</w:t>
            </w:r>
          </w:p>
        </w:tc>
        <w:tc>
          <w:tcPr>
            <w:tcW w:w="700" w:type="dxa"/>
            <w:tcBorders>
              <w:top w:val="nil"/>
              <w:left w:val="nil"/>
              <w:bottom w:val="single" w:sz="4" w:space="0" w:color="auto"/>
              <w:right w:val="single" w:sz="4" w:space="0" w:color="auto"/>
            </w:tcBorders>
            <w:shd w:val="clear" w:color="000000" w:fill="D6DCE4"/>
            <w:noWrap/>
            <w:vAlign w:val="center"/>
            <w:hideMark/>
          </w:tcPr>
          <w:p w14:paraId="7E8A42E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65</w:t>
            </w:r>
          </w:p>
        </w:tc>
        <w:tc>
          <w:tcPr>
            <w:tcW w:w="767" w:type="dxa"/>
            <w:tcBorders>
              <w:top w:val="nil"/>
              <w:left w:val="nil"/>
              <w:bottom w:val="single" w:sz="4" w:space="0" w:color="auto"/>
              <w:right w:val="single" w:sz="4" w:space="0" w:color="auto"/>
            </w:tcBorders>
            <w:shd w:val="clear" w:color="000000" w:fill="D6DCE4"/>
            <w:noWrap/>
            <w:vAlign w:val="center"/>
            <w:hideMark/>
          </w:tcPr>
          <w:p w14:paraId="1935943A"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33.7</w:t>
            </w:r>
          </w:p>
        </w:tc>
        <w:tc>
          <w:tcPr>
            <w:tcW w:w="731" w:type="dxa"/>
            <w:tcBorders>
              <w:top w:val="nil"/>
              <w:left w:val="nil"/>
              <w:bottom w:val="single" w:sz="4" w:space="0" w:color="auto"/>
              <w:right w:val="single" w:sz="4" w:space="0" w:color="auto"/>
            </w:tcBorders>
            <w:shd w:val="clear" w:color="000000" w:fill="D6DCE4"/>
            <w:noWrap/>
            <w:vAlign w:val="center"/>
            <w:hideMark/>
          </w:tcPr>
          <w:p w14:paraId="378435B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III</w:t>
            </w:r>
          </w:p>
        </w:tc>
        <w:tc>
          <w:tcPr>
            <w:tcW w:w="628" w:type="dxa"/>
            <w:tcBorders>
              <w:top w:val="nil"/>
              <w:left w:val="nil"/>
              <w:bottom w:val="single" w:sz="4" w:space="0" w:color="auto"/>
              <w:right w:val="single" w:sz="4" w:space="0" w:color="auto"/>
            </w:tcBorders>
            <w:shd w:val="clear" w:color="000000" w:fill="D6DCE4"/>
            <w:noWrap/>
            <w:vAlign w:val="center"/>
            <w:hideMark/>
          </w:tcPr>
          <w:p w14:paraId="660E3DC5"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IE, UK</w:t>
            </w:r>
          </w:p>
        </w:tc>
      </w:tr>
      <w:tr w:rsidR="006825FF" w:rsidRPr="006825FF" w14:paraId="45963CC0"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6B4A8A05"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259DCDF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NAAC1A</w:t>
            </w:r>
          </w:p>
        </w:tc>
        <w:tc>
          <w:tcPr>
            <w:tcW w:w="2268" w:type="dxa"/>
            <w:tcBorders>
              <w:top w:val="nil"/>
              <w:left w:val="nil"/>
              <w:bottom w:val="single" w:sz="4" w:space="0" w:color="auto"/>
              <w:right w:val="single" w:sz="4" w:space="0" w:color="auto"/>
            </w:tcBorders>
            <w:shd w:val="clear" w:color="000000" w:fill="D6DCE4"/>
            <w:noWrap/>
            <w:vAlign w:val="center"/>
            <w:hideMark/>
          </w:tcPr>
          <w:p w14:paraId="31F24E39"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Noratlantic Area NOR-NorC1A</w:t>
            </w:r>
          </w:p>
        </w:tc>
        <w:tc>
          <w:tcPr>
            <w:tcW w:w="5953" w:type="dxa"/>
            <w:tcBorders>
              <w:top w:val="nil"/>
              <w:left w:val="nil"/>
              <w:bottom w:val="single" w:sz="4" w:space="0" w:color="auto"/>
              <w:right w:val="single" w:sz="4" w:space="0" w:color="auto"/>
            </w:tcBorders>
            <w:shd w:val="clear" w:color="000000" w:fill="D6DCE4"/>
            <w:vAlign w:val="center"/>
            <w:hideMark/>
          </w:tcPr>
          <w:p w14:paraId="37AFB8F9"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Assessment area based on phytoplankton productivity: Inner Galician Estuaries (Rías Gallegas), water body A</w:t>
            </w:r>
          </w:p>
        </w:tc>
        <w:tc>
          <w:tcPr>
            <w:tcW w:w="860" w:type="dxa"/>
            <w:tcBorders>
              <w:top w:val="nil"/>
              <w:left w:val="nil"/>
              <w:bottom w:val="single" w:sz="4" w:space="0" w:color="auto"/>
              <w:right w:val="single" w:sz="4" w:space="0" w:color="auto"/>
            </w:tcBorders>
            <w:shd w:val="clear" w:color="000000" w:fill="D6DCE4"/>
            <w:noWrap/>
            <w:vAlign w:val="center"/>
            <w:hideMark/>
          </w:tcPr>
          <w:p w14:paraId="6B58013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549</w:t>
            </w:r>
          </w:p>
        </w:tc>
        <w:tc>
          <w:tcPr>
            <w:tcW w:w="700" w:type="dxa"/>
            <w:tcBorders>
              <w:top w:val="nil"/>
              <w:left w:val="nil"/>
              <w:bottom w:val="single" w:sz="4" w:space="0" w:color="auto"/>
              <w:right w:val="single" w:sz="4" w:space="0" w:color="auto"/>
            </w:tcBorders>
            <w:shd w:val="clear" w:color="000000" w:fill="D6DCE4"/>
            <w:noWrap/>
            <w:vAlign w:val="center"/>
            <w:hideMark/>
          </w:tcPr>
          <w:p w14:paraId="2A34B11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tbd</w:t>
            </w:r>
          </w:p>
        </w:tc>
        <w:tc>
          <w:tcPr>
            <w:tcW w:w="767" w:type="dxa"/>
            <w:tcBorders>
              <w:top w:val="nil"/>
              <w:left w:val="nil"/>
              <w:bottom w:val="single" w:sz="4" w:space="0" w:color="auto"/>
              <w:right w:val="single" w:sz="4" w:space="0" w:color="auto"/>
            </w:tcBorders>
            <w:shd w:val="clear" w:color="000000" w:fill="D6DCE4"/>
            <w:noWrap/>
            <w:vAlign w:val="center"/>
            <w:hideMark/>
          </w:tcPr>
          <w:p w14:paraId="427AAC1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7728443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5ECEFB9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ES</w:t>
            </w:r>
          </w:p>
        </w:tc>
      </w:tr>
      <w:tr w:rsidR="006825FF" w:rsidRPr="006825FF" w14:paraId="3AB8D439"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2FA55F6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7648C69B"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NAAC1B</w:t>
            </w:r>
          </w:p>
        </w:tc>
        <w:tc>
          <w:tcPr>
            <w:tcW w:w="2268" w:type="dxa"/>
            <w:tcBorders>
              <w:top w:val="nil"/>
              <w:left w:val="nil"/>
              <w:bottom w:val="single" w:sz="4" w:space="0" w:color="auto"/>
              <w:right w:val="single" w:sz="4" w:space="0" w:color="auto"/>
            </w:tcBorders>
            <w:shd w:val="clear" w:color="000000" w:fill="D6DCE4"/>
            <w:noWrap/>
            <w:vAlign w:val="center"/>
            <w:hideMark/>
          </w:tcPr>
          <w:p w14:paraId="60F8154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Noratlantic Area NOR-NorC1B</w:t>
            </w:r>
          </w:p>
        </w:tc>
        <w:tc>
          <w:tcPr>
            <w:tcW w:w="5953" w:type="dxa"/>
            <w:tcBorders>
              <w:top w:val="nil"/>
              <w:left w:val="nil"/>
              <w:bottom w:val="single" w:sz="4" w:space="0" w:color="auto"/>
              <w:right w:val="single" w:sz="4" w:space="0" w:color="auto"/>
            </w:tcBorders>
            <w:shd w:val="clear" w:color="000000" w:fill="D6DCE4"/>
            <w:vAlign w:val="center"/>
            <w:hideMark/>
          </w:tcPr>
          <w:p w14:paraId="28543CA6"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Assessment area based on phytoplankton productivity: Inner Galician Estuaries (Rías Gallegas), water body B.</w:t>
            </w:r>
          </w:p>
        </w:tc>
        <w:tc>
          <w:tcPr>
            <w:tcW w:w="860" w:type="dxa"/>
            <w:tcBorders>
              <w:top w:val="nil"/>
              <w:left w:val="nil"/>
              <w:bottom w:val="single" w:sz="4" w:space="0" w:color="auto"/>
              <w:right w:val="single" w:sz="4" w:space="0" w:color="auto"/>
            </w:tcBorders>
            <w:shd w:val="clear" w:color="000000" w:fill="D6DCE4"/>
            <w:noWrap/>
            <w:vAlign w:val="center"/>
            <w:hideMark/>
          </w:tcPr>
          <w:p w14:paraId="42A7849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88</w:t>
            </w:r>
          </w:p>
        </w:tc>
        <w:tc>
          <w:tcPr>
            <w:tcW w:w="700" w:type="dxa"/>
            <w:tcBorders>
              <w:top w:val="nil"/>
              <w:left w:val="nil"/>
              <w:bottom w:val="single" w:sz="4" w:space="0" w:color="auto"/>
              <w:right w:val="single" w:sz="4" w:space="0" w:color="auto"/>
            </w:tcBorders>
            <w:shd w:val="clear" w:color="000000" w:fill="D6DCE4"/>
            <w:noWrap/>
            <w:vAlign w:val="center"/>
            <w:hideMark/>
          </w:tcPr>
          <w:p w14:paraId="2F95ADD5"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tbd</w:t>
            </w:r>
          </w:p>
        </w:tc>
        <w:tc>
          <w:tcPr>
            <w:tcW w:w="767" w:type="dxa"/>
            <w:tcBorders>
              <w:top w:val="nil"/>
              <w:left w:val="nil"/>
              <w:bottom w:val="single" w:sz="4" w:space="0" w:color="auto"/>
              <w:right w:val="single" w:sz="4" w:space="0" w:color="auto"/>
            </w:tcBorders>
            <w:shd w:val="clear" w:color="000000" w:fill="D6DCE4"/>
            <w:noWrap/>
            <w:vAlign w:val="center"/>
            <w:hideMark/>
          </w:tcPr>
          <w:p w14:paraId="1C3A8139"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0B7C2E1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36000B2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ES</w:t>
            </w:r>
          </w:p>
        </w:tc>
      </w:tr>
      <w:tr w:rsidR="006825FF" w:rsidRPr="006825FF" w14:paraId="1E6B075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5FB26E9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5B4A6A0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NAAC1C</w:t>
            </w:r>
          </w:p>
        </w:tc>
        <w:tc>
          <w:tcPr>
            <w:tcW w:w="2268" w:type="dxa"/>
            <w:tcBorders>
              <w:top w:val="nil"/>
              <w:left w:val="nil"/>
              <w:bottom w:val="single" w:sz="4" w:space="0" w:color="auto"/>
              <w:right w:val="single" w:sz="4" w:space="0" w:color="auto"/>
            </w:tcBorders>
            <w:shd w:val="clear" w:color="000000" w:fill="D6DCE4"/>
            <w:noWrap/>
            <w:vAlign w:val="center"/>
            <w:hideMark/>
          </w:tcPr>
          <w:p w14:paraId="50D37FF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Noratlantic Area NOR-NorC1C</w:t>
            </w:r>
          </w:p>
        </w:tc>
        <w:tc>
          <w:tcPr>
            <w:tcW w:w="5953" w:type="dxa"/>
            <w:tcBorders>
              <w:top w:val="nil"/>
              <w:left w:val="nil"/>
              <w:bottom w:val="single" w:sz="4" w:space="0" w:color="auto"/>
              <w:right w:val="single" w:sz="4" w:space="0" w:color="auto"/>
            </w:tcBorders>
            <w:shd w:val="clear" w:color="000000" w:fill="D6DCE4"/>
            <w:vAlign w:val="center"/>
            <w:hideMark/>
          </w:tcPr>
          <w:p w14:paraId="5CE006C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Assessment area based on phytoplankton productivity: Inner Galician Estuaries (Rías Gallegas), water body C.</w:t>
            </w:r>
          </w:p>
        </w:tc>
        <w:tc>
          <w:tcPr>
            <w:tcW w:w="860" w:type="dxa"/>
            <w:tcBorders>
              <w:top w:val="nil"/>
              <w:left w:val="nil"/>
              <w:bottom w:val="single" w:sz="4" w:space="0" w:color="auto"/>
              <w:right w:val="single" w:sz="4" w:space="0" w:color="auto"/>
            </w:tcBorders>
            <w:shd w:val="clear" w:color="000000" w:fill="D6DCE4"/>
            <w:noWrap/>
            <w:vAlign w:val="center"/>
            <w:hideMark/>
          </w:tcPr>
          <w:p w14:paraId="197021E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28</w:t>
            </w:r>
          </w:p>
        </w:tc>
        <w:tc>
          <w:tcPr>
            <w:tcW w:w="700" w:type="dxa"/>
            <w:tcBorders>
              <w:top w:val="nil"/>
              <w:left w:val="nil"/>
              <w:bottom w:val="single" w:sz="4" w:space="0" w:color="auto"/>
              <w:right w:val="single" w:sz="4" w:space="0" w:color="auto"/>
            </w:tcBorders>
            <w:shd w:val="clear" w:color="000000" w:fill="D6DCE4"/>
            <w:noWrap/>
            <w:vAlign w:val="center"/>
            <w:hideMark/>
          </w:tcPr>
          <w:p w14:paraId="7DD0BA0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tbd</w:t>
            </w:r>
          </w:p>
        </w:tc>
        <w:tc>
          <w:tcPr>
            <w:tcW w:w="767" w:type="dxa"/>
            <w:tcBorders>
              <w:top w:val="nil"/>
              <w:left w:val="nil"/>
              <w:bottom w:val="single" w:sz="4" w:space="0" w:color="auto"/>
              <w:right w:val="single" w:sz="4" w:space="0" w:color="auto"/>
            </w:tcBorders>
            <w:shd w:val="clear" w:color="000000" w:fill="D6DCE4"/>
            <w:noWrap/>
            <w:vAlign w:val="center"/>
            <w:hideMark/>
          </w:tcPr>
          <w:p w14:paraId="4B7DCA6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33CBABD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278B19D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ES</w:t>
            </w:r>
          </w:p>
        </w:tc>
      </w:tr>
      <w:tr w:rsidR="006825FF" w:rsidRPr="006825FF" w14:paraId="0B994182"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0B04DA2A"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54323D05"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NAAC2</w:t>
            </w:r>
          </w:p>
        </w:tc>
        <w:tc>
          <w:tcPr>
            <w:tcW w:w="2268" w:type="dxa"/>
            <w:tcBorders>
              <w:top w:val="nil"/>
              <w:left w:val="nil"/>
              <w:bottom w:val="single" w:sz="4" w:space="0" w:color="auto"/>
              <w:right w:val="single" w:sz="4" w:space="0" w:color="auto"/>
            </w:tcBorders>
            <w:shd w:val="clear" w:color="000000" w:fill="D6DCE4"/>
            <w:noWrap/>
            <w:vAlign w:val="center"/>
            <w:hideMark/>
          </w:tcPr>
          <w:p w14:paraId="265BD8C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Noratlantic Area NOR-NorC2</w:t>
            </w:r>
          </w:p>
        </w:tc>
        <w:tc>
          <w:tcPr>
            <w:tcW w:w="5953" w:type="dxa"/>
            <w:tcBorders>
              <w:top w:val="nil"/>
              <w:left w:val="nil"/>
              <w:bottom w:val="single" w:sz="4" w:space="0" w:color="auto"/>
              <w:right w:val="single" w:sz="4" w:space="0" w:color="auto"/>
            </w:tcBorders>
            <w:shd w:val="clear" w:color="000000" w:fill="D6DCE4"/>
            <w:vAlign w:val="center"/>
            <w:hideMark/>
          </w:tcPr>
          <w:p w14:paraId="2C97728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Assessment area based on phytoplankton productivity: Coastal waters surrounding the Galician Estuaries (Rías Gallegas).</w:t>
            </w:r>
          </w:p>
        </w:tc>
        <w:tc>
          <w:tcPr>
            <w:tcW w:w="860" w:type="dxa"/>
            <w:tcBorders>
              <w:top w:val="nil"/>
              <w:left w:val="nil"/>
              <w:bottom w:val="single" w:sz="4" w:space="0" w:color="auto"/>
              <w:right w:val="single" w:sz="4" w:space="0" w:color="auto"/>
            </w:tcBorders>
            <w:shd w:val="clear" w:color="000000" w:fill="D6DCE4"/>
            <w:noWrap/>
            <w:vAlign w:val="center"/>
            <w:hideMark/>
          </w:tcPr>
          <w:p w14:paraId="4912708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1662</w:t>
            </w:r>
          </w:p>
        </w:tc>
        <w:tc>
          <w:tcPr>
            <w:tcW w:w="700" w:type="dxa"/>
            <w:tcBorders>
              <w:top w:val="nil"/>
              <w:left w:val="nil"/>
              <w:bottom w:val="single" w:sz="4" w:space="0" w:color="auto"/>
              <w:right w:val="single" w:sz="4" w:space="0" w:color="auto"/>
            </w:tcBorders>
            <w:shd w:val="clear" w:color="000000" w:fill="D6DCE4"/>
            <w:noWrap/>
            <w:vAlign w:val="center"/>
            <w:hideMark/>
          </w:tcPr>
          <w:p w14:paraId="6373B4B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tbd</w:t>
            </w:r>
          </w:p>
        </w:tc>
        <w:tc>
          <w:tcPr>
            <w:tcW w:w="767" w:type="dxa"/>
            <w:tcBorders>
              <w:top w:val="nil"/>
              <w:left w:val="nil"/>
              <w:bottom w:val="single" w:sz="4" w:space="0" w:color="auto"/>
              <w:right w:val="single" w:sz="4" w:space="0" w:color="auto"/>
            </w:tcBorders>
            <w:shd w:val="clear" w:color="000000" w:fill="D6DCE4"/>
            <w:noWrap/>
            <w:vAlign w:val="center"/>
            <w:hideMark/>
          </w:tcPr>
          <w:p w14:paraId="68E7FFB5"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2749A3F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4F22F83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ES</w:t>
            </w:r>
          </w:p>
        </w:tc>
      </w:tr>
      <w:tr w:rsidR="006825FF" w:rsidRPr="006825FF" w14:paraId="2CE24B92"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1172BE7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7A00C0F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NAAC3</w:t>
            </w:r>
          </w:p>
        </w:tc>
        <w:tc>
          <w:tcPr>
            <w:tcW w:w="2268" w:type="dxa"/>
            <w:tcBorders>
              <w:top w:val="nil"/>
              <w:left w:val="nil"/>
              <w:bottom w:val="single" w:sz="4" w:space="0" w:color="auto"/>
              <w:right w:val="single" w:sz="4" w:space="0" w:color="auto"/>
            </w:tcBorders>
            <w:shd w:val="clear" w:color="000000" w:fill="D6DCE4"/>
            <w:noWrap/>
            <w:vAlign w:val="center"/>
            <w:hideMark/>
          </w:tcPr>
          <w:p w14:paraId="09F72A8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Noratlantic Area NOR-NorC3</w:t>
            </w:r>
          </w:p>
        </w:tc>
        <w:tc>
          <w:tcPr>
            <w:tcW w:w="5953" w:type="dxa"/>
            <w:tcBorders>
              <w:top w:val="nil"/>
              <w:left w:val="nil"/>
              <w:bottom w:val="single" w:sz="4" w:space="0" w:color="auto"/>
              <w:right w:val="single" w:sz="4" w:space="0" w:color="auto"/>
            </w:tcBorders>
            <w:shd w:val="clear" w:color="000000" w:fill="D6DCE4"/>
            <w:vAlign w:val="center"/>
            <w:hideMark/>
          </w:tcPr>
          <w:p w14:paraId="6A286239" w14:textId="77777777" w:rsidR="006825FF" w:rsidRPr="006825FF" w:rsidRDefault="006825FF" w:rsidP="006825FF">
            <w:pPr>
              <w:spacing w:before="0" w:after="0"/>
              <w:ind w:left="-108" w:firstLine="108"/>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Assessment area based on phytoplankton productivity: NW Iberian Peninsula waters most strongly affected by upwelling that are especially intensive in spring and summer.</w:t>
            </w:r>
          </w:p>
        </w:tc>
        <w:tc>
          <w:tcPr>
            <w:tcW w:w="860" w:type="dxa"/>
            <w:tcBorders>
              <w:top w:val="nil"/>
              <w:left w:val="nil"/>
              <w:bottom w:val="single" w:sz="4" w:space="0" w:color="auto"/>
              <w:right w:val="single" w:sz="4" w:space="0" w:color="auto"/>
            </w:tcBorders>
            <w:shd w:val="clear" w:color="000000" w:fill="D6DCE4"/>
            <w:noWrap/>
            <w:vAlign w:val="center"/>
            <w:hideMark/>
          </w:tcPr>
          <w:p w14:paraId="2A4D205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2609</w:t>
            </w:r>
          </w:p>
        </w:tc>
        <w:tc>
          <w:tcPr>
            <w:tcW w:w="700" w:type="dxa"/>
            <w:tcBorders>
              <w:top w:val="nil"/>
              <w:left w:val="nil"/>
              <w:bottom w:val="single" w:sz="4" w:space="0" w:color="auto"/>
              <w:right w:val="single" w:sz="4" w:space="0" w:color="auto"/>
            </w:tcBorders>
            <w:shd w:val="clear" w:color="000000" w:fill="D6DCE4"/>
            <w:noWrap/>
            <w:vAlign w:val="center"/>
            <w:hideMark/>
          </w:tcPr>
          <w:p w14:paraId="6BDE783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tbd</w:t>
            </w:r>
          </w:p>
        </w:tc>
        <w:tc>
          <w:tcPr>
            <w:tcW w:w="767" w:type="dxa"/>
            <w:tcBorders>
              <w:top w:val="nil"/>
              <w:left w:val="nil"/>
              <w:bottom w:val="single" w:sz="4" w:space="0" w:color="auto"/>
              <w:right w:val="single" w:sz="4" w:space="0" w:color="auto"/>
            </w:tcBorders>
            <w:shd w:val="clear" w:color="000000" w:fill="D6DCE4"/>
            <w:noWrap/>
            <w:vAlign w:val="center"/>
            <w:hideMark/>
          </w:tcPr>
          <w:p w14:paraId="50B6517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7D60DFC7"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0875DE6A"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ES</w:t>
            </w:r>
          </w:p>
        </w:tc>
      </w:tr>
      <w:tr w:rsidR="006825FF" w:rsidRPr="006825FF" w14:paraId="2F1D421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0079E95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5FF8BAF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NNS</w:t>
            </w:r>
          </w:p>
        </w:tc>
        <w:tc>
          <w:tcPr>
            <w:tcW w:w="2268" w:type="dxa"/>
            <w:tcBorders>
              <w:top w:val="nil"/>
              <w:left w:val="nil"/>
              <w:bottom w:val="single" w:sz="4" w:space="0" w:color="auto"/>
              <w:right w:val="single" w:sz="4" w:space="0" w:color="auto"/>
            </w:tcBorders>
            <w:shd w:val="clear" w:color="000000" w:fill="D6DCE4"/>
            <w:noWrap/>
            <w:vAlign w:val="center"/>
            <w:hideMark/>
          </w:tcPr>
          <w:p w14:paraId="642A71B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Northern North Sea</w:t>
            </w:r>
          </w:p>
        </w:tc>
        <w:tc>
          <w:tcPr>
            <w:tcW w:w="5953" w:type="dxa"/>
            <w:tcBorders>
              <w:top w:val="nil"/>
              <w:left w:val="nil"/>
              <w:bottom w:val="single" w:sz="4" w:space="0" w:color="auto"/>
              <w:right w:val="single" w:sz="4" w:space="0" w:color="auto"/>
            </w:tcBorders>
            <w:shd w:val="clear" w:color="000000" w:fill="D6DCE4"/>
            <w:vAlign w:val="center"/>
            <w:hideMark/>
          </w:tcPr>
          <w:p w14:paraId="4B58B3A6"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Seasonally stratified waters deeper than 35 m</w:t>
            </w:r>
          </w:p>
        </w:tc>
        <w:tc>
          <w:tcPr>
            <w:tcW w:w="860" w:type="dxa"/>
            <w:tcBorders>
              <w:top w:val="nil"/>
              <w:left w:val="nil"/>
              <w:bottom w:val="single" w:sz="4" w:space="0" w:color="auto"/>
              <w:right w:val="single" w:sz="4" w:space="0" w:color="auto"/>
            </w:tcBorders>
            <w:shd w:val="clear" w:color="000000" w:fill="D6DCE4"/>
            <w:noWrap/>
            <w:vAlign w:val="center"/>
            <w:hideMark/>
          </w:tcPr>
          <w:p w14:paraId="24F0B60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264253</w:t>
            </w:r>
          </w:p>
        </w:tc>
        <w:tc>
          <w:tcPr>
            <w:tcW w:w="700" w:type="dxa"/>
            <w:tcBorders>
              <w:top w:val="nil"/>
              <w:left w:val="nil"/>
              <w:bottom w:val="single" w:sz="4" w:space="0" w:color="auto"/>
              <w:right w:val="single" w:sz="4" w:space="0" w:color="auto"/>
            </w:tcBorders>
            <w:shd w:val="clear" w:color="000000" w:fill="D6DCE4"/>
            <w:noWrap/>
            <w:vAlign w:val="center"/>
            <w:hideMark/>
          </w:tcPr>
          <w:p w14:paraId="41850D4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121</w:t>
            </w:r>
          </w:p>
        </w:tc>
        <w:tc>
          <w:tcPr>
            <w:tcW w:w="767" w:type="dxa"/>
            <w:tcBorders>
              <w:top w:val="nil"/>
              <w:left w:val="nil"/>
              <w:bottom w:val="single" w:sz="4" w:space="0" w:color="auto"/>
              <w:right w:val="single" w:sz="4" w:space="0" w:color="auto"/>
            </w:tcBorders>
            <w:shd w:val="clear" w:color="000000" w:fill="D6DCE4"/>
            <w:noWrap/>
            <w:vAlign w:val="center"/>
            <w:hideMark/>
          </w:tcPr>
          <w:p w14:paraId="285A4C1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35</w:t>
            </w:r>
          </w:p>
        </w:tc>
        <w:tc>
          <w:tcPr>
            <w:tcW w:w="731" w:type="dxa"/>
            <w:tcBorders>
              <w:top w:val="nil"/>
              <w:left w:val="nil"/>
              <w:bottom w:val="single" w:sz="4" w:space="0" w:color="auto"/>
              <w:right w:val="single" w:sz="4" w:space="0" w:color="auto"/>
            </w:tcBorders>
            <w:shd w:val="clear" w:color="000000" w:fill="D6DCE4"/>
            <w:noWrap/>
            <w:vAlign w:val="center"/>
            <w:hideMark/>
          </w:tcPr>
          <w:p w14:paraId="2B268B5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II</w:t>
            </w:r>
          </w:p>
        </w:tc>
        <w:tc>
          <w:tcPr>
            <w:tcW w:w="628" w:type="dxa"/>
            <w:tcBorders>
              <w:top w:val="nil"/>
              <w:left w:val="nil"/>
              <w:bottom w:val="single" w:sz="4" w:space="0" w:color="auto"/>
              <w:right w:val="single" w:sz="4" w:space="0" w:color="auto"/>
            </w:tcBorders>
            <w:shd w:val="clear" w:color="000000" w:fill="D6DCE4"/>
            <w:noWrap/>
            <w:vAlign w:val="center"/>
            <w:hideMark/>
          </w:tcPr>
          <w:p w14:paraId="00BB5E4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UK, DK, SE, NO, DE</w:t>
            </w:r>
          </w:p>
        </w:tc>
      </w:tr>
      <w:tr w:rsidR="006825FF" w:rsidRPr="006825FF" w14:paraId="11FC87B0"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107DDE0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47BA835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NT</w:t>
            </w:r>
          </w:p>
        </w:tc>
        <w:tc>
          <w:tcPr>
            <w:tcW w:w="2268" w:type="dxa"/>
            <w:tcBorders>
              <w:top w:val="nil"/>
              <w:left w:val="nil"/>
              <w:bottom w:val="single" w:sz="4" w:space="0" w:color="auto"/>
              <w:right w:val="single" w:sz="4" w:space="0" w:color="auto"/>
            </w:tcBorders>
            <w:shd w:val="clear" w:color="000000" w:fill="D6DCE4"/>
            <w:noWrap/>
            <w:vAlign w:val="center"/>
            <w:hideMark/>
          </w:tcPr>
          <w:p w14:paraId="594CD6C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Norwegian Trench</w:t>
            </w:r>
          </w:p>
        </w:tc>
        <w:tc>
          <w:tcPr>
            <w:tcW w:w="5953" w:type="dxa"/>
            <w:tcBorders>
              <w:top w:val="nil"/>
              <w:left w:val="nil"/>
              <w:bottom w:val="single" w:sz="4" w:space="0" w:color="auto"/>
              <w:right w:val="single" w:sz="4" w:space="0" w:color="auto"/>
            </w:tcBorders>
            <w:shd w:val="clear" w:color="000000" w:fill="D6DCE4"/>
            <w:vAlign w:val="center"/>
            <w:hideMark/>
          </w:tcPr>
          <w:p w14:paraId="73D7E3A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Deeper than 100 m, permanently stratified</w:t>
            </w:r>
          </w:p>
        </w:tc>
        <w:tc>
          <w:tcPr>
            <w:tcW w:w="860" w:type="dxa"/>
            <w:tcBorders>
              <w:top w:val="nil"/>
              <w:left w:val="nil"/>
              <w:bottom w:val="single" w:sz="4" w:space="0" w:color="auto"/>
              <w:right w:val="single" w:sz="4" w:space="0" w:color="auto"/>
            </w:tcBorders>
            <w:shd w:val="clear" w:color="000000" w:fill="D6DCE4"/>
            <w:noWrap/>
            <w:vAlign w:val="center"/>
            <w:hideMark/>
          </w:tcPr>
          <w:p w14:paraId="3C44B42A"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59124</w:t>
            </w:r>
          </w:p>
        </w:tc>
        <w:tc>
          <w:tcPr>
            <w:tcW w:w="700" w:type="dxa"/>
            <w:tcBorders>
              <w:top w:val="nil"/>
              <w:left w:val="nil"/>
              <w:bottom w:val="single" w:sz="4" w:space="0" w:color="auto"/>
              <w:right w:val="single" w:sz="4" w:space="0" w:color="auto"/>
            </w:tcBorders>
            <w:shd w:val="clear" w:color="000000" w:fill="D6DCE4"/>
            <w:noWrap/>
            <w:vAlign w:val="center"/>
            <w:hideMark/>
          </w:tcPr>
          <w:p w14:paraId="32C081E8"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349</w:t>
            </w:r>
          </w:p>
        </w:tc>
        <w:tc>
          <w:tcPr>
            <w:tcW w:w="767" w:type="dxa"/>
            <w:tcBorders>
              <w:top w:val="nil"/>
              <w:left w:val="nil"/>
              <w:bottom w:val="single" w:sz="4" w:space="0" w:color="auto"/>
              <w:right w:val="single" w:sz="4" w:space="0" w:color="auto"/>
            </w:tcBorders>
            <w:shd w:val="clear" w:color="000000" w:fill="D6DCE4"/>
            <w:noWrap/>
            <w:vAlign w:val="center"/>
            <w:hideMark/>
          </w:tcPr>
          <w:p w14:paraId="1E44622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34.1</w:t>
            </w:r>
          </w:p>
        </w:tc>
        <w:tc>
          <w:tcPr>
            <w:tcW w:w="731" w:type="dxa"/>
            <w:tcBorders>
              <w:top w:val="nil"/>
              <w:left w:val="nil"/>
              <w:bottom w:val="single" w:sz="4" w:space="0" w:color="auto"/>
              <w:right w:val="single" w:sz="4" w:space="0" w:color="auto"/>
            </w:tcBorders>
            <w:shd w:val="clear" w:color="000000" w:fill="D6DCE4"/>
            <w:noWrap/>
            <w:vAlign w:val="center"/>
            <w:hideMark/>
          </w:tcPr>
          <w:p w14:paraId="4076F10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II</w:t>
            </w:r>
          </w:p>
        </w:tc>
        <w:tc>
          <w:tcPr>
            <w:tcW w:w="628" w:type="dxa"/>
            <w:tcBorders>
              <w:top w:val="nil"/>
              <w:left w:val="nil"/>
              <w:bottom w:val="single" w:sz="4" w:space="0" w:color="auto"/>
              <w:right w:val="single" w:sz="4" w:space="0" w:color="auto"/>
            </w:tcBorders>
            <w:shd w:val="clear" w:color="000000" w:fill="D6DCE4"/>
            <w:noWrap/>
            <w:vAlign w:val="center"/>
            <w:hideMark/>
          </w:tcPr>
          <w:p w14:paraId="2E085DA0"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NO, SE, DK</w:t>
            </w:r>
          </w:p>
        </w:tc>
      </w:tr>
      <w:tr w:rsidR="006825FF" w:rsidRPr="006825FF" w14:paraId="50617FAF"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1FEE262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0E39ACD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OC</w:t>
            </w:r>
          </w:p>
        </w:tc>
        <w:tc>
          <w:tcPr>
            <w:tcW w:w="2268" w:type="dxa"/>
            <w:tcBorders>
              <w:top w:val="nil"/>
              <w:left w:val="nil"/>
              <w:bottom w:val="single" w:sz="4" w:space="0" w:color="auto"/>
              <w:right w:val="single" w:sz="4" w:space="0" w:color="auto"/>
            </w:tcBorders>
            <w:shd w:val="clear" w:color="000000" w:fill="D6DCE4"/>
            <w:noWrap/>
            <w:vAlign w:val="center"/>
            <w:hideMark/>
          </w:tcPr>
          <w:p w14:paraId="55A94AD6"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Outer Coastal DEDK</w:t>
            </w:r>
          </w:p>
        </w:tc>
        <w:tc>
          <w:tcPr>
            <w:tcW w:w="5953" w:type="dxa"/>
            <w:tcBorders>
              <w:top w:val="nil"/>
              <w:left w:val="nil"/>
              <w:bottom w:val="single" w:sz="4" w:space="0" w:color="auto"/>
              <w:right w:val="single" w:sz="4" w:space="0" w:color="auto"/>
            </w:tcBorders>
            <w:shd w:val="clear" w:color="000000" w:fill="D6DCE4"/>
            <w:vAlign w:val="center"/>
            <w:hideMark/>
          </w:tcPr>
          <w:p w14:paraId="5AA8E88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Coastal waters along the coast of DE and DK. The landward boundary is formed by WFD water bodies and the 32 psu salinity level. The outer boundary is formed by the 34 psu salinity level.</w:t>
            </w:r>
          </w:p>
        </w:tc>
        <w:tc>
          <w:tcPr>
            <w:tcW w:w="860" w:type="dxa"/>
            <w:tcBorders>
              <w:top w:val="nil"/>
              <w:left w:val="nil"/>
              <w:bottom w:val="single" w:sz="4" w:space="0" w:color="auto"/>
              <w:right w:val="single" w:sz="4" w:space="0" w:color="auto"/>
            </w:tcBorders>
            <w:shd w:val="clear" w:color="000000" w:fill="D6DCE4"/>
            <w:noWrap/>
            <w:vAlign w:val="center"/>
            <w:hideMark/>
          </w:tcPr>
          <w:p w14:paraId="1CEE703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18540</w:t>
            </w:r>
          </w:p>
        </w:tc>
        <w:tc>
          <w:tcPr>
            <w:tcW w:w="700" w:type="dxa"/>
            <w:tcBorders>
              <w:top w:val="nil"/>
              <w:left w:val="nil"/>
              <w:bottom w:val="single" w:sz="4" w:space="0" w:color="auto"/>
              <w:right w:val="single" w:sz="4" w:space="0" w:color="auto"/>
            </w:tcBorders>
            <w:shd w:val="clear" w:color="000000" w:fill="D6DCE4"/>
            <w:noWrap/>
            <w:vAlign w:val="center"/>
            <w:hideMark/>
          </w:tcPr>
          <w:p w14:paraId="0254E08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27</w:t>
            </w:r>
          </w:p>
        </w:tc>
        <w:tc>
          <w:tcPr>
            <w:tcW w:w="767" w:type="dxa"/>
            <w:tcBorders>
              <w:top w:val="nil"/>
              <w:left w:val="nil"/>
              <w:bottom w:val="single" w:sz="4" w:space="0" w:color="auto"/>
              <w:right w:val="single" w:sz="4" w:space="0" w:color="auto"/>
            </w:tcBorders>
            <w:shd w:val="clear" w:color="000000" w:fill="D6DCE4"/>
            <w:noWrap/>
            <w:vAlign w:val="center"/>
            <w:hideMark/>
          </w:tcPr>
          <w:p w14:paraId="0D35708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5629F52F"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II</w:t>
            </w:r>
          </w:p>
        </w:tc>
        <w:tc>
          <w:tcPr>
            <w:tcW w:w="628" w:type="dxa"/>
            <w:tcBorders>
              <w:top w:val="nil"/>
              <w:left w:val="nil"/>
              <w:bottom w:val="single" w:sz="4" w:space="0" w:color="auto"/>
              <w:right w:val="single" w:sz="4" w:space="0" w:color="auto"/>
            </w:tcBorders>
            <w:shd w:val="clear" w:color="000000" w:fill="D6DCE4"/>
            <w:noWrap/>
            <w:vAlign w:val="center"/>
            <w:hideMark/>
          </w:tcPr>
          <w:p w14:paraId="22AFE143"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DE, DK</w:t>
            </w:r>
          </w:p>
        </w:tc>
      </w:tr>
      <w:tr w:rsidR="006825FF" w:rsidRPr="006825FF" w14:paraId="17DBB528"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6DCE4"/>
            <w:noWrap/>
            <w:vAlign w:val="center"/>
            <w:hideMark/>
          </w:tcPr>
          <w:p w14:paraId="476C4D3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River plumes</w:t>
            </w:r>
          </w:p>
        </w:tc>
        <w:tc>
          <w:tcPr>
            <w:tcW w:w="942" w:type="dxa"/>
            <w:tcBorders>
              <w:top w:val="nil"/>
              <w:left w:val="nil"/>
              <w:bottom w:val="single" w:sz="4" w:space="0" w:color="auto"/>
              <w:right w:val="single" w:sz="4" w:space="0" w:color="auto"/>
            </w:tcBorders>
            <w:shd w:val="clear" w:color="000000" w:fill="D6DCE4"/>
            <w:noWrap/>
            <w:vAlign w:val="center"/>
            <w:hideMark/>
          </w:tcPr>
          <w:p w14:paraId="20DA2ADE"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SAAP2</w:t>
            </w:r>
          </w:p>
        </w:tc>
        <w:tc>
          <w:tcPr>
            <w:tcW w:w="2268" w:type="dxa"/>
            <w:tcBorders>
              <w:top w:val="nil"/>
              <w:left w:val="nil"/>
              <w:bottom w:val="single" w:sz="4" w:space="0" w:color="auto"/>
              <w:right w:val="single" w:sz="4" w:space="0" w:color="auto"/>
            </w:tcBorders>
            <w:shd w:val="clear" w:color="000000" w:fill="D6DCE4"/>
            <w:noWrap/>
            <w:vAlign w:val="center"/>
            <w:hideMark/>
          </w:tcPr>
          <w:p w14:paraId="6CAB46DC"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Sudatlantic Area SUD-P2</w:t>
            </w:r>
          </w:p>
        </w:tc>
        <w:tc>
          <w:tcPr>
            <w:tcW w:w="5953" w:type="dxa"/>
            <w:tcBorders>
              <w:top w:val="nil"/>
              <w:left w:val="nil"/>
              <w:bottom w:val="single" w:sz="4" w:space="0" w:color="auto"/>
              <w:right w:val="single" w:sz="4" w:space="0" w:color="auto"/>
            </w:tcBorders>
            <w:shd w:val="clear" w:color="000000" w:fill="D6DCE4"/>
            <w:vAlign w:val="center"/>
            <w:hideMark/>
          </w:tcPr>
          <w:p w14:paraId="01CA5951"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Assessment area based on phytoplankton productivity: Transition area between coast and open sea, external.</w:t>
            </w:r>
          </w:p>
        </w:tc>
        <w:tc>
          <w:tcPr>
            <w:tcW w:w="860" w:type="dxa"/>
            <w:tcBorders>
              <w:top w:val="nil"/>
              <w:left w:val="nil"/>
              <w:bottom w:val="single" w:sz="4" w:space="0" w:color="auto"/>
              <w:right w:val="single" w:sz="4" w:space="0" w:color="auto"/>
            </w:tcBorders>
            <w:shd w:val="clear" w:color="000000" w:fill="D6DCE4"/>
            <w:noWrap/>
            <w:vAlign w:val="center"/>
            <w:hideMark/>
          </w:tcPr>
          <w:p w14:paraId="4AD12169"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916</w:t>
            </w:r>
          </w:p>
        </w:tc>
        <w:tc>
          <w:tcPr>
            <w:tcW w:w="700" w:type="dxa"/>
            <w:tcBorders>
              <w:top w:val="nil"/>
              <w:left w:val="nil"/>
              <w:bottom w:val="single" w:sz="4" w:space="0" w:color="auto"/>
              <w:right w:val="single" w:sz="4" w:space="0" w:color="auto"/>
            </w:tcBorders>
            <w:shd w:val="clear" w:color="000000" w:fill="D6DCE4"/>
            <w:noWrap/>
            <w:vAlign w:val="center"/>
            <w:hideMark/>
          </w:tcPr>
          <w:p w14:paraId="53FBA0B2"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eastAsia="en-GB"/>
              </w:rPr>
              <w:t>tbd</w:t>
            </w:r>
          </w:p>
        </w:tc>
        <w:tc>
          <w:tcPr>
            <w:tcW w:w="767" w:type="dxa"/>
            <w:tcBorders>
              <w:top w:val="nil"/>
              <w:left w:val="nil"/>
              <w:bottom w:val="single" w:sz="4" w:space="0" w:color="auto"/>
              <w:right w:val="single" w:sz="4" w:space="0" w:color="auto"/>
            </w:tcBorders>
            <w:shd w:val="clear" w:color="000000" w:fill="D6DCE4"/>
            <w:noWrap/>
            <w:vAlign w:val="center"/>
            <w:hideMark/>
          </w:tcPr>
          <w:p w14:paraId="7750BE8D"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w:t>
            </w:r>
          </w:p>
        </w:tc>
        <w:tc>
          <w:tcPr>
            <w:tcW w:w="731" w:type="dxa"/>
            <w:tcBorders>
              <w:top w:val="nil"/>
              <w:left w:val="nil"/>
              <w:bottom w:val="single" w:sz="4" w:space="0" w:color="auto"/>
              <w:right w:val="single" w:sz="4" w:space="0" w:color="auto"/>
            </w:tcBorders>
            <w:shd w:val="clear" w:color="000000" w:fill="D6DCE4"/>
            <w:noWrap/>
            <w:vAlign w:val="center"/>
            <w:hideMark/>
          </w:tcPr>
          <w:p w14:paraId="6FAB2B05"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IV</w:t>
            </w:r>
          </w:p>
        </w:tc>
        <w:tc>
          <w:tcPr>
            <w:tcW w:w="628" w:type="dxa"/>
            <w:tcBorders>
              <w:top w:val="nil"/>
              <w:left w:val="nil"/>
              <w:bottom w:val="single" w:sz="4" w:space="0" w:color="auto"/>
              <w:right w:val="single" w:sz="4" w:space="0" w:color="auto"/>
            </w:tcBorders>
            <w:shd w:val="clear" w:color="000000" w:fill="D6DCE4"/>
            <w:noWrap/>
            <w:vAlign w:val="center"/>
            <w:hideMark/>
          </w:tcPr>
          <w:p w14:paraId="149E4C24" w14:textId="77777777" w:rsidR="006825FF" w:rsidRPr="006825FF" w:rsidRDefault="006825FF" w:rsidP="006825FF">
            <w:pPr>
              <w:spacing w:before="0" w:after="0"/>
              <w:rPr>
                <w:rFonts w:ascii="Calibri" w:eastAsia="Times New Roman" w:hAnsi="Calibri" w:cs="Calibri"/>
                <w:sz w:val="18"/>
                <w:szCs w:val="18"/>
                <w:lang w:val="en-GB" w:eastAsia="en-GB"/>
              </w:rPr>
            </w:pPr>
            <w:r w:rsidRPr="006825FF">
              <w:rPr>
                <w:rFonts w:ascii="Calibri" w:eastAsia="Times New Roman" w:hAnsi="Calibri" w:cs="Calibri"/>
                <w:sz w:val="18"/>
                <w:szCs w:val="18"/>
                <w:lang w:val="en-GB" w:eastAsia="en-GB"/>
              </w:rPr>
              <w:t>ES</w:t>
            </w:r>
          </w:p>
        </w:tc>
      </w:tr>
      <w:tr w:rsidR="006825FF" w:rsidRPr="006825FF" w14:paraId="2210CB00" w14:textId="77777777" w:rsidTr="006825FF">
        <w:trPr>
          <w:trHeight w:val="92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62C17C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lastRenderedPageBreak/>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3C7757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CFR</w:t>
            </w:r>
          </w:p>
        </w:tc>
        <w:tc>
          <w:tcPr>
            <w:tcW w:w="2268" w:type="dxa"/>
            <w:tcBorders>
              <w:top w:val="nil"/>
              <w:left w:val="nil"/>
              <w:bottom w:val="single" w:sz="4" w:space="0" w:color="auto"/>
              <w:right w:val="single" w:sz="4" w:space="0" w:color="auto"/>
            </w:tcBorders>
            <w:shd w:val="clear" w:color="000000" w:fill="FFF2CC"/>
            <w:noWrap/>
            <w:vAlign w:val="center"/>
            <w:hideMark/>
          </w:tcPr>
          <w:p w14:paraId="05F3340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FR channel</w:t>
            </w:r>
          </w:p>
        </w:tc>
        <w:tc>
          <w:tcPr>
            <w:tcW w:w="5953" w:type="dxa"/>
            <w:tcBorders>
              <w:top w:val="nil"/>
              <w:left w:val="nil"/>
              <w:bottom w:val="single" w:sz="4" w:space="0" w:color="auto"/>
              <w:right w:val="single" w:sz="4" w:space="0" w:color="auto"/>
            </w:tcBorders>
            <w:shd w:val="clear" w:color="000000" w:fill="FFF2CC"/>
            <w:vAlign w:val="center"/>
            <w:hideMark/>
          </w:tcPr>
          <w:p w14:paraId="5E1E939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with freshwater influence along the French coast in the E part of the Channel. The landward boundaries are the WFD water bodies and the Seine plume, the outer boundaries are the well mixed central waters of the Channel. The area boundaries were based on combined modelling and data analysis work by SHOM (Cachera et al., 2019).</w:t>
            </w:r>
          </w:p>
        </w:tc>
        <w:tc>
          <w:tcPr>
            <w:tcW w:w="860" w:type="dxa"/>
            <w:tcBorders>
              <w:top w:val="nil"/>
              <w:left w:val="nil"/>
              <w:bottom w:val="single" w:sz="4" w:space="0" w:color="auto"/>
              <w:right w:val="single" w:sz="4" w:space="0" w:color="auto"/>
            </w:tcBorders>
            <w:shd w:val="clear" w:color="000000" w:fill="FFF2CC"/>
            <w:noWrap/>
            <w:vAlign w:val="center"/>
            <w:hideMark/>
          </w:tcPr>
          <w:p w14:paraId="56107BB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7176</w:t>
            </w:r>
          </w:p>
        </w:tc>
        <w:tc>
          <w:tcPr>
            <w:tcW w:w="700" w:type="dxa"/>
            <w:tcBorders>
              <w:top w:val="nil"/>
              <w:left w:val="nil"/>
              <w:bottom w:val="single" w:sz="4" w:space="0" w:color="auto"/>
              <w:right w:val="single" w:sz="4" w:space="0" w:color="auto"/>
            </w:tcBorders>
            <w:shd w:val="clear" w:color="000000" w:fill="FFF2CC"/>
            <w:noWrap/>
            <w:vAlign w:val="center"/>
            <w:hideMark/>
          </w:tcPr>
          <w:p w14:paraId="51670B5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33</w:t>
            </w:r>
          </w:p>
        </w:tc>
        <w:tc>
          <w:tcPr>
            <w:tcW w:w="767" w:type="dxa"/>
            <w:tcBorders>
              <w:top w:val="nil"/>
              <w:left w:val="nil"/>
              <w:bottom w:val="single" w:sz="4" w:space="0" w:color="auto"/>
              <w:right w:val="single" w:sz="4" w:space="0" w:color="auto"/>
            </w:tcBorders>
            <w:shd w:val="clear" w:color="000000" w:fill="FFF2CC"/>
            <w:noWrap/>
            <w:vAlign w:val="center"/>
            <w:hideMark/>
          </w:tcPr>
          <w:p w14:paraId="792B367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34.2</w:t>
            </w:r>
          </w:p>
        </w:tc>
        <w:tc>
          <w:tcPr>
            <w:tcW w:w="731" w:type="dxa"/>
            <w:tcBorders>
              <w:top w:val="nil"/>
              <w:left w:val="nil"/>
              <w:bottom w:val="single" w:sz="4" w:space="0" w:color="auto"/>
              <w:right w:val="single" w:sz="4" w:space="0" w:color="auto"/>
            </w:tcBorders>
            <w:shd w:val="clear" w:color="000000" w:fill="FFF2CC"/>
            <w:noWrap/>
            <w:vAlign w:val="center"/>
            <w:hideMark/>
          </w:tcPr>
          <w:p w14:paraId="09D4501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311231E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w:t>
            </w:r>
          </w:p>
        </w:tc>
      </w:tr>
      <w:tr w:rsidR="006825FF" w:rsidRPr="006825FF" w14:paraId="1B4D5E8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79488A4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6EEE9AD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CIRL</w:t>
            </w:r>
          </w:p>
        </w:tc>
        <w:tc>
          <w:tcPr>
            <w:tcW w:w="2268" w:type="dxa"/>
            <w:tcBorders>
              <w:top w:val="nil"/>
              <w:left w:val="nil"/>
              <w:bottom w:val="single" w:sz="4" w:space="0" w:color="auto"/>
              <w:right w:val="single" w:sz="4" w:space="0" w:color="auto"/>
            </w:tcBorders>
            <w:shd w:val="clear" w:color="000000" w:fill="FFF2CC"/>
            <w:noWrap/>
            <w:vAlign w:val="center"/>
            <w:hideMark/>
          </w:tcPr>
          <w:p w14:paraId="52B809E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IRL 3</w:t>
            </w:r>
          </w:p>
        </w:tc>
        <w:tc>
          <w:tcPr>
            <w:tcW w:w="5953" w:type="dxa"/>
            <w:tcBorders>
              <w:top w:val="nil"/>
              <w:left w:val="nil"/>
              <w:bottom w:val="single" w:sz="4" w:space="0" w:color="auto"/>
              <w:right w:val="single" w:sz="4" w:space="0" w:color="auto"/>
            </w:tcBorders>
            <w:shd w:val="clear" w:color="000000" w:fill="FFF2CC"/>
            <w:vAlign w:val="center"/>
            <w:hideMark/>
          </w:tcPr>
          <w:p w14:paraId="7960688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on E coast of Ireland (Irish Sea). The landward boundaries are the WFD water bodies, the outer boundary is the Irish Sea assessment area.</w:t>
            </w:r>
          </w:p>
        </w:tc>
        <w:tc>
          <w:tcPr>
            <w:tcW w:w="860" w:type="dxa"/>
            <w:tcBorders>
              <w:top w:val="nil"/>
              <w:left w:val="nil"/>
              <w:bottom w:val="single" w:sz="4" w:space="0" w:color="auto"/>
              <w:right w:val="single" w:sz="4" w:space="0" w:color="auto"/>
            </w:tcBorders>
            <w:shd w:val="clear" w:color="000000" w:fill="FFF2CC"/>
            <w:noWrap/>
            <w:vAlign w:val="center"/>
            <w:hideMark/>
          </w:tcPr>
          <w:p w14:paraId="0297418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9583</w:t>
            </w:r>
          </w:p>
        </w:tc>
        <w:tc>
          <w:tcPr>
            <w:tcW w:w="700" w:type="dxa"/>
            <w:tcBorders>
              <w:top w:val="nil"/>
              <w:left w:val="nil"/>
              <w:bottom w:val="single" w:sz="4" w:space="0" w:color="auto"/>
              <w:right w:val="single" w:sz="4" w:space="0" w:color="auto"/>
            </w:tcBorders>
            <w:shd w:val="clear" w:color="000000" w:fill="FFF2CC"/>
            <w:noWrap/>
            <w:vAlign w:val="center"/>
            <w:hideMark/>
          </w:tcPr>
          <w:p w14:paraId="7FB90E3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65</w:t>
            </w:r>
          </w:p>
        </w:tc>
        <w:tc>
          <w:tcPr>
            <w:tcW w:w="767" w:type="dxa"/>
            <w:tcBorders>
              <w:top w:val="nil"/>
              <w:left w:val="nil"/>
              <w:bottom w:val="single" w:sz="4" w:space="0" w:color="auto"/>
              <w:right w:val="single" w:sz="4" w:space="0" w:color="auto"/>
            </w:tcBorders>
            <w:shd w:val="clear" w:color="000000" w:fill="FFF2CC"/>
            <w:noWrap/>
            <w:vAlign w:val="center"/>
            <w:hideMark/>
          </w:tcPr>
          <w:p w14:paraId="7964173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w:t>
            </w:r>
          </w:p>
        </w:tc>
        <w:tc>
          <w:tcPr>
            <w:tcW w:w="731" w:type="dxa"/>
            <w:tcBorders>
              <w:top w:val="nil"/>
              <w:left w:val="nil"/>
              <w:bottom w:val="single" w:sz="4" w:space="0" w:color="auto"/>
              <w:right w:val="single" w:sz="4" w:space="0" w:color="auto"/>
            </w:tcBorders>
            <w:shd w:val="clear" w:color="000000" w:fill="FFF2CC"/>
            <w:noWrap/>
            <w:vAlign w:val="center"/>
            <w:hideMark/>
          </w:tcPr>
          <w:p w14:paraId="0FDBC73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III</w:t>
            </w:r>
          </w:p>
        </w:tc>
        <w:tc>
          <w:tcPr>
            <w:tcW w:w="628" w:type="dxa"/>
            <w:tcBorders>
              <w:top w:val="nil"/>
              <w:left w:val="nil"/>
              <w:bottom w:val="single" w:sz="4" w:space="0" w:color="auto"/>
              <w:right w:val="single" w:sz="4" w:space="0" w:color="auto"/>
            </w:tcBorders>
            <w:shd w:val="clear" w:color="000000" w:fill="FFF2CC"/>
            <w:noWrap/>
            <w:vAlign w:val="center"/>
            <w:hideMark/>
          </w:tcPr>
          <w:p w14:paraId="7D75626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IE</w:t>
            </w:r>
          </w:p>
        </w:tc>
      </w:tr>
      <w:tr w:rsidR="006825FF" w:rsidRPr="006825FF" w14:paraId="26E9859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022FB7E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7BAF23D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CNOR1</w:t>
            </w:r>
          </w:p>
        </w:tc>
        <w:tc>
          <w:tcPr>
            <w:tcW w:w="2268" w:type="dxa"/>
            <w:tcBorders>
              <w:top w:val="nil"/>
              <w:left w:val="nil"/>
              <w:bottom w:val="single" w:sz="4" w:space="0" w:color="auto"/>
              <w:right w:val="single" w:sz="4" w:space="0" w:color="auto"/>
            </w:tcBorders>
            <w:shd w:val="clear" w:color="000000" w:fill="FFF2CC"/>
            <w:noWrap/>
            <w:vAlign w:val="center"/>
            <w:hideMark/>
          </w:tcPr>
          <w:p w14:paraId="08FE997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NOR 1</w:t>
            </w:r>
          </w:p>
        </w:tc>
        <w:tc>
          <w:tcPr>
            <w:tcW w:w="5953" w:type="dxa"/>
            <w:tcBorders>
              <w:top w:val="nil"/>
              <w:left w:val="nil"/>
              <w:bottom w:val="single" w:sz="4" w:space="0" w:color="auto"/>
              <w:right w:val="single" w:sz="4" w:space="0" w:color="auto"/>
            </w:tcBorders>
            <w:shd w:val="clear" w:color="000000" w:fill="FFF2CC"/>
            <w:vAlign w:val="center"/>
            <w:hideMark/>
          </w:tcPr>
          <w:p w14:paraId="2A51669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The landward boundary is the WFD water bodies. Seasonally stratified coastal waters, outer boundary is the 250m depth contour.</w:t>
            </w:r>
          </w:p>
        </w:tc>
        <w:tc>
          <w:tcPr>
            <w:tcW w:w="860" w:type="dxa"/>
            <w:tcBorders>
              <w:top w:val="nil"/>
              <w:left w:val="nil"/>
              <w:bottom w:val="single" w:sz="4" w:space="0" w:color="auto"/>
              <w:right w:val="single" w:sz="4" w:space="0" w:color="auto"/>
            </w:tcBorders>
            <w:shd w:val="clear" w:color="000000" w:fill="FFF2CC"/>
            <w:noWrap/>
            <w:vAlign w:val="center"/>
            <w:hideMark/>
          </w:tcPr>
          <w:p w14:paraId="0FD9368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8741</w:t>
            </w:r>
          </w:p>
        </w:tc>
        <w:tc>
          <w:tcPr>
            <w:tcW w:w="700" w:type="dxa"/>
            <w:tcBorders>
              <w:top w:val="nil"/>
              <w:left w:val="nil"/>
              <w:bottom w:val="single" w:sz="4" w:space="0" w:color="auto"/>
              <w:right w:val="single" w:sz="4" w:space="0" w:color="auto"/>
            </w:tcBorders>
            <w:shd w:val="clear" w:color="000000" w:fill="FFF2CC"/>
            <w:noWrap/>
            <w:vAlign w:val="center"/>
            <w:hideMark/>
          </w:tcPr>
          <w:p w14:paraId="1B0C943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190</w:t>
            </w:r>
          </w:p>
        </w:tc>
        <w:tc>
          <w:tcPr>
            <w:tcW w:w="767" w:type="dxa"/>
            <w:tcBorders>
              <w:top w:val="nil"/>
              <w:left w:val="nil"/>
              <w:bottom w:val="single" w:sz="4" w:space="0" w:color="auto"/>
              <w:right w:val="single" w:sz="4" w:space="0" w:color="auto"/>
            </w:tcBorders>
            <w:shd w:val="clear" w:color="000000" w:fill="FFF2CC"/>
            <w:noWrap/>
            <w:vAlign w:val="center"/>
            <w:hideMark/>
          </w:tcPr>
          <w:p w14:paraId="4C9E889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34.3</w:t>
            </w:r>
          </w:p>
        </w:tc>
        <w:tc>
          <w:tcPr>
            <w:tcW w:w="731" w:type="dxa"/>
            <w:tcBorders>
              <w:top w:val="nil"/>
              <w:left w:val="nil"/>
              <w:bottom w:val="single" w:sz="4" w:space="0" w:color="auto"/>
              <w:right w:val="single" w:sz="4" w:space="0" w:color="auto"/>
            </w:tcBorders>
            <w:shd w:val="clear" w:color="000000" w:fill="FFF2CC"/>
            <w:noWrap/>
            <w:vAlign w:val="center"/>
            <w:hideMark/>
          </w:tcPr>
          <w:p w14:paraId="78EA48A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4EF1A23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NO</w:t>
            </w:r>
          </w:p>
        </w:tc>
      </w:tr>
      <w:tr w:rsidR="006825FF" w:rsidRPr="006825FF" w14:paraId="723374F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67B657E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5958252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CNOR2</w:t>
            </w:r>
          </w:p>
        </w:tc>
        <w:tc>
          <w:tcPr>
            <w:tcW w:w="2268" w:type="dxa"/>
            <w:tcBorders>
              <w:top w:val="nil"/>
              <w:left w:val="nil"/>
              <w:bottom w:val="single" w:sz="4" w:space="0" w:color="auto"/>
              <w:right w:val="single" w:sz="4" w:space="0" w:color="auto"/>
            </w:tcBorders>
            <w:shd w:val="clear" w:color="000000" w:fill="FFF2CC"/>
            <w:noWrap/>
            <w:vAlign w:val="center"/>
            <w:hideMark/>
          </w:tcPr>
          <w:p w14:paraId="2595D48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NOR 2</w:t>
            </w:r>
          </w:p>
        </w:tc>
        <w:tc>
          <w:tcPr>
            <w:tcW w:w="5953" w:type="dxa"/>
            <w:tcBorders>
              <w:top w:val="nil"/>
              <w:left w:val="nil"/>
              <w:bottom w:val="single" w:sz="4" w:space="0" w:color="auto"/>
              <w:right w:val="single" w:sz="4" w:space="0" w:color="auto"/>
            </w:tcBorders>
            <w:shd w:val="clear" w:color="000000" w:fill="FFF2CC"/>
            <w:vAlign w:val="center"/>
            <w:hideMark/>
          </w:tcPr>
          <w:p w14:paraId="00083CC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The landward boundary is the WFD water bodies. Seasonally stratified coastal waters, outer boundary is the 250m depth contour.</w:t>
            </w:r>
          </w:p>
        </w:tc>
        <w:tc>
          <w:tcPr>
            <w:tcW w:w="860" w:type="dxa"/>
            <w:tcBorders>
              <w:top w:val="nil"/>
              <w:left w:val="nil"/>
              <w:bottom w:val="single" w:sz="4" w:space="0" w:color="auto"/>
              <w:right w:val="single" w:sz="4" w:space="0" w:color="auto"/>
            </w:tcBorders>
            <w:shd w:val="clear" w:color="000000" w:fill="FFF2CC"/>
            <w:noWrap/>
            <w:vAlign w:val="center"/>
            <w:hideMark/>
          </w:tcPr>
          <w:p w14:paraId="57116FE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2606</w:t>
            </w:r>
          </w:p>
        </w:tc>
        <w:tc>
          <w:tcPr>
            <w:tcW w:w="700" w:type="dxa"/>
            <w:tcBorders>
              <w:top w:val="nil"/>
              <w:left w:val="nil"/>
              <w:bottom w:val="single" w:sz="4" w:space="0" w:color="auto"/>
              <w:right w:val="single" w:sz="4" w:space="0" w:color="auto"/>
            </w:tcBorders>
            <w:shd w:val="clear" w:color="000000" w:fill="FFF2CC"/>
            <w:noWrap/>
            <w:vAlign w:val="center"/>
            <w:hideMark/>
          </w:tcPr>
          <w:p w14:paraId="52FF765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217</w:t>
            </w:r>
          </w:p>
        </w:tc>
        <w:tc>
          <w:tcPr>
            <w:tcW w:w="767" w:type="dxa"/>
            <w:tcBorders>
              <w:top w:val="nil"/>
              <w:left w:val="nil"/>
              <w:bottom w:val="single" w:sz="4" w:space="0" w:color="auto"/>
              <w:right w:val="single" w:sz="4" w:space="0" w:color="auto"/>
            </w:tcBorders>
            <w:shd w:val="clear" w:color="000000" w:fill="FFF2CC"/>
            <w:noWrap/>
            <w:vAlign w:val="center"/>
            <w:hideMark/>
          </w:tcPr>
          <w:p w14:paraId="2D6BEBA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w:t>
            </w:r>
          </w:p>
        </w:tc>
        <w:tc>
          <w:tcPr>
            <w:tcW w:w="731" w:type="dxa"/>
            <w:tcBorders>
              <w:top w:val="nil"/>
              <w:left w:val="nil"/>
              <w:bottom w:val="single" w:sz="4" w:space="0" w:color="auto"/>
              <w:right w:val="single" w:sz="4" w:space="0" w:color="auto"/>
            </w:tcBorders>
            <w:shd w:val="clear" w:color="000000" w:fill="FFF2CC"/>
            <w:noWrap/>
            <w:vAlign w:val="center"/>
            <w:hideMark/>
          </w:tcPr>
          <w:p w14:paraId="203B5B4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202979D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NO</w:t>
            </w:r>
          </w:p>
        </w:tc>
      </w:tr>
      <w:tr w:rsidR="006825FF" w:rsidRPr="006825FF" w14:paraId="1A425DB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3B1BBF8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28EE80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CNOR3</w:t>
            </w:r>
          </w:p>
        </w:tc>
        <w:tc>
          <w:tcPr>
            <w:tcW w:w="2268" w:type="dxa"/>
            <w:tcBorders>
              <w:top w:val="nil"/>
              <w:left w:val="nil"/>
              <w:bottom w:val="single" w:sz="4" w:space="0" w:color="auto"/>
              <w:right w:val="single" w:sz="4" w:space="0" w:color="auto"/>
            </w:tcBorders>
            <w:shd w:val="clear" w:color="000000" w:fill="FFF2CC"/>
            <w:noWrap/>
            <w:vAlign w:val="center"/>
            <w:hideMark/>
          </w:tcPr>
          <w:p w14:paraId="2F67E31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NOR 3</w:t>
            </w:r>
          </w:p>
        </w:tc>
        <w:tc>
          <w:tcPr>
            <w:tcW w:w="5953" w:type="dxa"/>
            <w:tcBorders>
              <w:top w:val="nil"/>
              <w:left w:val="nil"/>
              <w:bottom w:val="single" w:sz="4" w:space="0" w:color="auto"/>
              <w:right w:val="single" w:sz="4" w:space="0" w:color="auto"/>
            </w:tcBorders>
            <w:shd w:val="clear" w:color="000000" w:fill="FFF2CC"/>
            <w:vAlign w:val="center"/>
            <w:hideMark/>
          </w:tcPr>
          <w:p w14:paraId="3F7F593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The landward boundary is the WFD water bodies. Seasonally stratified coastal waters, outer boundary is the 250m depth contour</w:t>
            </w:r>
          </w:p>
        </w:tc>
        <w:tc>
          <w:tcPr>
            <w:tcW w:w="860" w:type="dxa"/>
            <w:tcBorders>
              <w:top w:val="nil"/>
              <w:left w:val="nil"/>
              <w:bottom w:val="single" w:sz="4" w:space="0" w:color="auto"/>
              <w:right w:val="single" w:sz="4" w:space="0" w:color="auto"/>
            </w:tcBorders>
            <w:shd w:val="clear" w:color="000000" w:fill="FFF2CC"/>
            <w:noWrap/>
            <w:vAlign w:val="center"/>
            <w:hideMark/>
          </w:tcPr>
          <w:p w14:paraId="138F9DB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1733</w:t>
            </w:r>
          </w:p>
        </w:tc>
        <w:tc>
          <w:tcPr>
            <w:tcW w:w="700" w:type="dxa"/>
            <w:tcBorders>
              <w:top w:val="nil"/>
              <w:left w:val="nil"/>
              <w:bottom w:val="single" w:sz="4" w:space="0" w:color="auto"/>
              <w:right w:val="single" w:sz="4" w:space="0" w:color="auto"/>
            </w:tcBorders>
            <w:shd w:val="clear" w:color="000000" w:fill="FFF2CC"/>
            <w:noWrap/>
            <w:vAlign w:val="center"/>
            <w:hideMark/>
          </w:tcPr>
          <w:p w14:paraId="07A1D7B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171</w:t>
            </w:r>
          </w:p>
        </w:tc>
        <w:tc>
          <w:tcPr>
            <w:tcW w:w="767" w:type="dxa"/>
            <w:tcBorders>
              <w:top w:val="nil"/>
              <w:left w:val="nil"/>
              <w:bottom w:val="single" w:sz="4" w:space="0" w:color="auto"/>
              <w:right w:val="single" w:sz="4" w:space="0" w:color="auto"/>
            </w:tcBorders>
            <w:shd w:val="clear" w:color="000000" w:fill="FFF2CC"/>
            <w:noWrap/>
            <w:vAlign w:val="center"/>
            <w:hideMark/>
          </w:tcPr>
          <w:p w14:paraId="66DE1CD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32.4</w:t>
            </w:r>
          </w:p>
        </w:tc>
        <w:tc>
          <w:tcPr>
            <w:tcW w:w="731" w:type="dxa"/>
            <w:tcBorders>
              <w:top w:val="nil"/>
              <w:left w:val="nil"/>
              <w:bottom w:val="single" w:sz="4" w:space="0" w:color="auto"/>
              <w:right w:val="single" w:sz="4" w:space="0" w:color="auto"/>
            </w:tcBorders>
            <w:shd w:val="clear" w:color="000000" w:fill="FFF2CC"/>
            <w:noWrap/>
            <w:vAlign w:val="center"/>
            <w:hideMark/>
          </w:tcPr>
          <w:p w14:paraId="720634C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7322D49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NO</w:t>
            </w:r>
          </w:p>
        </w:tc>
      </w:tr>
      <w:tr w:rsidR="006825FF" w:rsidRPr="006825FF" w14:paraId="11966377"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7F127D5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035E509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CUK1</w:t>
            </w:r>
          </w:p>
        </w:tc>
        <w:tc>
          <w:tcPr>
            <w:tcW w:w="2268" w:type="dxa"/>
            <w:tcBorders>
              <w:top w:val="nil"/>
              <w:left w:val="nil"/>
              <w:bottom w:val="single" w:sz="4" w:space="0" w:color="auto"/>
              <w:right w:val="single" w:sz="4" w:space="0" w:color="auto"/>
            </w:tcBorders>
            <w:shd w:val="clear" w:color="000000" w:fill="FFF2CC"/>
            <w:noWrap/>
            <w:vAlign w:val="center"/>
            <w:hideMark/>
          </w:tcPr>
          <w:p w14:paraId="544755E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UK 1</w:t>
            </w:r>
          </w:p>
        </w:tc>
        <w:tc>
          <w:tcPr>
            <w:tcW w:w="5953" w:type="dxa"/>
            <w:tcBorders>
              <w:top w:val="nil"/>
              <w:left w:val="nil"/>
              <w:bottom w:val="single" w:sz="4" w:space="0" w:color="auto"/>
              <w:right w:val="single" w:sz="4" w:space="0" w:color="auto"/>
            </w:tcBorders>
            <w:shd w:val="clear" w:color="000000" w:fill="FFF2CC"/>
            <w:vAlign w:val="center"/>
            <w:hideMark/>
          </w:tcPr>
          <w:p w14:paraId="4FB7419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SW of England, permanently mixed (Nr of consecutive months stratified = 0, Nr of consecutive months mixed &gt;= 10) and intermittently stratified (Nr of consecutive months stratified &gt;=1 and &lt; 3, Nr of consecutive months mixed &gt;= 6). The landward boundary is the WFD water bodies, the outer boundary are the seasonally stratified waters in the Celtic Seas.</w:t>
            </w:r>
          </w:p>
        </w:tc>
        <w:tc>
          <w:tcPr>
            <w:tcW w:w="860" w:type="dxa"/>
            <w:tcBorders>
              <w:top w:val="nil"/>
              <w:left w:val="nil"/>
              <w:bottom w:val="single" w:sz="4" w:space="0" w:color="auto"/>
              <w:right w:val="single" w:sz="4" w:space="0" w:color="auto"/>
            </w:tcBorders>
            <w:shd w:val="clear" w:color="000000" w:fill="FFF2CC"/>
            <w:noWrap/>
            <w:vAlign w:val="center"/>
            <w:hideMark/>
          </w:tcPr>
          <w:p w14:paraId="445CA41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10697</w:t>
            </w:r>
          </w:p>
        </w:tc>
        <w:tc>
          <w:tcPr>
            <w:tcW w:w="700" w:type="dxa"/>
            <w:tcBorders>
              <w:top w:val="nil"/>
              <w:left w:val="nil"/>
              <w:bottom w:val="single" w:sz="4" w:space="0" w:color="auto"/>
              <w:right w:val="single" w:sz="4" w:space="0" w:color="auto"/>
            </w:tcBorders>
            <w:shd w:val="clear" w:color="000000" w:fill="FFF2CC"/>
            <w:noWrap/>
            <w:vAlign w:val="center"/>
            <w:hideMark/>
          </w:tcPr>
          <w:p w14:paraId="3110A6F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60</w:t>
            </w:r>
          </w:p>
        </w:tc>
        <w:tc>
          <w:tcPr>
            <w:tcW w:w="767" w:type="dxa"/>
            <w:tcBorders>
              <w:top w:val="nil"/>
              <w:left w:val="nil"/>
              <w:bottom w:val="single" w:sz="4" w:space="0" w:color="auto"/>
              <w:right w:val="single" w:sz="4" w:space="0" w:color="auto"/>
            </w:tcBorders>
            <w:shd w:val="clear" w:color="000000" w:fill="FFF2CC"/>
            <w:noWrap/>
            <w:vAlign w:val="center"/>
            <w:hideMark/>
          </w:tcPr>
          <w:p w14:paraId="66E2B8B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34.5</w:t>
            </w:r>
          </w:p>
        </w:tc>
        <w:tc>
          <w:tcPr>
            <w:tcW w:w="731" w:type="dxa"/>
            <w:tcBorders>
              <w:top w:val="nil"/>
              <w:left w:val="nil"/>
              <w:bottom w:val="single" w:sz="4" w:space="0" w:color="auto"/>
              <w:right w:val="single" w:sz="4" w:space="0" w:color="auto"/>
            </w:tcBorders>
            <w:shd w:val="clear" w:color="000000" w:fill="FFF2CC"/>
            <w:noWrap/>
            <w:vAlign w:val="center"/>
            <w:hideMark/>
          </w:tcPr>
          <w:p w14:paraId="22D5DE1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III</w:t>
            </w:r>
          </w:p>
        </w:tc>
        <w:tc>
          <w:tcPr>
            <w:tcW w:w="628" w:type="dxa"/>
            <w:tcBorders>
              <w:top w:val="nil"/>
              <w:left w:val="nil"/>
              <w:bottom w:val="single" w:sz="4" w:space="0" w:color="auto"/>
              <w:right w:val="single" w:sz="4" w:space="0" w:color="auto"/>
            </w:tcBorders>
            <w:shd w:val="clear" w:color="000000" w:fill="FFF2CC"/>
            <w:noWrap/>
            <w:vAlign w:val="center"/>
            <w:hideMark/>
          </w:tcPr>
          <w:p w14:paraId="01B4D68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0601E356"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51729A1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48DFDE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CUKC</w:t>
            </w:r>
          </w:p>
        </w:tc>
        <w:tc>
          <w:tcPr>
            <w:tcW w:w="2268" w:type="dxa"/>
            <w:tcBorders>
              <w:top w:val="nil"/>
              <w:left w:val="nil"/>
              <w:bottom w:val="single" w:sz="4" w:space="0" w:color="auto"/>
              <w:right w:val="single" w:sz="4" w:space="0" w:color="auto"/>
            </w:tcBorders>
            <w:shd w:val="clear" w:color="000000" w:fill="FFF2CC"/>
            <w:noWrap/>
            <w:vAlign w:val="center"/>
            <w:hideMark/>
          </w:tcPr>
          <w:p w14:paraId="465284C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UK channel</w:t>
            </w:r>
          </w:p>
        </w:tc>
        <w:tc>
          <w:tcPr>
            <w:tcW w:w="5953" w:type="dxa"/>
            <w:tcBorders>
              <w:top w:val="nil"/>
              <w:left w:val="nil"/>
              <w:bottom w:val="single" w:sz="4" w:space="0" w:color="auto"/>
              <w:right w:val="single" w:sz="4" w:space="0" w:color="auto"/>
            </w:tcBorders>
            <w:shd w:val="clear" w:color="000000" w:fill="FFF2CC"/>
            <w:vAlign w:val="center"/>
            <w:hideMark/>
          </w:tcPr>
          <w:p w14:paraId="66BD65F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 xml:space="preserve">Coastal waters with freshwater influence along the English coast in the E part of the Channel. The landward boundaries are the WFD water bodies, the outer boundaries are the 50 m depth contour. </w:t>
            </w:r>
          </w:p>
        </w:tc>
        <w:tc>
          <w:tcPr>
            <w:tcW w:w="860" w:type="dxa"/>
            <w:tcBorders>
              <w:top w:val="nil"/>
              <w:left w:val="nil"/>
              <w:bottom w:val="single" w:sz="4" w:space="0" w:color="auto"/>
              <w:right w:val="single" w:sz="4" w:space="0" w:color="auto"/>
            </w:tcBorders>
            <w:shd w:val="clear" w:color="000000" w:fill="FFF2CC"/>
            <w:noWrap/>
            <w:vAlign w:val="center"/>
            <w:hideMark/>
          </w:tcPr>
          <w:p w14:paraId="0AFCB49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6305</w:t>
            </w:r>
          </w:p>
        </w:tc>
        <w:tc>
          <w:tcPr>
            <w:tcW w:w="700" w:type="dxa"/>
            <w:tcBorders>
              <w:top w:val="nil"/>
              <w:left w:val="nil"/>
              <w:bottom w:val="single" w:sz="4" w:space="0" w:color="auto"/>
              <w:right w:val="single" w:sz="4" w:space="0" w:color="auto"/>
            </w:tcBorders>
            <w:shd w:val="clear" w:color="000000" w:fill="FFF2CC"/>
            <w:noWrap/>
            <w:vAlign w:val="center"/>
            <w:hideMark/>
          </w:tcPr>
          <w:p w14:paraId="1BA960E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37</w:t>
            </w:r>
          </w:p>
        </w:tc>
        <w:tc>
          <w:tcPr>
            <w:tcW w:w="767" w:type="dxa"/>
            <w:tcBorders>
              <w:top w:val="nil"/>
              <w:left w:val="nil"/>
              <w:bottom w:val="single" w:sz="4" w:space="0" w:color="auto"/>
              <w:right w:val="single" w:sz="4" w:space="0" w:color="auto"/>
            </w:tcBorders>
            <w:shd w:val="clear" w:color="000000" w:fill="FFF2CC"/>
            <w:noWrap/>
            <w:vAlign w:val="center"/>
            <w:hideMark/>
          </w:tcPr>
          <w:p w14:paraId="4BF8039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34.8</w:t>
            </w:r>
          </w:p>
        </w:tc>
        <w:tc>
          <w:tcPr>
            <w:tcW w:w="731" w:type="dxa"/>
            <w:tcBorders>
              <w:top w:val="nil"/>
              <w:left w:val="nil"/>
              <w:bottom w:val="single" w:sz="4" w:space="0" w:color="auto"/>
              <w:right w:val="single" w:sz="4" w:space="0" w:color="auto"/>
            </w:tcBorders>
            <w:shd w:val="clear" w:color="000000" w:fill="FFF2CC"/>
            <w:noWrap/>
            <w:vAlign w:val="center"/>
            <w:hideMark/>
          </w:tcPr>
          <w:p w14:paraId="04ADB69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1743257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59EE9639"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117B133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99BF41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CWCC</w:t>
            </w:r>
          </w:p>
        </w:tc>
        <w:tc>
          <w:tcPr>
            <w:tcW w:w="2268" w:type="dxa"/>
            <w:tcBorders>
              <w:top w:val="nil"/>
              <w:left w:val="nil"/>
              <w:bottom w:val="single" w:sz="4" w:space="0" w:color="auto"/>
              <w:right w:val="single" w:sz="4" w:space="0" w:color="auto"/>
            </w:tcBorders>
            <w:shd w:val="clear" w:color="000000" w:fill="FFF2CC"/>
            <w:noWrap/>
            <w:vAlign w:val="center"/>
            <w:hideMark/>
          </w:tcPr>
          <w:p w14:paraId="2EEF5C5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CC</w:t>
            </w:r>
          </w:p>
        </w:tc>
        <w:tc>
          <w:tcPr>
            <w:tcW w:w="5953" w:type="dxa"/>
            <w:tcBorders>
              <w:top w:val="nil"/>
              <w:left w:val="nil"/>
              <w:bottom w:val="single" w:sz="4" w:space="0" w:color="auto"/>
              <w:right w:val="single" w:sz="4" w:space="0" w:color="auto"/>
            </w:tcBorders>
            <w:shd w:val="clear" w:color="000000" w:fill="FFF2CC"/>
            <w:vAlign w:val="center"/>
            <w:hideMark/>
          </w:tcPr>
          <w:p w14:paraId="2FB71EF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up to 100m contour for the area from Ponta da Piedade in the western part of the Algarve to the Guadiana estuary, on the Southeastern border with Spain (C area)</w:t>
            </w:r>
          </w:p>
        </w:tc>
        <w:tc>
          <w:tcPr>
            <w:tcW w:w="860" w:type="dxa"/>
            <w:tcBorders>
              <w:top w:val="nil"/>
              <w:left w:val="nil"/>
              <w:bottom w:val="single" w:sz="4" w:space="0" w:color="auto"/>
              <w:right w:val="single" w:sz="4" w:space="0" w:color="auto"/>
            </w:tcBorders>
            <w:shd w:val="clear" w:color="000000" w:fill="FFF2CC"/>
            <w:noWrap/>
            <w:vAlign w:val="center"/>
            <w:hideMark/>
          </w:tcPr>
          <w:p w14:paraId="1F2CF3D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1936</w:t>
            </w:r>
          </w:p>
        </w:tc>
        <w:tc>
          <w:tcPr>
            <w:tcW w:w="700" w:type="dxa"/>
            <w:tcBorders>
              <w:top w:val="nil"/>
              <w:left w:val="nil"/>
              <w:bottom w:val="single" w:sz="4" w:space="0" w:color="auto"/>
              <w:right w:val="single" w:sz="4" w:space="0" w:color="auto"/>
            </w:tcBorders>
            <w:shd w:val="clear" w:color="000000" w:fill="FFF2CC"/>
            <w:noWrap/>
            <w:vAlign w:val="center"/>
            <w:hideMark/>
          </w:tcPr>
          <w:p w14:paraId="1A93DC8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FFF2CC"/>
            <w:noWrap/>
            <w:vAlign w:val="center"/>
            <w:hideMark/>
          </w:tcPr>
          <w:p w14:paraId="357FAA7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FFF2CC"/>
            <w:noWrap/>
            <w:vAlign w:val="center"/>
            <w:hideMark/>
          </w:tcPr>
          <w:p w14:paraId="7DBC64E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3F772C6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PT</w:t>
            </w:r>
          </w:p>
        </w:tc>
      </w:tr>
      <w:tr w:rsidR="006825FF" w:rsidRPr="006825FF" w14:paraId="77282A8F"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3105F4C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4C8B671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DB</w:t>
            </w:r>
          </w:p>
        </w:tc>
        <w:tc>
          <w:tcPr>
            <w:tcW w:w="2268" w:type="dxa"/>
            <w:tcBorders>
              <w:top w:val="nil"/>
              <w:left w:val="nil"/>
              <w:bottom w:val="single" w:sz="4" w:space="0" w:color="auto"/>
              <w:right w:val="single" w:sz="4" w:space="0" w:color="auto"/>
            </w:tcBorders>
            <w:shd w:val="clear" w:color="000000" w:fill="FFF2CC"/>
            <w:noWrap/>
            <w:vAlign w:val="center"/>
            <w:hideMark/>
          </w:tcPr>
          <w:p w14:paraId="1AFF4C3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Dogger Bank</w:t>
            </w:r>
          </w:p>
        </w:tc>
        <w:tc>
          <w:tcPr>
            <w:tcW w:w="5953" w:type="dxa"/>
            <w:tcBorders>
              <w:top w:val="nil"/>
              <w:left w:val="nil"/>
              <w:bottom w:val="single" w:sz="4" w:space="0" w:color="auto"/>
              <w:right w:val="single" w:sz="4" w:space="0" w:color="auto"/>
            </w:tcBorders>
            <w:shd w:val="clear" w:color="000000" w:fill="FFF2CC"/>
            <w:vAlign w:val="center"/>
            <w:hideMark/>
          </w:tcPr>
          <w:p w14:paraId="4F1C299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Permanently mixed waters less than 35 m deep in the Dogger Bank area.</w:t>
            </w:r>
          </w:p>
        </w:tc>
        <w:tc>
          <w:tcPr>
            <w:tcW w:w="860" w:type="dxa"/>
            <w:tcBorders>
              <w:top w:val="nil"/>
              <w:left w:val="nil"/>
              <w:bottom w:val="single" w:sz="4" w:space="0" w:color="auto"/>
              <w:right w:val="single" w:sz="4" w:space="0" w:color="auto"/>
            </w:tcBorders>
            <w:shd w:val="clear" w:color="000000" w:fill="FFF2CC"/>
            <w:noWrap/>
            <w:vAlign w:val="center"/>
            <w:hideMark/>
          </w:tcPr>
          <w:p w14:paraId="067505A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14750</w:t>
            </w:r>
          </w:p>
        </w:tc>
        <w:tc>
          <w:tcPr>
            <w:tcW w:w="700" w:type="dxa"/>
            <w:tcBorders>
              <w:top w:val="nil"/>
              <w:left w:val="nil"/>
              <w:bottom w:val="single" w:sz="4" w:space="0" w:color="auto"/>
              <w:right w:val="single" w:sz="4" w:space="0" w:color="auto"/>
            </w:tcBorders>
            <w:shd w:val="clear" w:color="000000" w:fill="FFF2CC"/>
            <w:noWrap/>
            <w:vAlign w:val="center"/>
            <w:hideMark/>
          </w:tcPr>
          <w:p w14:paraId="526702E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28</w:t>
            </w:r>
          </w:p>
        </w:tc>
        <w:tc>
          <w:tcPr>
            <w:tcW w:w="767" w:type="dxa"/>
            <w:tcBorders>
              <w:top w:val="nil"/>
              <w:left w:val="nil"/>
              <w:bottom w:val="single" w:sz="4" w:space="0" w:color="auto"/>
              <w:right w:val="single" w:sz="4" w:space="0" w:color="auto"/>
            </w:tcBorders>
            <w:shd w:val="clear" w:color="000000" w:fill="FFF2CC"/>
            <w:noWrap/>
            <w:vAlign w:val="center"/>
            <w:hideMark/>
          </w:tcPr>
          <w:p w14:paraId="54E64D7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35.1</w:t>
            </w:r>
          </w:p>
        </w:tc>
        <w:tc>
          <w:tcPr>
            <w:tcW w:w="731" w:type="dxa"/>
            <w:tcBorders>
              <w:top w:val="nil"/>
              <w:left w:val="nil"/>
              <w:bottom w:val="single" w:sz="4" w:space="0" w:color="auto"/>
              <w:right w:val="single" w:sz="4" w:space="0" w:color="auto"/>
            </w:tcBorders>
            <w:shd w:val="clear" w:color="000000" w:fill="FFF2CC"/>
            <w:noWrap/>
            <w:vAlign w:val="center"/>
            <w:hideMark/>
          </w:tcPr>
          <w:p w14:paraId="22361B3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10BE7F5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NL, DE, DK, UK</w:t>
            </w:r>
          </w:p>
        </w:tc>
      </w:tr>
      <w:tr w:rsidR="006825FF" w:rsidRPr="006825FF" w14:paraId="5A89BA8E"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5AF596C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1AA525A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ECPM1</w:t>
            </w:r>
          </w:p>
        </w:tc>
        <w:tc>
          <w:tcPr>
            <w:tcW w:w="2268" w:type="dxa"/>
            <w:tcBorders>
              <w:top w:val="nil"/>
              <w:left w:val="nil"/>
              <w:bottom w:val="single" w:sz="4" w:space="0" w:color="auto"/>
              <w:right w:val="single" w:sz="4" w:space="0" w:color="auto"/>
            </w:tcBorders>
            <w:shd w:val="clear" w:color="000000" w:fill="FFF2CC"/>
            <w:noWrap/>
            <w:vAlign w:val="center"/>
            <w:hideMark/>
          </w:tcPr>
          <w:p w14:paraId="4CA36D8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East Coast (permanently mixed) 1</w:t>
            </w:r>
          </w:p>
        </w:tc>
        <w:tc>
          <w:tcPr>
            <w:tcW w:w="5953" w:type="dxa"/>
            <w:tcBorders>
              <w:top w:val="nil"/>
              <w:left w:val="nil"/>
              <w:bottom w:val="single" w:sz="4" w:space="0" w:color="auto"/>
              <w:right w:val="single" w:sz="4" w:space="0" w:color="auto"/>
            </w:tcBorders>
            <w:shd w:val="clear" w:color="000000" w:fill="FFF2CC"/>
            <w:vAlign w:val="center"/>
            <w:hideMark/>
          </w:tcPr>
          <w:p w14:paraId="34AEEFA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Permanently mixed coastal waters. The outer boundary are the intermittently stratified waters</w:t>
            </w:r>
          </w:p>
        </w:tc>
        <w:tc>
          <w:tcPr>
            <w:tcW w:w="860" w:type="dxa"/>
            <w:tcBorders>
              <w:top w:val="nil"/>
              <w:left w:val="nil"/>
              <w:bottom w:val="single" w:sz="4" w:space="0" w:color="auto"/>
              <w:right w:val="single" w:sz="4" w:space="0" w:color="auto"/>
            </w:tcBorders>
            <w:shd w:val="clear" w:color="000000" w:fill="FFF2CC"/>
            <w:noWrap/>
            <w:vAlign w:val="center"/>
            <w:hideMark/>
          </w:tcPr>
          <w:p w14:paraId="362B9D7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3519</w:t>
            </w:r>
          </w:p>
        </w:tc>
        <w:tc>
          <w:tcPr>
            <w:tcW w:w="700" w:type="dxa"/>
            <w:tcBorders>
              <w:top w:val="nil"/>
              <w:left w:val="nil"/>
              <w:bottom w:val="single" w:sz="4" w:space="0" w:color="auto"/>
              <w:right w:val="single" w:sz="4" w:space="0" w:color="auto"/>
            </w:tcBorders>
            <w:shd w:val="clear" w:color="000000" w:fill="FFF2CC"/>
            <w:noWrap/>
            <w:vAlign w:val="center"/>
            <w:hideMark/>
          </w:tcPr>
          <w:p w14:paraId="424413D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73</w:t>
            </w:r>
          </w:p>
        </w:tc>
        <w:tc>
          <w:tcPr>
            <w:tcW w:w="767" w:type="dxa"/>
            <w:tcBorders>
              <w:top w:val="nil"/>
              <w:left w:val="nil"/>
              <w:bottom w:val="single" w:sz="4" w:space="0" w:color="auto"/>
              <w:right w:val="single" w:sz="4" w:space="0" w:color="auto"/>
            </w:tcBorders>
            <w:shd w:val="clear" w:color="000000" w:fill="FFF2CC"/>
            <w:noWrap/>
            <w:vAlign w:val="center"/>
            <w:hideMark/>
          </w:tcPr>
          <w:p w14:paraId="48B977B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34.8</w:t>
            </w:r>
          </w:p>
        </w:tc>
        <w:tc>
          <w:tcPr>
            <w:tcW w:w="731" w:type="dxa"/>
            <w:tcBorders>
              <w:top w:val="nil"/>
              <w:left w:val="nil"/>
              <w:bottom w:val="single" w:sz="4" w:space="0" w:color="auto"/>
              <w:right w:val="single" w:sz="4" w:space="0" w:color="auto"/>
            </w:tcBorders>
            <w:shd w:val="clear" w:color="000000" w:fill="FFF2CC"/>
            <w:noWrap/>
            <w:vAlign w:val="center"/>
            <w:hideMark/>
          </w:tcPr>
          <w:p w14:paraId="0E31ACA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22BA277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4E71258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70C6B2B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11C44F7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ECPM2</w:t>
            </w:r>
          </w:p>
        </w:tc>
        <w:tc>
          <w:tcPr>
            <w:tcW w:w="2268" w:type="dxa"/>
            <w:tcBorders>
              <w:top w:val="nil"/>
              <w:left w:val="nil"/>
              <w:bottom w:val="single" w:sz="4" w:space="0" w:color="auto"/>
              <w:right w:val="single" w:sz="4" w:space="0" w:color="auto"/>
            </w:tcBorders>
            <w:shd w:val="clear" w:color="000000" w:fill="FFF2CC"/>
            <w:noWrap/>
            <w:vAlign w:val="center"/>
            <w:hideMark/>
          </w:tcPr>
          <w:p w14:paraId="33282D8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East Coast (permanently mixed) 2</w:t>
            </w:r>
          </w:p>
        </w:tc>
        <w:tc>
          <w:tcPr>
            <w:tcW w:w="5953" w:type="dxa"/>
            <w:tcBorders>
              <w:top w:val="nil"/>
              <w:left w:val="nil"/>
              <w:bottom w:val="single" w:sz="4" w:space="0" w:color="auto"/>
              <w:right w:val="single" w:sz="4" w:space="0" w:color="auto"/>
            </w:tcBorders>
            <w:shd w:val="clear" w:color="000000" w:fill="FFF2CC"/>
            <w:vAlign w:val="center"/>
            <w:hideMark/>
          </w:tcPr>
          <w:p w14:paraId="2766F2C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Permanently mixed coastal waters. The outer boundary are the intermittently stratified waters</w:t>
            </w:r>
          </w:p>
        </w:tc>
        <w:tc>
          <w:tcPr>
            <w:tcW w:w="860" w:type="dxa"/>
            <w:tcBorders>
              <w:top w:val="nil"/>
              <w:left w:val="nil"/>
              <w:bottom w:val="single" w:sz="4" w:space="0" w:color="auto"/>
              <w:right w:val="single" w:sz="4" w:space="0" w:color="auto"/>
            </w:tcBorders>
            <w:shd w:val="clear" w:color="000000" w:fill="FFF2CC"/>
            <w:noWrap/>
            <w:vAlign w:val="center"/>
            <w:hideMark/>
          </w:tcPr>
          <w:p w14:paraId="337C7D4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1444</w:t>
            </w:r>
          </w:p>
        </w:tc>
        <w:tc>
          <w:tcPr>
            <w:tcW w:w="700" w:type="dxa"/>
            <w:tcBorders>
              <w:top w:val="nil"/>
              <w:left w:val="nil"/>
              <w:bottom w:val="single" w:sz="4" w:space="0" w:color="auto"/>
              <w:right w:val="single" w:sz="4" w:space="0" w:color="auto"/>
            </w:tcBorders>
            <w:shd w:val="clear" w:color="000000" w:fill="FFF2CC"/>
            <w:noWrap/>
            <w:vAlign w:val="center"/>
            <w:hideMark/>
          </w:tcPr>
          <w:p w14:paraId="49DE12F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43</w:t>
            </w:r>
          </w:p>
        </w:tc>
        <w:tc>
          <w:tcPr>
            <w:tcW w:w="767" w:type="dxa"/>
            <w:tcBorders>
              <w:top w:val="nil"/>
              <w:left w:val="nil"/>
              <w:bottom w:val="single" w:sz="4" w:space="0" w:color="auto"/>
              <w:right w:val="single" w:sz="4" w:space="0" w:color="auto"/>
            </w:tcBorders>
            <w:shd w:val="clear" w:color="000000" w:fill="FFF2CC"/>
            <w:noWrap/>
            <w:vAlign w:val="center"/>
            <w:hideMark/>
          </w:tcPr>
          <w:p w14:paraId="678A33D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34.5</w:t>
            </w:r>
          </w:p>
        </w:tc>
        <w:tc>
          <w:tcPr>
            <w:tcW w:w="731" w:type="dxa"/>
            <w:tcBorders>
              <w:top w:val="nil"/>
              <w:left w:val="nil"/>
              <w:bottom w:val="single" w:sz="4" w:space="0" w:color="auto"/>
              <w:right w:val="single" w:sz="4" w:space="0" w:color="auto"/>
            </w:tcBorders>
            <w:shd w:val="clear" w:color="000000" w:fill="FFF2CC"/>
            <w:noWrap/>
            <w:vAlign w:val="center"/>
            <w:hideMark/>
          </w:tcPr>
          <w:p w14:paraId="3BF4B6F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361B3FF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65C78316"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65BA1E4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028B9B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ELPM</w:t>
            </w:r>
          </w:p>
        </w:tc>
        <w:tc>
          <w:tcPr>
            <w:tcW w:w="2268" w:type="dxa"/>
            <w:tcBorders>
              <w:top w:val="nil"/>
              <w:left w:val="nil"/>
              <w:bottom w:val="single" w:sz="4" w:space="0" w:color="auto"/>
              <w:right w:val="single" w:sz="4" w:space="0" w:color="auto"/>
            </w:tcBorders>
            <w:shd w:val="clear" w:color="000000" w:fill="FFF2CC"/>
            <w:noWrap/>
            <w:vAlign w:val="center"/>
            <w:hideMark/>
          </w:tcPr>
          <w:p w14:paraId="2569DAE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Elbe plume</w:t>
            </w:r>
          </w:p>
        </w:tc>
        <w:tc>
          <w:tcPr>
            <w:tcW w:w="5953" w:type="dxa"/>
            <w:tcBorders>
              <w:top w:val="nil"/>
              <w:left w:val="nil"/>
              <w:bottom w:val="single" w:sz="4" w:space="0" w:color="auto"/>
              <w:right w:val="single" w:sz="4" w:space="0" w:color="auto"/>
            </w:tcBorders>
            <w:shd w:val="clear" w:color="000000" w:fill="FFF2CC"/>
            <w:vAlign w:val="center"/>
            <w:hideMark/>
          </w:tcPr>
          <w:p w14:paraId="6900A57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Elbe river. The landward boundary is the WFD water bodies, the outer boundaries are defined by the 32 psu salinity contour.</w:t>
            </w:r>
          </w:p>
        </w:tc>
        <w:tc>
          <w:tcPr>
            <w:tcW w:w="860" w:type="dxa"/>
            <w:tcBorders>
              <w:top w:val="nil"/>
              <w:left w:val="nil"/>
              <w:bottom w:val="single" w:sz="4" w:space="0" w:color="auto"/>
              <w:right w:val="single" w:sz="4" w:space="0" w:color="auto"/>
            </w:tcBorders>
            <w:shd w:val="clear" w:color="000000" w:fill="FFF2CC"/>
            <w:noWrap/>
            <w:vAlign w:val="center"/>
            <w:hideMark/>
          </w:tcPr>
          <w:p w14:paraId="58D7B6B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7837</w:t>
            </w:r>
          </w:p>
        </w:tc>
        <w:tc>
          <w:tcPr>
            <w:tcW w:w="700" w:type="dxa"/>
            <w:tcBorders>
              <w:top w:val="nil"/>
              <w:left w:val="nil"/>
              <w:bottom w:val="single" w:sz="4" w:space="0" w:color="auto"/>
              <w:right w:val="single" w:sz="4" w:space="0" w:color="auto"/>
            </w:tcBorders>
            <w:shd w:val="clear" w:color="000000" w:fill="FFF2CC"/>
            <w:noWrap/>
            <w:vAlign w:val="center"/>
            <w:hideMark/>
          </w:tcPr>
          <w:p w14:paraId="668A76E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18</w:t>
            </w:r>
          </w:p>
        </w:tc>
        <w:tc>
          <w:tcPr>
            <w:tcW w:w="767" w:type="dxa"/>
            <w:tcBorders>
              <w:top w:val="nil"/>
              <w:left w:val="nil"/>
              <w:bottom w:val="single" w:sz="4" w:space="0" w:color="auto"/>
              <w:right w:val="single" w:sz="4" w:space="0" w:color="auto"/>
            </w:tcBorders>
            <w:shd w:val="clear" w:color="000000" w:fill="FFF2CC"/>
            <w:noWrap/>
            <w:vAlign w:val="center"/>
            <w:hideMark/>
          </w:tcPr>
          <w:p w14:paraId="6901757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30.8</w:t>
            </w:r>
          </w:p>
        </w:tc>
        <w:tc>
          <w:tcPr>
            <w:tcW w:w="731" w:type="dxa"/>
            <w:tcBorders>
              <w:top w:val="nil"/>
              <w:left w:val="nil"/>
              <w:bottom w:val="single" w:sz="4" w:space="0" w:color="auto"/>
              <w:right w:val="single" w:sz="4" w:space="0" w:color="auto"/>
            </w:tcBorders>
            <w:shd w:val="clear" w:color="000000" w:fill="FFF2CC"/>
            <w:noWrap/>
            <w:vAlign w:val="center"/>
            <w:hideMark/>
          </w:tcPr>
          <w:p w14:paraId="7804D48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6C5A785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DE, DK</w:t>
            </w:r>
          </w:p>
        </w:tc>
      </w:tr>
      <w:tr w:rsidR="006825FF" w:rsidRPr="006825FF" w14:paraId="61929FAC"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31FCC8F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49B6B41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EMPM</w:t>
            </w:r>
          </w:p>
        </w:tc>
        <w:tc>
          <w:tcPr>
            <w:tcW w:w="2268" w:type="dxa"/>
            <w:tcBorders>
              <w:top w:val="nil"/>
              <w:left w:val="nil"/>
              <w:bottom w:val="single" w:sz="4" w:space="0" w:color="auto"/>
              <w:right w:val="single" w:sz="4" w:space="0" w:color="auto"/>
            </w:tcBorders>
            <w:shd w:val="clear" w:color="000000" w:fill="FFF2CC"/>
            <w:noWrap/>
            <w:vAlign w:val="center"/>
            <w:hideMark/>
          </w:tcPr>
          <w:p w14:paraId="0128136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Ems plume</w:t>
            </w:r>
          </w:p>
        </w:tc>
        <w:tc>
          <w:tcPr>
            <w:tcW w:w="5953" w:type="dxa"/>
            <w:tcBorders>
              <w:top w:val="nil"/>
              <w:left w:val="nil"/>
              <w:bottom w:val="single" w:sz="4" w:space="0" w:color="auto"/>
              <w:right w:val="single" w:sz="4" w:space="0" w:color="auto"/>
            </w:tcBorders>
            <w:shd w:val="clear" w:color="000000" w:fill="FFF2CC"/>
            <w:vAlign w:val="center"/>
            <w:hideMark/>
          </w:tcPr>
          <w:p w14:paraId="797D149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Ems river. The landward boundary is the WFD water bodies, the outer boundaries are defined by the 32 psu salinity contour.</w:t>
            </w:r>
          </w:p>
        </w:tc>
        <w:tc>
          <w:tcPr>
            <w:tcW w:w="860" w:type="dxa"/>
            <w:tcBorders>
              <w:top w:val="nil"/>
              <w:left w:val="nil"/>
              <w:bottom w:val="single" w:sz="4" w:space="0" w:color="auto"/>
              <w:right w:val="single" w:sz="4" w:space="0" w:color="auto"/>
            </w:tcBorders>
            <w:shd w:val="clear" w:color="000000" w:fill="FFF2CC"/>
            <w:noWrap/>
            <w:vAlign w:val="center"/>
            <w:hideMark/>
          </w:tcPr>
          <w:p w14:paraId="4E8C755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1445</w:t>
            </w:r>
          </w:p>
        </w:tc>
        <w:tc>
          <w:tcPr>
            <w:tcW w:w="700" w:type="dxa"/>
            <w:tcBorders>
              <w:top w:val="nil"/>
              <w:left w:val="nil"/>
              <w:bottom w:val="single" w:sz="4" w:space="0" w:color="auto"/>
              <w:right w:val="single" w:sz="4" w:space="0" w:color="auto"/>
            </w:tcBorders>
            <w:shd w:val="clear" w:color="000000" w:fill="FFF2CC"/>
            <w:noWrap/>
            <w:vAlign w:val="center"/>
            <w:hideMark/>
          </w:tcPr>
          <w:p w14:paraId="7D7F94A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19</w:t>
            </w:r>
          </w:p>
        </w:tc>
        <w:tc>
          <w:tcPr>
            <w:tcW w:w="767" w:type="dxa"/>
            <w:tcBorders>
              <w:top w:val="nil"/>
              <w:left w:val="nil"/>
              <w:bottom w:val="single" w:sz="4" w:space="0" w:color="auto"/>
              <w:right w:val="single" w:sz="4" w:space="0" w:color="auto"/>
            </w:tcBorders>
            <w:shd w:val="clear" w:color="000000" w:fill="FFF2CC"/>
            <w:noWrap/>
            <w:vAlign w:val="center"/>
            <w:hideMark/>
          </w:tcPr>
          <w:p w14:paraId="2276AE0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31.4</w:t>
            </w:r>
          </w:p>
        </w:tc>
        <w:tc>
          <w:tcPr>
            <w:tcW w:w="731" w:type="dxa"/>
            <w:tcBorders>
              <w:top w:val="nil"/>
              <w:left w:val="nil"/>
              <w:bottom w:val="single" w:sz="4" w:space="0" w:color="auto"/>
              <w:right w:val="single" w:sz="4" w:space="0" w:color="auto"/>
            </w:tcBorders>
            <w:shd w:val="clear" w:color="000000" w:fill="FFF2CC"/>
            <w:noWrap/>
            <w:vAlign w:val="center"/>
            <w:hideMark/>
          </w:tcPr>
          <w:p w14:paraId="3DFEF0A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7861F8C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DE</w:t>
            </w:r>
          </w:p>
        </w:tc>
      </w:tr>
      <w:tr w:rsidR="006825FF" w:rsidRPr="006825FF" w14:paraId="4E5B42FE"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5104632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05D791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GBSW</w:t>
            </w:r>
          </w:p>
        </w:tc>
        <w:tc>
          <w:tcPr>
            <w:tcW w:w="2268" w:type="dxa"/>
            <w:tcBorders>
              <w:top w:val="nil"/>
              <w:left w:val="nil"/>
              <w:bottom w:val="single" w:sz="4" w:space="0" w:color="auto"/>
              <w:right w:val="single" w:sz="4" w:space="0" w:color="auto"/>
            </w:tcBorders>
            <w:shd w:val="clear" w:color="000000" w:fill="FFF2CC"/>
            <w:noWrap/>
            <w:vAlign w:val="center"/>
            <w:hideMark/>
          </w:tcPr>
          <w:p w14:paraId="0CFAFC4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Gulf of Biscay shelf waters</w:t>
            </w:r>
          </w:p>
        </w:tc>
        <w:tc>
          <w:tcPr>
            <w:tcW w:w="5953" w:type="dxa"/>
            <w:tcBorders>
              <w:top w:val="nil"/>
              <w:left w:val="nil"/>
              <w:bottom w:val="single" w:sz="4" w:space="0" w:color="auto"/>
              <w:right w:val="single" w:sz="4" w:space="0" w:color="auto"/>
            </w:tcBorders>
            <w:shd w:val="clear" w:color="000000" w:fill="FFF2CC"/>
            <w:vAlign w:val="center"/>
            <w:hideMark/>
          </w:tcPr>
          <w:p w14:paraId="13AC63D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Permanently stratified shelf waters in Gulf of Biscay. The area boundaries were based on combined modelling and data analysis work by SHOM (Cachera et al., 2019).</w:t>
            </w:r>
          </w:p>
        </w:tc>
        <w:tc>
          <w:tcPr>
            <w:tcW w:w="860" w:type="dxa"/>
            <w:tcBorders>
              <w:top w:val="nil"/>
              <w:left w:val="nil"/>
              <w:bottom w:val="single" w:sz="4" w:space="0" w:color="auto"/>
              <w:right w:val="single" w:sz="4" w:space="0" w:color="auto"/>
            </w:tcBorders>
            <w:shd w:val="clear" w:color="000000" w:fill="FFF2CC"/>
            <w:noWrap/>
            <w:vAlign w:val="center"/>
            <w:hideMark/>
          </w:tcPr>
          <w:p w14:paraId="577E1BB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21008</w:t>
            </w:r>
          </w:p>
        </w:tc>
        <w:tc>
          <w:tcPr>
            <w:tcW w:w="700" w:type="dxa"/>
            <w:tcBorders>
              <w:top w:val="nil"/>
              <w:left w:val="nil"/>
              <w:bottom w:val="single" w:sz="4" w:space="0" w:color="auto"/>
              <w:right w:val="single" w:sz="4" w:space="0" w:color="auto"/>
            </w:tcBorders>
            <w:shd w:val="clear" w:color="000000" w:fill="FFF2CC"/>
            <w:noWrap/>
            <w:vAlign w:val="center"/>
            <w:hideMark/>
          </w:tcPr>
          <w:p w14:paraId="1BFA570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106</w:t>
            </w:r>
          </w:p>
        </w:tc>
        <w:tc>
          <w:tcPr>
            <w:tcW w:w="767" w:type="dxa"/>
            <w:tcBorders>
              <w:top w:val="nil"/>
              <w:left w:val="nil"/>
              <w:bottom w:val="single" w:sz="4" w:space="0" w:color="auto"/>
              <w:right w:val="single" w:sz="4" w:space="0" w:color="auto"/>
            </w:tcBorders>
            <w:shd w:val="clear" w:color="000000" w:fill="FFF2CC"/>
            <w:noWrap/>
            <w:vAlign w:val="center"/>
            <w:hideMark/>
          </w:tcPr>
          <w:p w14:paraId="6DE9AB0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34.9</w:t>
            </w:r>
          </w:p>
        </w:tc>
        <w:tc>
          <w:tcPr>
            <w:tcW w:w="731" w:type="dxa"/>
            <w:tcBorders>
              <w:top w:val="nil"/>
              <w:left w:val="nil"/>
              <w:bottom w:val="single" w:sz="4" w:space="0" w:color="auto"/>
              <w:right w:val="single" w:sz="4" w:space="0" w:color="auto"/>
            </w:tcBorders>
            <w:shd w:val="clear" w:color="000000" w:fill="FFF2CC"/>
            <w:noWrap/>
            <w:vAlign w:val="center"/>
            <w:hideMark/>
          </w:tcPr>
          <w:p w14:paraId="3853965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79BC782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w:t>
            </w:r>
          </w:p>
        </w:tc>
      </w:tr>
      <w:tr w:rsidR="006825FF" w:rsidRPr="006825FF" w14:paraId="1585272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1E25F2C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lastRenderedPageBreak/>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30E064D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LBPM</w:t>
            </w:r>
          </w:p>
        </w:tc>
        <w:tc>
          <w:tcPr>
            <w:tcW w:w="2268" w:type="dxa"/>
            <w:tcBorders>
              <w:top w:val="nil"/>
              <w:left w:val="nil"/>
              <w:bottom w:val="single" w:sz="4" w:space="0" w:color="auto"/>
              <w:right w:val="single" w:sz="4" w:space="0" w:color="auto"/>
            </w:tcBorders>
            <w:shd w:val="clear" w:color="000000" w:fill="FFF2CC"/>
            <w:noWrap/>
            <w:vAlign w:val="center"/>
            <w:hideMark/>
          </w:tcPr>
          <w:p w14:paraId="2B8A233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Liverpool Bay plume</w:t>
            </w:r>
          </w:p>
        </w:tc>
        <w:tc>
          <w:tcPr>
            <w:tcW w:w="5953" w:type="dxa"/>
            <w:tcBorders>
              <w:top w:val="nil"/>
              <w:left w:val="nil"/>
              <w:bottom w:val="single" w:sz="4" w:space="0" w:color="auto"/>
              <w:right w:val="single" w:sz="4" w:space="0" w:color="auto"/>
            </w:tcBorders>
            <w:shd w:val="clear" w:color="000000" w:fill="FFF2CC"/>
            <w:vAlign w:val="center"/>
            <w:hideMark/>
          </w:tcPr>
          <w:p w14:paraId="6D75BFE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Liverpool Bay. The outer boundary follows the 10 mg/l contour, based on a 10-year average (Greenwood et al., 2019).</w:t>
            </w:r>
          </w:p>
        </w:tc>
        <w:tc>
          <w:tcPr>
            <w:tcW w:w="860" w:type="dxa"/>
            <w:tcBorders>
              <w:top w:val="nil"/>
              <w:left w:val="nil"/>
              <w:bottom w:val="single" w:sz="4" w:space="0" w:color="auto"/>
              <w:right w:val="single" w:sz="4" w:space="0" w:color="auto"/>
            </w:tcBorders>
            <w:shd w:val="clear" w:color="000000" w:fill="FFF2CC"/>
            <w:noWrap/>
            <w:vAlign w:val="center"/>
            <w:hideMark/>
          </w:tcPr>
          <w:p w14:paraId="595019B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1361</w:t>
            </w:r>
          </w:p>
        </w:tc>
        <w:tc>
          <w:tcPr>
            <w:tcW w:w="700" w:type="dxa"/>
            <w:tcBorders>
              <w:top w:val="nil"/>
              <w:left w:val="nil"/>
              <w:bottom w:val="single" w:sz="4" w:space="0" w:color="auto"/>
              <w:right w:val="single" w:sz="4" w:space="0" w:color="auto"/>
            </w:tcBorders>
            <w:shd w:val="clear" w:color="000000" w:fill="FFF2CC"/>
            <w:noWrap/>
            <w:vAlign w:val="center"/>
            <w:hideMark/>
          </w:tcPr>
          <w:p w14:paraId="70F6A99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15</w:t>
            </w:r>
          </w:p>
        </w:tc>
        <w:tc>
          <w:tcPr>
            <w:tcW w:w="767" w:type="dxa"/>
            <w:tcBorders>
              <w:top w:val="nil"/>
              <w:left w:val="nil"/>
              <w:bottom w:val="single" w:sz="4" w:space="0" w:color="auto"/>
              <w:right w:val="single" w:sz="4" w:space="0" w:color="auto"/>
            </w:tcBorders>
            <w:shd w:val="clear" w:color="000000" w:fill="FFF2CC"/>
            <w:noWrap/>
            <w:vAlign w:val="center"/>
            <w:hideMark/>
          </w:tcPr>
          <w:p w14:paraId="41D4DD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30.6</w:t>
            </w:r>
          </w:p>
        </w:tc>
        <w:tc>
          <w:tcPr>
            <w:tcW w:w="731" w:type="dxa"/>
            <w:tcBorders>
              <w:top w:val="nil"/>
              <w:left w:val="nil"/>
              <w:bottom w:val="single" w:sz="4" w:space="0" w:color="auto"/>
              <w:right w:val="single" w:sz="4" w:space="0" w:color="auto"/>
            </w:tcBorders>
            <w:shd w:val="clear" w:color="000000" w:fill="FFF2CC"/>
            <w:noWrap/>
            <w:vAlign w:val="center"/>
            <w:hideMark/>
          </w:tcPr>
          <w:p w14:paraId="1E37A5C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III</w:t>
            </w:r>
          </w:p>
        </w:tc>
        <w:tc>
          <w:tcPr>
            <w:tcW w:w="628" w:type="dxa"/>
            <w:tcBorders>
              <w:top w:val="nil"/>
              <w:left w:val="nil"/>
              <w:bottom w:val="single" w:sz="4" w:space="0" w:color="auto"/>
              <w:right w:val="single" w:sz="4" w:space="0" w:color="auto"/>
            </w:tcBorders>
            <w:shd w:val="clear" w:color="000000" w:fill="FFF2CC"/>
            <w:noWrap/>
            <w:vAlign w:val="center"/>
            <w:hideMark/>
          </w:tcPr>
          <w:p w14:paraId="57DEB2F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02990ACE"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303C6A4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18C4D39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LPM</w:t>
            </w:r>
          </w:p>
        </w:tc>
        <w:tc>
          <w:tcPr>
            <w:tcW w:w="2268" w:type="dxa"/>
            <w:tcBorders>
              <w:top w:val="nil"/>
              <w:left w:val="nil"/>
              <w:bottom w:val="single" w:sz="4" w:space="0" w:color="auto"/>
              <w:right w:val="single" w:sz="4" w:space="0" w:color="auto"/>
            </w:tcBorders>
            <w:shd w:val="clear" w:color="000000" w:fill="FFF2CC"/>
            <w:noWrap/>
            <w:vAlign w:val="center"/>
            <w:hideMark/>
          </w:tcPr>
          <w:p w14:paraId="51F7415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Loire plume</w:t>
            </w:r>
          </w:p>
        </w:tc>
        <w:tc>
          <w:tcPr>
            <w:tcW w:w="5953" w:type="dxa"/>
            <w:tcBorders>
              <w:top w:val="nil"/>
              <w:left w:val="nil"/>
              <w:bottom w:val="single" w:sz="4" w:space="0" w:color="auto"/>
              <w:right w:val="single" w:sz="4" w:space="0" w:color="auto"/>
            </w:tcBorders>
            <w:shd w:val="clear" w:color="000000" w:fill="FFF2CC"/>
            <w:vAlign w:val="center"/>
            <w:hideMark/>
          </w:tcPr>
          <w:p w14:paraId="1592AAD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Loire river. The area boundaries were based on combined modelling and data analysis work by SHOM (Cachera et al., 2019)</w:t>
            </w:r>
          </w:p>
        </w:tc>
        <w:tc>
          <w:tcPr>
            <w:tcW w:w="860" w:type="dxa"/>
            <w:tcBorders>
              <w:top w:val="nil"/>
              <w:left w:val="nil"/>
              <w:bottom w:val="single" w:sz="4" w:space="0" w:color="auto"/>
              <w:right w:val="single" w:sz="4" w:space="0" w:color="auto"/>
            </w:tcBorders>
            <w:shd w:val="clear" w:color="000000" w:fill="FFF2CC"/>
            <w:noWrap/>
            <w:vAlign w:val="center"/>
            <w:hideMark/>
          </w:tcPr>
          <w:p w14:paraId="36B15DE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1495</w:t>
            </w:r>
          </w:p>
        </w:tc>
        <w:tc>
          <w:tcPr>
            <w:tcW w:w="700" w:type="dxa"/>
            <w:tcBorders>
              <w:top w:val="nil"/>
              <w:left w:val="nil"/>
              <w:bottom w:val="single" w:sz="4" w:space="0" w:color="auto"/>
              <w:right w:val="single" w:sz="4" w:space="0" w:color="auto"/>
            </w:tcBorders>
            <w:shd w:val="clear" w:color="000000" w:fill="FFF2CC"/>
            <w:noWrap/>
            <w:vAlign w:val="center"/>
            <w:hideMark/>
          </w:tcPr>
          <w:p w14:paraId="4D6BAE7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38</w:t>
            </w:r>
          </w:p>
        </w:tc>
        <w:tc>
          <w:tcPr>
            <w:tcW w:w="767" w:type="dxa"/>
            <w:tcBorders>
              <w:top w:val="nil"/>
              <w:left w:val="nil"/>
              <w:bottom w:val="single" w:sz="4" w:space="0" w:color="auto"/>
              <w:right w:val="single" w:sz="4" w:space="0" w:color="auto"/>
            </w:tcBorders>
            <w:shd w:val="clear" w:color="000000" w:fill="FFF2CC"/>
            <w:noWrap/>
            <w:vAlign w:val="center"/>
            <w:hideMark/>
          </w:tcPr>
          <w:p w14:paraId="3712209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33.8</w:t>
            </w:r>
          </w:p>
        </w:tc>
        <w:tc>
          <w:tcPr>
            <w:tcW w:w="731" w:type="dxa"/>
            <w:tcBorders>
              <w:top w:val="nil"/>
              <w:left w:val="nil"/>
              <w:bottom w:val="single" w:sz="4" w:space="0" w:color="auto"/>
              <w:right w:val="single" w:sz="4" w:space="0" w:color="auto"/>
            </w:tcBorders>
            <w:shd w:val="clear" w:color="000000" w:fill="FFF2CC"/>
            <w:noWrap/>
            <w:vAlign w:val="center"/>
            <w:hideMark/>
          </w:tcPr>
          <w:p w14:paraId="4D79349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3DE4839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w:t>
            </w:r>
          </w:p>
        </w:tc>
      </w:tr>
      <w:tr w:rsidR="006825FF" w:rsidRPr="006825FF" w14:paraId="6154A5D3"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4440373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6E93CDB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MPM</w:t>
            </w:r>
          </w:p>
        </w:tc>
        <w:tc>
          <w:tcPr>
            <w:tcW w:w="2268" w:type="dxa"/>
            <w:tcBorders>
              <w:top w:val="nil"/>
              <w:left w:val="nil"/>
              <w:bottom w:val="single" w:sz="4" w:space="0" w:color="auto"/>
              <w:right w:val="single" w:sz="4" w:space="0" w:color="auto"/>
            </w:tcBorders>
            <w:shd w:val="clear" w:color="000000" w:fill="FFF2CC"/>
            <w:noWrap/>
            <w:vAlign w:val="center"/>
            <w:hideMark/>
          </w:tcPr>
          <w:p w14:paraId="3746E86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Meuse plume</w:t>
            </w:r>
          </w:p>
        </w:tc>
        <w:tc>
          <w:tcPr>
            <w:tcW w:w="5953" w:type="dxa"/>
            <w:tcBorders>
              <w:top w:val="nil"/>
              <w:left w:val="nil"/>
              <w:bottom w:val="single" w:sz="4" w:space="0" w:color="auto"/>
              <w:right w:val="single" w:sz="4" w:space="0" w:color="auto"/>
            </w:tcBorders>
            <w:shd w:val="clear" w:color="000000" w:fill="FFF2CC"/>
            <w:vAlign w:val="center"/>
            <w:hideMark/>
          </w:tcPr>
          <w:p w14:paraId="364F717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Meuse river. The landward boundary is the WFD water bodies, the outer boundaries are defined by the 32 psu salinity contour. The boundary between the Rhine and the Meuse plume is based on an extension of the WFD water body boundaries.</w:t>
            </w:r>
          </w:p>
        </w:tc>
        <w:tc>
          <w:tcPr>
            <w:tcW w:w="860" w:type="dxa"/>
            <w:tcBorders>
              <w:top w:val="nil"/>
              <w:left w:val="nil"/>
              <w:bottom w:val="single" w:sz="4" w:space="0" w:color="auto"/>
              <w:right w:val="single" w:sz="4" w:space="0" w:color="auto"/>
            </w:tcBorders>
            <w:shd w:val="clear" w:color="000000" w:fill="FFF2CC"/>
            <w:noWrap/>
            <w:vAlign w:val="center"/>
            <w:hideMark/>
          </w:tcPr>
          <w:p w14:paraId="20BFDFB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206</w:t>
            </w:r>
          </w:p>
        </w:tc>
        <w:tc>
          <w:tcPr>
            <w:tcW w:w="700" w:type="dxa"/>
            <w:tcBorders>
              <w:top w:val="nil"/>
              <w:left w:val="nil"/>
              <w:bottom w:val="single" w:sz="4" w:space="0" w:color="auto"/>
              <w:right w:val="single" w:sz="4" w:space="0" w:color="auto"/>
            </w:tcBorders>
            <w:shd w:val="clear" w:color="000000" w:fill="FFF2CC"/>
            <w:noWrap/>
            <w:vAlign w:val="center"/>
            <w:hideMark/>
          </w:tcPr>
          <w:p w14:paraId="7BF5EC8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16</w:t>
            </w:r>
          </w:p>
        </w:tc>
        <w:tc>
          <w:tcPr>
            <w:tcW w:w="767" w:type="dxa"/>
            <w:tcBorders>
              <w:top w:val="nil"/>
              <w:left w:val="nil"/>
              <w:bottom w:val="single" w:sz="4" w:space="0" w:color="auto"/>
              <w:right w:val="single" w:sz="4" w:space="0" w:color="auto"/>
            </w:tcBorders>
            <w:shd w:val="clear" w:color="000000" w:fill="FFF2CC"/>
            <w:noWrap/>
            <w:vAlign w:val="center"/>
            <w:hideMark/>
          </w:tcPr>
          <w:p w14:paraId="2481009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29.3</w:t>
            </w:r>
          </w:p>
        </w:tc>
        <w:tc>
          <w:tcPr>
            <w:tcW w:w="731" w:type="dxa"/>
            <w:tcBorders>
              <w:top w:val="nil"/>
              <w:left w:val="nil"/>
              <w:bottom w:val="single" w:sz="4" w:space="0" w:color="auto"/>
              <w:right w:val="single" w:sz="4" w:space="0" w:color="auto"/>
            </w:tcBorders>
            <w:shd w:val="clear" w:color="000000" w:fill="FFF2CC"/>
            <w:noWrap/>
            <w:vAlign w:val="center"/>
            <w:hideMark/>
          </w:tcPr>
          <w:p w14:paraId="03FF939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7ECEDF2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NL</w:t>
            </w:r>
          </w:p>
        </w:tc>
      </w:tr>
      <w:tr w:rsidR="006825FF" w:rsidRPr="006825FF" w14:paraId="6E7CACDE"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076A7FD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1BB671E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NAAP2</w:t>
            </w:r>
          </w:p>
        </w:tc>
        <w:tc>
          <w:tcPr>
            <w:tcW w:w="2268" w:type="dxa"/>
            <w:tcBorders>
              <w:top w:val="nil"/>
              <w:left w:val="nil"/>
              <w:bottom w:val="single" w:sz="4" w:space="0" w:color="auto"/>
              <w:right w:val="single" w:sz="4" w:space="0" w:color="auto"/>
            </w:tcBorders>
            <w:shd w:val="clear" w:color="000000" w:fill="FFF2CC"/>
            <w:noWrap/>
            <w:vAlign w:val="center"/>
            <w:hideMark/>
          </w:tcPr>
          <w:p w14:paraId="413CAA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Noratlantic Area NOR-NorP2</w:t>
            </w:r>
          </w:p>
        </w:tc>
        <w:tc>
          <w:tcPr>
            <w:tcW w:w="5953" w:type="dxa"/>
            <w:tcBorders>
              <w:top w:val="nil"/>
              <w:left w:val="nil"/>
              <w:bottom w:val="single" w:sz="4" w:space="0" w:color="auto"/>
              <w:right w:val="single" w:sz="4" w:space="0" w:color="auto"/>
            </w:tcBorders>
            <w:shd w:val="clear" w:color="000000" w:fill="FFF2CC"/>
            <w:vAlign w:val="center"/>
            <w:hideMark/>
          </w:tcPr>
          <w:p w14:paraId="4F5B177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Transition area between the coast and open ocean, internal.</w:t>
            </w:r>
          </w:p>
        </w:tc>
        <w:tc>
          <w:tcPr>
            <w:tcW w:w="860" w:type="dxa"/>
            <w:tcBorders>
              <w:top w:val="nil"/>
              <w:left w:val="nil"/>
              <w:bottom w:val="single" w:sz="4" w:space="0" w:color="auto"/>
              <w:right w:val="single" w:sz="4" w:space="0" w:color="auto"/>
            </w:tcBorders>
            <w:shd w:val="clear" w:color="000000" w:fill="FFF2CC"/>
            <w:noWrap/>
            <w:vAlign w:val="center"/>
            <w:hideMark/>
          </w:tcPr>
          <w:p w14:paraId="74A0D48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8327</w:t>
            </w:r>
          </w:p>
        </w:tc>
        <w:tc>
          <w:tcPr>
            <w:tcW w:w="700" w:type="dxa"/>
            <w:tcBorders>
              <w:top w:val="nil"/>
              <w:left w:val="nil"/>
              <w:bottom w:val="single" w:sz="4" w:space="0" w:color="auto"/>
              <w:right w:val="single" w:sz="4" w:space="0" w:color="auto"/>
            </w:tcBorders>
            <w:shd w:val="clear" w:color="000000" w:fill="FFF2CC"/>
            <w:noWrap/>
            <w:vAlign w:val="center"/>
            <w:hideMark/>
          </w:tcPr>
          <w:p w14:paraId="590608C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FFF2CC"/>
            <w:noWrap/>
            <w:vAlign w:val="center"/>
            <w:hideMark/>
          </w:tcPr>
          <w:p w14:paraId="578B639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FFF2CC"/>
            <w:noWrap/>
            <w:vAlign w:val="center"/>
            <w:hideMark/>
          </w:tcPr>
          <w:p w14:paraId="197801D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2BEAEC6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4DE641C1"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4000C55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789FB52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NAAPF</w:t>
            </w:r>
          </w:p>
        </w:tc>
        <w:tc>
          <w:tcPr>
            <w:tcW w:w="2268" w:type="dxa"/>
            <w:tcBorders>
              <w:top w:val="nil"/>
              <w:left w:val="nil"/>
              <w:bottom w:val="single" w:sz="4" w:space="0" w:color="auto"/>
              <w:right w:val="single" w:sz="4" w:space="0" w:color="auto"/>
            </w:tcBorders>
            <w:shd w:val="clear" w:color="000000" w:fill="FFF2CC"/>
            <w:noWrap/>
            <w:vAlign w:val="center"/>
            <w:hideMark/>
          </w:tcPr>
          <w:p w14:paraId="21F69B5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Noratlantic Area NOR-Plataforma</w:t>
            </w:r>
          </w:p>
        </w:tc>
        <w:tc>
          <w:tcPr>
            <w:tcW w:w="5953" w:type="dxa"/>
            <w:tcBorders>
              <w:top w:val="nil"/>
              <w:left w:val="nil"/>
              <w:bottom w:val="single" w:sz="4" w:space="0" w:color="auto"/>
              <w:right w:val="single" w:sz="4" w:space="0" w:color="auto"/>
            </w:tcBorders>
            <w:shd w:val="clear" w:color="000000" w:fill="FFF2CC"/>
            <w:vAlign w:val="center"/>
            <w:hideMark/>
          </w:tcPr>
          <w:p w14:paraId="0CB2861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Transition area between the coast and open ocean, external.</w:t>
            </w:r>
          </w:p>
        </w:tc>
        <w:tc>
          <w:tcPr>
            <w:tcW w:w="860" w:type="dxa"/>
            <w:tcBorders>
              <w:top w:val="nil"/>
              <w:left w:val="nil"/>
              <w:bottom w:val="single" w:sz="4" w:space="0" w:color="auto"/>
              <w:right w:val="single" w:sz="4" w:space="0" w:color="auto"/>
            </w:tcBorders>
            <w:shd w:val="clear" w:color="000000" w:fill="FFF2CC"/>
            <w:noWrap/>
            <w:vAlign w:val="center"/>
            <w:hideMark/>
          </w:tcPr>
          <w:p w14:paraId="37CE00C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37101</w:t>
            </w:r>
          </w:p>
        </w:tc>
        <w:tc>
          <w:tcPr>
            <w:tcW w:w="700" w:type="dxa"/>
            <w:tcBorders>
              <w:top w:val="nil"/>
              <w:left w:val="nil"/>
              <w:bottom w:val="single" w:sz="4" w:space="0" w:color="auto"/>
              <w:right w:val="single" w:sz="4" w:space="0" w:color="auto"/>
            </w:tcBorders>
            <w:shd w:val="clear" w:color="000000" w:fill="FFF2CC"/>
            <w:noWrap/>
            <w:vAlign w:val="center"/>
            <w:hideMark/>
          </w:tcPr>
          <w:p w14:paraId="74FFF05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FFF2CC"/>
            <w:noWrap/>
            <w:vAlign w:val="center"/>
            <w:hideMark/>
          </w:tcPr>
          <w:p w14:paraId="19B4EA1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FFF2CC"/>
            <w:noWrap/>
            <w:vAlign w:val="center"/>
            <w:hideMark/>
          </w:tcPr>
          <w:p w14:paraId="4C863B9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54A80C2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751E28E9"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157554F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5148747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RHPM</w:t>
            </w:r>
          </w:p>
        </w:tc>
        <w:tc>
          <w:tcPr>
            <w:tcW w:w="2268" w:type="dxa"/>
            <w:tcBorders>
              <w:top w:val="nil"/>
              <w:left w:val="nil"/>
              <w:bottom w:val="single" w:sz="4" w:space="0" w:color="auto"/>
              <w:right w:val="single" w:sz="4" w:space="0" w:color="auto"/>
            </w:tcBorders>
            <w:shd w:val="clear" w:color="000000" w:fill="FFF2CC"/>
            <w:noWrap/>
            <w:vAlign w:val="center"/>
            <w:hideMark/>
          </w:tcPr>
          <w:p w14:paraId="63AA08E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Rhine plume</w:t>
            </w:r>
          </w:p>
        </w:tc>
        <w:tc>
          <w:tcPr>
            <w:tcW w:w="5953" w:type="dxa"/>
            <w:tcBorders>
              <w:top w:val="nil"/>
              <w:left w:val="nil"/>
              <w:bottom w:val="single" w:sz="4" w:space="0" w:color="auto"/>
              <w:right w:val="single" w:sz="4" w:space="0" w:color="auto"/>
            </w:tcBorders>
            <w:shd w:val="clear" w:color="000000" w:fill="FFF2CC"/>
            <w:vAlign w:val="center"/>
            <w:hideMark/>
          </w:tcPr>
          <w:p w14:paraId="0D24347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Rhine river. The landward boundary is the WFD water bodies, the outer boundaries are defined by the 32(?) psu salinity contour. The boundary between the Rhine and the Meuse plume is based on an extension of the WFD water body boundaries.</w:t>
            </w:r>
          </w:p>
        </w:tc>
        <w:tc>
          <w:tcPr>
            <w:tcW w:w="860" w:type="dxa"/>
            <w:tcBorders>
              <w:top w:val="nil"/>
              <w:left w:val="nil"/>
              <w:bottom w:val="single" w:sz="4" w:space="0" w:color="auto"/>
              <w:right w:val="single" w:sz="4" w:space="0" w:color="auto"/>
            </w:tcBorders>
            <w:shd w:val="clear" w:color="000000" w:fill="FFF2CC"/>
            <w:noWrap/>
            <w:vAlign w:val="center"/>
            <w:hideMark/>
          </w:tcPr>
          <w:p w14:paraId="40FCF1E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2279</w:t>
            </w:r>
          </w:p>
        </w:tc>
        <w:tc>
          <w:tcPr>
            <w:tcW w:w="700" w:type="dxa"/>
            <w:tcBorders>
              <w:top w:val="nil"/>
              <w:left w:val="nil"/>
              <w:bottom w:val="single" w:sz="4" w:space="0" w:color="auto"/>
              <w:right w:val="single" w:sz="4" w:space="0" w:color="auto"/>
            </w:tcBorders>
            <w:shd w:val="clear" w:color="000000" w:fill="FFF2CC"/>
            <w:noWrap/>
            <w:vAlign w:val="center"/>
            <w:hideMark/>
          </w:tcPr>
          <w:p w14:paraId="42D8E16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17</w:t>
            </w:r>
          </w:p>
        </w:tc>
        <w:tc>
          <w:tcPr>
            <w:tcW w:w="767" w:type="dxa"/>
            <w:tcBorders>
              <w:top w:val="nil"/>
              <w:left w:val="nil"/>
              <w:bottom w:val="single" w:sz="4" w:space="0" w:color="auto"/>
              <w:right w:val="single" w:sz="4" w:space="0" w:color="auto"/>
            </w:tcBorders>
            <w:shd w:val="clear" w:color="000000" w:fill="FFF2CC"/>
            <w:noWrap/>
            <w:vAlign w:val="center"/>
            <w:hideMark/>
          </w:tcPr>
          <w:p w14:paraId="154B953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31</w:t>
            </w:r>
          </w:p>
        </w:tc>
        <w:tc>
          <w:tcPr>
            <w:tcW w:w="731" w:type="dxa"/>
            <w:tcBorders>
              <w:top w:val="nil"/>
              <w:left w:val="nil"/>
              <w:bottom w:val="single" w:sz="4" w:space="0" w:color="auto"/>
              <w:right w:val="single" w:sz="4" w:space="0" w:color="auto"/>
            </w:tcBorders>
            <w:shd w:val="clear" w:color="000000" w:fill="FFF2CC"/>
            <w:noWrap/>
            <w:vAlign w:val="center"/>
            <w:hideMark/>
          </w:tcPr>
          <w:p w14:paraId="0FA746C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1F5403B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NL</w:t>
            </w:r>
          </w:p>
        </w:tc>
      </w:tr>
      <w:tr w:rsidR="006825FF" w:rsidRPr="006825FF" w14:paraId="1DEC25CA"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211478C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2969D67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SCHPM1</w:t>
            </w:r>
          </w:p>
        </w:tc>
        <w:tc>
          <w:tcPr>
            <w:tcW w:w="2268" w:type="dxa"/>
            <w:tcBorders>
              <w:top w:val="nil"/>
              <w:left w:val="nil"/>
              <w:bottom w:val="single" w:sz="4" w:space="0" w:color="auto"/>
              <w:right w:val="single" w:sz="4" w:space="0" w:color="auto"/>
            </w:tcBorders>
            <w:shd w:val="clear" w:color="000000" w:fill="FFF2CC"/>
            <w:noWrap/>
            <w:vAlign w:val="center"/>
            <w:hideMark/>
          </w:tcPr>
          <w:p w14:paraId="5C545B5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Scheldt plume 1</w:t>
            </w:r>
          </w:p>
        </w:tc>
        <w:tc>
          <w:tcPr>
            <w:tcW w:w="5953" w:type="dxa"/>
            <w:tcBorders>
              <w:top w:val="nil"/>
              <w:left w:val="nil"/>
              <w:bottom w:val="single" w:sz="4" w:space="0" w:color="auto"/>
              <w:right w:val="single" w:sz="4" w:space="0" w:color="auto"/>
            </w:tcBorders>
            <w:shd w:val="clear" w:color="000000" w:fill="FFF2CC"/>
            <w:vAlign w:val="center"/>
            <w:hideMark/>
          </w:tcPr>
          <w:p w14:paraId="2B4195A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 xml:space="preserve">Southern part of the plume of the Scheldt river. The landward boundary is the WFD water bodies, the outer boundaries are defined by the 32 psu salinity contour. </w:t>
            </w:r>
          </w:p>
        </w:tc>
        <w:tc>
          <w:tcPr>
            <w:tcW w:w="860" w:type="dxa"/>
            <w:tcBorders>
              <w:top w:val="nil"/>
              <w:left w:val="nil"/>
              <w:bottom w:val="single" w:sz="4" w:space="0" w:color="auto"/>
              <w:right w:val="single" w:sz="4" w:space="0" w:color="auto"/>
            </w:tcBorders>
            <w:shd w:val="clear" w:color="000000" w:fill="FFF2CC"/>
            <w:noWrap/>
            <w:vAlign w:val="center"/>
            <w:hideMark/>
          </w:tcPr>
          <w:p w14:paraId="0E16776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582</w:t>
            </w:r>
          </w:p>
        </w:tc>
        <w:tc>
          <w:tcPr>
            <w:tcW w:w="700" w:type="dxa"/>
            <w:tcBorders>
              <w:top w:val="nil"/>
              <w:left w:val="nil"/>
              <w:bottom w:val="single" w:sz="4" w:space="0" w:color="auto"/>
              <w:right w:val="single" w:sz="4" w:space="0" w:color="auto"/>
            </w:tcBorders>
            <w:shd w:val="clear" w:color="000000" w:fill="FFF2CC"/>
            <w:noWrap/>
            <w:vAlign w:val="center"/>
            <w:hideMark/>
          </w:tcPr>
          <w:p w14:paraId="0EEFF84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13</w:t>
            </w:r>
          </w:p>
        </w:tc>
        <w:tc>
          <w:tcPr>
            <w:tcW w:w="767" w:type="dxa"/>
            <w:tcBorders>
              <w:top w:val="nil"/>
              <w:left w:val="nil"/>
              <w:bottom w:val="single" w:sz="4" w:space="0" w:color="auto"/>
              <w:right w:val="single" w:sz="4" w:space="0" w:color="auto"/>
            </w:tcBorders>
            <w:shd w:val="clear" w:color="000000" w:fill="FFF2CC"/>
            <w:noWrap/>
            <w:vAlign w:val="center"/>
            <w:hideMark/>
          </w:tcPr>
          <w:p w14:paraId="2713617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31.4</w:t>
            </w:r>
          </w:p>
        </w:tc>
        <w:tc>
          <w:tcPr>
            <w:tcW w:w="731" w:type="dxa"/>
            <w:tcBorders>
              <w:top w:val="nil"/>
              <w:left w:val="nil"/>
              <w:bottom w:val="single" w:sz="4" w:space="0" w:color="auto"/>
              <w:right w:val="single" w:sz="4" w:space="0" w:color="auto"/>
            </w:tcBorders>
            <w:shd w:val="clear" w:color="000000" w:fill="FFF2CC"/>
            <w:noWrap/>
            <w:vAlign w:val="center"/>
            <w:hideMark/>
          </w:tcPr>
          <w:p w14:paraId="2D8E6D7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4C095AC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BE, NL</w:t>
            </w:r>
          </w:p>
        </w:tc>
      </w:tr>
      <w:tr w:rsidR="006825FF" w:rsidRPr="006825FF" w14:paraId="0B4AB851"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0772714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4C7081C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SCHPM2</w:t>
            </w:r>
          </w:p>
        </w:tc>
        <w:tc>
          <w:tcPr>
            <w:tcW w:w="2268" w:type="dxa"/>
            <w:tcBorders>
              <w:top w:val="nil"/>
              <w:left w:val="nil"/>
              <w:bottom w:val="single" w:sz="4" w:space="0" w:color="auto"/>
              <w:right w:val="single" w:sz="4" w:space="0" w:color="auto"/>
            </w:tcBorders>
            <w:shd w:val="clear" w:color="000000" w:fill="FFF2CC"/>
            <w:noWrap/>
            <w:vAlign w:val="center"/>
            <w:hideMark/>
          </w:tcPr>
          <w:p w14:paraId="133009C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Scheldt plume 2</w:t>
            </w:r>
          </w:p>
        </w:tc>
        <w:tc>
          <w:tcPr>
            <w:tcW w:w="5953" w:type="dxa"/>
            <w:tcBorders>
              <w:top w:val="nil"/>
              <w:left w:val="nil"/>
              <w:bottom w:val="single" w:sz="4" w:space="0" w:color="auto"/>
              <w:right w:val="single" w:sz="4" w:space="0" w:color="auto"/>
            </w:tcBorders>
            <w:shd w:val="clear" w:color="000000" w:fill="FFF2CC"/>
            <w:vAlign w:val="center"/>
            <w:hideMark/>
          </w:tcPr>
          <w:p w14:paraId="34F430F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Northern part of the plume of the Scheldt river. The landward boundary is the WFD water bodies, the outer boundaries are defined by the 32(?) psu salinity contour. The boundary between the Scheldt and the Meuse plume is based on an extension of the WFD water body boundaries.</w:t>
            </w:r>
          </w:p>
        </w:tc>
        <w:tc>
          <w:tcPr>
            <w:tcW w:w="860" w:type="dxa"/>
            <w:tcBorders>
              <w:top w:val="nil"/>
              <w:left w:val="nil"/>
              <w:bottom w:val="single" w:sz="4" w:space="0" w:color="auto"/>
              <w:right w:val="single" w:sz="4" w:space="0" w:color="auto"/>
            </w:tcBorders>
            <w:shd w:val="clear" w:color="000000" w:fill="FFF2CC"/>
            <w:noWrap/>
            <w:vAlign w:val="center"/>
            <w:hideMark/>
          </w:tcPr>
          <w:p w14:paraId="170788D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95</w:t>
            </w:r>
          </w:p>
        </w:tc>
        <w:tc>
          <w:tcPr>
            <w:tcW w:w="700" w:type="dxa"/>
            <w:tcBorders>
              <w:top w:val="nil"/>
              <w:left w:val="nil"/>
              <w:bottom w:val="single" w:sz="4" w:space="0" w:color="auto"/>
              <w:right w:val="single" w:sz="4" w:space="0" w:color="auto"/>
            </w:tcBorders>
            <w:shd w:val="clear" w:color="000000" w:fill="FFF2CC"/>
            <w:noWrap/>
            <w:vAlign w:val="center"/>
            <w:hideMark/>
          </w:tcPr>
          <w:p w14:paraId="1719656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15</w:t>
            </w:r>
          </w:p>
        </w:tc>
        <w:tc>
          <w:tcPr>
            <w:tcW w:w="767" w:type="dxa"/>
            <w:tcBorders>
              <w:top w:val="nil"/>
              <w:left w:val="nil"/>
              <w:bottom w:val="single" w:sz="4" w:space="0" w:color="auto"/>
              <w:right w:val="single" w:sz="4" w:space="0" w:color="auto"/>
            </w:tcBorders>
            <w:shd w:val="clear" w:color="000000" w:fill="FFF2CC"/>
            <w:noWrap/>
            <w:vAlign w:val="center"/>
            <w:hideMark/>
          </w:tcPr>
          <w:p w14:paraId="44546E0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30.9</w:t>
            </w:r>
          </w:p>
        </w:tc>
        <w:tc>
          <w:tcPr>
            <w:tcW w:w="731" w:type="dxa"/>
            <w:tcBorders>
              <w:top w:val="nil"/>
              <w:left w:val="nil"/>
              <w:bottom w:val="single" w:sz="4" w:space="0" w:color="auto"/>
              <w:right w:val="single" w:sz="4" w:space="0" w:color="auto"/>
            </w:tcBorders>
            <w:shd w:val="clear" w:color="000000" w:fill="FFF2CC"/>
            <w:noWrap/>
            <w:vAlign w:val="center"/>
            <w:hideMark/>
          </w:tcPr>
          <w:p w14:paraId="760D9FD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03B9D5C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NL</w:t>
            </w:r>
          </w:p>
        </w:tc>
      </w:tr>
      <w:tr w:rsidR="006825FF" w:rsidRPr="006825FF" w14:paraId="7F0560D3"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4C8DB56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7375BA5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SS</w:t>
            </w:r>
          </w:p>
        </w:tc>
        <w:tc>
          <w:tcPr>
            <w:tcW w:w="2268" w:type="dxa"/>
            <w:tcBorders>
              <w:top w:val="nil"/>
              <w:left w:val="nil"/>
              <w:bottom w:val="single" w:sz="4" w:space="0" w:color="auto"/>
              <w:right w:val="single" w:sz="4" w:space="0" w:color="auto"/>
            </w:tcBorders>
            <w:shd w:val="clear" w:color="000000" w:fill="FFF2CC"/>
            <w:noWrap/>
            <w:vAlign w:val="center"/>
            <w:hideMark/>
          </w:tcPr>
          <w:p w14:paraId="067A67B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Scottish Sea</w:t>
            </w:r>
          </w:p>
        </w:tc>
        <w:tc>
          <w:tcPr>
            <w:tcW w:w="5953" w:type="dxa"/>
            <w:tcBorders>
              <w:top w:val="nil"/>
              <w:left w:val="nil"/>
              <w:bottom w:val="single" w:sz="4" w:space="0" w:color="auto"/>
              <w:right w:val="single" w:sz="4" w:space="0" w:color="auto"/>
            </w:tcBorders>
            <w:shd w:val="clear" w:color="000000" w:fill="FFF2CC"/>
            <w:vAlign w:val="center"/>
            <w:hideMark/>
          </w:tcPr>
          <w:p w14:paraId="20EA5FC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Waters surrounding Scotland. Landward boundary defined by the 3nm WFD boundaries. Outer boundaries defined by stratification and old OSPAR boundary</w:t>
            </w:r>
          </w:p>
        </w:tc>
        <w:tc>
          <w:tcPr>
            <w:tcW w:w="860" w:type="dxa"/>
            <w:tcBorders>
              <w:top w:val="nil"/>
              <w:left w:val="nil"/>
              <w:bottom w:val="single" w:sz="4" w:space="0" w:color="auto"/>
              <w:right w:val="single" w:sz="4" w:space="0" w:color="auto"/>
            </w:tcBorders>
            <w:shd w:val="clear" w:color="000000" w:fill="FFF2CC"/>
            <w:noWrap/>
            <w:vAlign w:val="center"/>
            <w:hideMark/>
          </w:tcPr>
          <w:p w14:paraId="5A683B6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53273</w:t>
            </w:r>
          </w:p>
        </w:tc>
        <w:tc>
          <w:tcPr>
            <w:tcW w:w="700" w:type="dxa"/>
            <w:tcBorders>
              <w:top w:val="nil"/>
              <w:left w:val="nil"/>
              <w:bottom w:val="single" w:sz="4" w:space="0" w:color="auto"/>
              <w:right w:val="single" w:sz="4" w:space="0" w:color="auto"/>
            </w:tcBorders>
            <w:shd w:val="clear" w:color="000000" w:fill="FFF2CC"/>
            <w:noWrap/>
            <w:vAlign w:val="center"/>
            <w:hideMark/>
          </w:tcPr>
          <w:p w14:paraId="6BBB41B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89</w:t>
            </w:r>
          </w:p>
        </w:tc>
        <w:tc>
          <w:tcPr>
            <w:tcW w:w="767" w:type="dxa"/>
            <w:tcBorders>
              <w:top w:val="nil"/>
              <w:left w:val="nil"/>
              <w:bottom w:val="single" w:sz="4" w:space="0" w:color="auto"/>
              <w:right w:val="single" w:sz="4" w:space="0" w:color="auto"/>
            </w:tcBorders>
            <w:shd w:val="clear" w:color="000000" w:fill="FFF2CC"/>
            <w:noWrap/>
            <w:vAlign w:val="center"/>
            <w:hideMark/>
          </w:tcPr>
          <w:p w14:paraId="09D51A3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35.1</w:t>
            </w:r>
          </w:p>
        </w:tc>
        <w:tc>
          <w:tcPr>
            <w:tcW w:w="731" w:type="dxa"/>
            <w:tcBorders>
              <w:top w:val="nil"/>
              <w:left w:val="nil"/>
              <w:bottom w:val="single" w:sz="4" w:space="0" w:color="auto"/>
              <w:right w:val="single" w:sz="4" w:space="0" w:color="auto"/>
            </w:tcBorders>
            <w:shd w:val="clear" w:color="000000" w:fill="FFF2CC"/>
            <w:noWrap/>
            <w:vAlign w:val="center"/>
            <w:hideMark/>
          </w:tcPr>
          <w:p w14:paraId="4F5C93A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 III</w:t>
            </w:r>
          </w:p>
        </w:tc>
        <w:tc>
          <w:tcPr>
            <w:tcW w:w="628" w:type="dxa"/>
            <w:tcBorders>
              <w:top w:val="nil"/>
              <w:left w:val="nil"/>
              <w:bottom w:val="single" w:sz="4" w:space="0" w:color="auto"/>
              <w:right w:val="single" w:sz="4" w:space="0" w:color="auto"/>
            </w:tcBorders>
            <w:shd w:val="clear" w:color="000000" w:fill="FFF2CC"/>
            <w:noWrap/>
            <w:vAlign w:val="center"/>
            <w:hideMark/>
          </w:tcPr>
          <w:p w14:paraId="2D99C41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5D9E7B4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0C608C1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6EEC325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SPM</w:t>
            </w:r>
          </w:p>
        </w:tc>
        <w:tc>
          <w:tcPr>
            <w:tcW w:w="2268" w:type="dxa"/>
            <w:tcBorders>
              <w:top w:val="nil"/>
              <w:left w:val="nil"/>
              <w:bottom w:val="single" w:sz="4" w:space="0" w:color="auto"/>
              <w:right w:val="single" w:sz="4" w:space="0" w:color="auto"/>
            </w:tcBorders>
            <w:shd w:val="clear" w:color="000000" w:fill="FFF2CC"/>
            <w:noWrap/>
            <w:vAlign w:val="center"/>
            <w:hideMark/>
          </w:tcPr>
          <w:p w14:paraId="76540C7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Seine plume</w:t>
            </w:r>
          </w:p>
        </w:tc>
        <w:tc>
          <w:tcPr>
            <w:tcW w:w="5953" w:type="dxa"/>
            <w:tcBorders>
              <w:top w:val="nil"/>
              <w:left w:val="nil"/>
              <w:bottom w:val="single" w:sz="4" w:space="0" w:color="auto"/>
              <w:right w:val="single" w:sz="4" w:space="0" w:color="auto"/>
            </w:tcBorders>
            <w:shd w:val="clear" w:color="000000" w:fill="FFF2CC"/>
            <w:vAlign w:val="center"/>
            <w:hideMark/>
          </w:tcPr>
          <w:p w14:paraId="116F41E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Seine river. The area boundaries were based on combined modelling and data analysis work by SHOM (Cachera et al., 2019)</w:t>
            </w:r>
          </w:p>
        </w:tc>
        <w:tc>
          <w:tcPr>
            <w:tcW w:w="860" w:type="dxa"/>
            <w:tcBorders>
              <w:top w:val="nil"/>
              <w:left w:val="nil"/>
              <w:bottom w:val="single" w:sz="4" w:space="0" w:color="auto"/>
              <w:right w:val="single" w:sz="4" w:space="0" w:color="auto"/>
            </w:tcBorders>
            <w:shd w:val="clear" w:color="000000" w:fill="FFF2CC"/>
            <w:noWrap/>
            <w:vAlign w:val="center"/>
            <w:hideMark/>
          </w:tcPr>
          <w:p w14:paraId="7440A49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1115</w:t>
            </w:r>
          </w:p>
        </w:tc>
        <w:tc>
          <w:tcPr>
            <w:tcW w:w="700" w:type="dxa"/>
            <w:tcBorders>
              <w:top w:val="nil"/>
              <w:left w:val="nil"/>
              <w:bottom w:val="single" w:sz="4" w:space="0" w:color="auto"/>
              <w:right w:val="single" w:sz="4" w:space="0" w:color="auto"/>
            </w:tcBorders>
            <w:shd w:val="clear" w:color="000000" w:fill="FFF2CC"/>
            <w:noWrap/>
            <w:vAlign w:val="center"/>
            <w:hideMark/>
          </w:tcPr>
          <w:p w14:paraId="6EF82FD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25</w:t>
            </w:r>
          </w:p>
        </w:tc>
        <w:tc>
          <w:tcPr>
            <w:tcW w:w="767" w:type="dxa"/>
            <w:tcBorders>
              <w:top w:val="nil"/>
              <w:left w:val="nil"/>
              <w:bottom w:val="single" w:sz="4" w:space="0" w:color="auto"/>
              <w:right w:val="single" w:sz="4" w:space="0" w:color="auto"/>
            </w:tcBorders>
            <w:shd w:val="clear" w:color="000000" w:fill="FFF2CC"/>
            <w:noWrap/>
            <w:vAlign w:val="center"/>
            <w:hideMark/>
          </w:tcPr>
          <w:p w14:paraId="4250416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31.8</w:t>
            </w:r>
          </w:p>
        </w:tc>
        <w:tc>
          <w:tcPr>
            <w:tcW w:w="731" w:type="dxa"/>
            <w:tcBorders>
              <w:top w:val="nil"/>
              <w:left w:val="nil"/>
              <w:bottom w:val="single" w:sz="4" w:space="0" w:color="auto"/>
              <w:right w:val="single" w:sz="4" w:space="0" w:color="auto"/>
            </w:tcBorders>
            <w:shd w:val="clear" w:color="000000" w:fill="FFF2CC"/>
            <w:noWrap/>
            <w:vAlign w:val="center"/>
            <w:hideMark/>
          </w:tcPr>
          <w:p w14:paraId="1BEA788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FFF2CC"/>
            <w:noWrap/>
            <w:vAlign w:val="center"/>
            <w:hideMark/>
          </w:tcPr>
          <w:p w14:paraId="0D1E473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w:t>
            </w:r>
          </w:p>
        </w:tc>
      </w:tr>
      <w:tr w:rsidR="006825FF" w:rsidRPr="006825FF" w14:paraId="3F992A7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23EBD6B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299808D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SHPM</w:t>
            </w:r>
          </w:p>
        </w:tc>
        <w:tc>
          <w:tcPr>
            <w:tcW w:w="2268" w:type="dxa"/>
            <w:tcBorders>
              <w:top w:val="nil"/>
              <w:left w:val="nil"/>
              <w:bottom w:val="single" w:sz="4" w:space="0" w:color="auto"/>
              <w:right w:val="single" w:sz="4" w:space="0" w:color="auto"/>
            </w:tcBorders>
            <w:shd w:val="clear" w:color="000000" w:fill="FFF2CC"/>
            <w:noWrap/>
            <w:vAlign w:val="center"/>
            <w:hideMark/>
          </w:tcPr>
          <w:p w14:paraId="4898C17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Shannon plume</w:t>
            </w:r>
          </w:p>
        </w:tc>
        <w:tc>
          <w:tcPr>
            <w:tcW w:w="5953" w:type="dxa"/>
            <w:tcBorders>
              <w:top w:val="nil"/>
              <w:left w:val="nil"/>
              <w:bottom w:val="single" w:sz="4" w:space="0" w:color="auto"/>
              <w:right w:val="single" w:sz="4" w:space="0" w:color="auto"/>
            </w:tcBorders>
            <w:shd w:val="clear" w:color="000000" w:fill="FFF2CC"/>
            <w:vAlign w:val="center"/>
            <w:hideMark/>
          </w:tcPr>
          <w:p w14:paraId="2743523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Shannon river.</w:t>
            </w:r>
          </w:p>
        </w:tc>
        <w:tc>
          <w:tcPr>
            <w:tcW w:w="860" w:type="dxa"/>
            <w:tcBorders>
              <w:top w:val="nil"/>
              <w:left w:val="nil"/>
              <w:bottom w:val="single" w:sz="4" w:space="0" w:color="auto"/>
              <w:right w:val="single" w:sz="4" w:space="0" w:color="auto"/>
            </w:tcBorders>
            <w:shd w:val="clear" w:color="000000" w:fill="FFF2CC"/>
            <w:noWrap/>
            <w:vAlign w:val="center"/>
            <w:hideMark/>
          </w:tcPr>
          <w:p w14:paraId="5CB4F8B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380</w:t>
            </w:r>
          </w:p>
        </w:tc>
        <w:tc>
          <w:tcPr>
            <w:tcW w:w="700" w:type="dxa"/>
            <w:tcBorders>
              <w:top w:val="nil"/>
              <w:left w:val="nil"/>
              <w:bottom w:val="single" w:sz="4" w:space="0" w:color="auto"/>
              <w:right w:val="single" w:sz="4" w:space="0" w:color="auto"/>
            </w:tcBorders>
            <w:shd w:val="clear" w:color="000000" w:fill="FFF2CC"/>
            <w:noWrap/>
            <w:vAlign w:val="center"/>
            <w:hideMark/>
          </w:tcPr>
          <w:p w14:paraId="25B6794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61</w:t>
            </w:r>
          </w:p>
        </w:tc>
        <w:tc>
          <w:tcPr>
            <w:tcW w:w="767" w:type="dxa"/>
            <w:tcBorders>
              <w:top w:val="nil"/>
              <w:left w:val="nil"/>
              <w:bottom w:val="single" w:sz="4" w:space="0" w:color="auto"/>
              <w:right w:val="single" w:sz="4" w:space="0" w:color="auto"/>
            </w:tcBorders>
            <w:shd w:val="clear" w:color="000000" w:fill="FFF2CC"/>
            <w:noWrap/>
            <w:vAlign w:val="center"/>
            <w:hideMark/>
          </w:tcPr>
          <w:p w14:paraId="645812E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34.1</w:t>
            </w:r>
          </w:p>
        </w:tc>
        <w:tc>
          <w:tcPr>
            <w:tcW w:w="731" w:type="dxa"/>
            <w:tcBorders>
              <w:top w:val="nil"/>
              <w:left w:val="nil"/>
              <w:bottom w:val="single" w:sz="4" w:space="0" w:color="auto"/>
              <w:right w:val="single" w:sz="4" w:space="0" w:color="auto"/>
            </w:tcBorders>
            <w:shd w:val="clear" w:color="000000" w:fill="FFF2CC"/>
            <w:noWrap/>
            <w:vAlign w:val="center"/>
            <w:hideMark/>
          </w:tcPr>
          <w:p w14:paraId="21DA0DE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III</w:t>
            </w:r>
          </w:p>
        </w:tc>
        <w:tc>
          <w:tcPr>
            <w:tcW w:w="628" w:type="dxa"/>
            <w:tcBorders>
              <w:top w:val="nil"/>
              <w:left w:val="nil"/>
              <w:bottom w:val="single" w:sz="4" w:space="0" w:color="auto"/>
              <w:right w:val="single" w:sz="4" w:space="0" w:color="auto"/>
            </w:tcBorders>
            <w:shd w:val="clear" w:color="000000" w:fill="FFF2CC"/>
            <w:noWrap/>
            <w:vAlign w:val="center"/>
            <w:hideMark/>
          </w:tcPr>
          <w:p w14:paraId="4553EC3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IE</w:t>
            </w:r>
          </w:p>
        </w:tc>
      </w:tr>
      <w:tr w:rsidR="006825FF" w:rsidRPr="006825FF" w14:paraId="06F3DBEF"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71FF953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750D15D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SAAC1</w:t>
            </w:r>
          </w:p>
        </w:tc>
        <w:tc>
          <w:tcPr>
            <w:tcW w:w="2268" w:type="dxa"/>
            <w:tcBorders>
              <w:top w:val="nil"/>
              <w:left w:val="nil"/>
              <w:bottom w:val="single" w:sz="4" w:space="0" w:color="auto"/>
              <w:right w:val="single" w:sz="4" w:space="0" w:color="auto"/>
            </w:tcBorders>
            <w:shd w:val="clear" w:color="000000" w:fill="FFF2CC"/>
            <w:noWrap/>
            <w:vAlign w:val="center"/>
            <w:hideMark/>
          </w:tcPr>
          <w:p w14:paraId="120C648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Sudatlantic Area SUD-C1</w:t>
            </w:r>
          </w:p>
        </w:tc>
        <w:tc>
          <w:tcPr>
            <w:tcW w:w="5953" w:type="dxa"/>
            <w:tcBorders>
              <w:top w:val="nil"/>
              <w:left w:val="nil"/>
              <w:bottom w:val="single" w:sz="4" w:space="0" w:color="auto"/>
              <w:right w:val="single" w:sz="4" w:space="0" w:color="auto"/>
            </w:tcBorders>
            <w:shd w:val="clear" w:color="000000" w:fill="FFF2CC"/>
            <w:vAlign w:val="center"/>
            <w:hideMark/>
          </w:tcPr>
          <w:p w14:paraId="00794D2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Coastal area influenced by river discharges, internal.</w:t>
            </w:r>
          </w:p>
        </w:tc>
        <w:tc>
          <w:tcPr>
            <w:tcW w:w="860" w:type="dxa"/>
            <w:tcBorders>
              <w:top w:val="nil"/>
              <w:left w:val="nil"/>
              <w:bottom w:val="single" w:sz="4" w:space="0" w:color="auto"/>
              <w:right w:val="single" w:sz="4" w:space="0" w:color="auto"/>
            </w:tcBorders>
            <w:shd w:val="clear" w:color="000000" w:fill="FFF2CC"/>
            <w:noWrap/>
            <w:vAlign w:val="center"/>
            <w:hideMark/>
          </w:tcPr>
          <w:p w14:paraId="4891E7A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405</w:t>
            </w:r>
          </w:p>
        </w:tc>
        <w:tc>
          <w:tcPr>
            <w:tcW w:w="700" w:type="dxa"/>
            <w:tcBorders>
              <w:top w:val="nil"/>
              <w:left w:val="nil"/>
              <w:bottom w:val="single" w:sz="4" w:space="0" w:color="auto"/>
              <w:right w:val="single" w:sz="4" w:space="0" w:color="auto"/>
            </w:tcBorders>
            <w:shd w:val="clear" w:color="000000" w:fill="FFF2CC"/>
            <w:noWrap/>
            <w:vAlign w:val="center"/>
            <w:hideMark/>
          </w:tcPr>
          <w:p w14:paraId="206FB4C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FFF2CC"/>
            <w:noWrap/>
            <w:vAlign w:val="center"/>
            <w:hideMark/>
          </w:tcPr>
          <w:p w14:paraId="7876F87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FFF2CC"/>
            <w:noWrap/>
            <w:vAlign w:val="center"/>
            <w:hideMark/>
          </w:tcPr>
          <w:p w14:paraId="072662E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66AC9C4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358358A8"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FFF2CC"/>
            <w:noWrap/>
            <w:vAlign w:val="center"/>
            <w:hideMark/>
          </w:tcPr>
          <w:p w14:paraId="544923A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Coastal</w:t>
            </w:r>
          </w:p>
        </w:tc>
        <w:tc>
          <w:tcPr>
            <w:tcW w:w="942" w:type="dxa"/>
            <w:tcBorders>
              <w:top w:val="nil"/>
              <w:left w:val="nil"/>
              <w:bottom w:val="single" w:sz="4" w:space="0" w:color="auto"/>
              <w:right w:val="single" w:sz="4" w:space="0" w:color="auto"/>
            </w:tcBorders>
            <w:shd w:val="clear" w:color="000000" w:fill="FFF2CC"/>
            <w:noWrap/>
            <w:vAlign w:val="center"/>
            <w:hideMark/>
          </w:tcPr>
          <w:p w14:paraId="14E8E67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SAAP1</w:t>
            </w:r>
          </w:p>
        </w:tc>
        <w:tc>
          <w:tcPr>
            <w:tcW w:w="2268" w:type="dxa"/>
            <w:tcBorders>
              <w:top w:val="nil"/>
              <w:left w:val="nil"/>
              <w:bottom w:val="single" w:sz="4" w:space="0" w:color="auto"/>
              <w:right w:val="single" w:sz="4" w:space="0" w:color="auto"/>
            </w:tcBorders>
            <w:shd w:val="clear" w:color="000000" w:fill="FFF2CC"/>
            <w:noWrap/>
            <w:vAlign w:val="center"/>
            <w:hideMark/>
          </w:tcPr>
          <w:p w14:paraId="45DDB97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Sudatlantic Area SUD-P1</w:t>
            </w:r>
          </w:p>
        </w:tc>
        <w:tc>
          <w:tcPr>
            <w:tcW w:w="5953" w:type="dxa"/>
            <w:tcBorders>
              <w:top w:val="nil"/>
              <w:left w:val="nil"/>
              <w:bottom w:val="single" w:sz="4" w:space="0" w:color="auto"/>
              <w:right w:val="single" w:sz="4" w:space="0" w:color="auto"/>
            </w:tcBorders>
            <w:shd w:val="clear" w:color="000000" w:fill="FFF2CC"/>
            <w:vAlign w:val="center"/>
            <w:hideMark/>
          </w:tcPr>
          <w:p w14:paraId="6622104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Transition area between coast and open sea, river influenced.</w:t>
            </w:r>
          </w:p>
        </w:tc>
        <w:tc>
          <w:tcPr>
            <w:tcW w:w="860" w:type="dxa"/>
            <w:tcBorders>
              <w:top w:val="nil"/>
              <w:left w:val="nil"/>
              <w:bottom w:val="single" w:sz="4" w:space="0" w:color="auto"/>
              <w:right w:val="single" w:sz="4" w:space="0" w:color="auto"/>
            </w:tcBorders>
            <w:shd w:val="clear" w:color="000000" w:fill="FFF2CC"/>
            <w:noWrap/>
            <w:vAlign w:val="center"/>
            <w:hideMark/>
          </w:tcPr>
          <w:p w14:paraId="43D8720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2467</w:t>
            </w:r>
          </w:p>
        </w:tc>
        <w:tc>
          <w:tcPr>
            <w:tcW w:w="700" w:type="dxa"/>
            <w:tcBorders>
              <w:top w:val="nil"/>
              <w:left w:val="nil"/>
              <w:bottom w:val="single" w:sz="4" w:space="0" w:color="auto"/>
              <w:right w:val="single" w:sz="4" w:space="0" w:color="auto"/>
            </w:tcBorders>
            <w:shd w:val="clear" w:color="000000" w:fill="FFF2CC"/>
            <w:noWrap/>
            <w:vAlign w:val="center"/>
            <w:hideMark/>
          </w:tcPr>
          <w:p w14:paraId="619A58E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FFF2CC"/>
            <w:noWrap/>
            <w:vAlign w:val="center"/>
            <w:hideMark/>
          </w:tcPr>
          <w:p w14:paraId="79511C6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FFF2CC"/>
            <w:noWrap/>
            <w:vAlign w:val="center"/>
            <w:hideMark/>
          </w:tcPr>
          <w:p w14:paraId="37BCC6F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FFF2CC"/>
            <w:noWrap/>
            <w:vAlign w:val="center"/>
            <w:hideMark/>
          </w:tcPr>
          <w:p w14:paraId="60298FE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597C1CE8"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0AECEB8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3E14E40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w:t>
            </w:r>
          </w:p>
        </w:tc>
        <w:tc>
          <w:tcPr>
            <w:tcW w:w="2268" w:type="dxa"/>
            <w:tcBorders>
              <w:top w:val="nil"/>
              <w:left w:val="nil"/>
              <w:bottom w:val="single" w:sz="4" w:space="0" w:color="auto"/>
              <w:right w:val="single" w:sz="4" w:space="0" w:color="auto"/>
            </w:tcBorders>
            <w:shd w:val="clear" w:color="000000" w:fill="E2EFDA"/>
            <w:noWrap/>
            <w:vAlign w:val="center"/>
            <w:hideMark/>
          </w:tcPr>
          <w:p w14:paraId="427D952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Atlantic Seasonally Stratified</w:t>
            </w:r>
          </w:p>
        </w:tc>
        <w:tc>
          <w:tcPr>
            <w:tcW w:w="5953" w:type="dxa"/>
            <w:tcBorders>
              <w:top w:val="nil"/>
              <w:left w:val="nil"/>
              <w:bottom w:val="single" w:sz="4" w:space="0" w:color="auto"/>
              <w:right w:val="single" w:sz="4" w:space="0" w:color="auto"/>
            </w:tcBorders>
            <w:shd w:val="clear" w:color="000000" w:fill="E2EFDA"/>
            <w:vAlign w:val="center"/>
            <w:hideMark/>
          </w:tcPr>
          <w:p w14:paraId="66D099A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Area between 100-250 m dept line, seasonally stratified. NW part of Region IV, SW part of region III.</w:t>
            </w:r>
          </w:p>
        </w:tc>
        <w:tc>
          <w:tcPr>
            <w:tcW w:w="860" w:type="dxa"/>
            <w:tcBorders>
              <w:top w:val="nil"/>
              <w:left w:val="nil"/>
              <w:bottom w:val="single" w:sz="4" w:space="0" w:color="auto"/>
              <w:right w:val="single" w:sz="4" w:space="0" w:color="auto"/>
            </w:tcBorders>
            <w:shd w:val="clear" w:color="000000" w:fill="E2EFDA"/>
            <w:noWrap/>
            <w:vAlign w:val="center"/>
            <w:hideMark/>
          </w:tcPr>
          <w:p w14:paraId="6BA30E8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217301</w:t>
            </w:r>
          </w:p>
        </w:tc>
        <w:tc>
          <w:tcPr>
            <w:tcW w:w="700" w:type="dxa"/>
            <w:tcBorders>
              <w:top w:val="nil"/>
              <w:left w:val="nil"/>
              <w:bottom w:val="single" w:sz="4" w:space="0" w:color="auto"/>
              <w:right w:val="single" w:sz="4" w:space="0" w:color="auto"/>
            </w:tcBorders>
            <w:shd w:val="clear" w:color="000000" w:fill="E2EFDA"/>
            <w:noWrap/>
            <w:vAlign w:val="center"/>
            <w:hideMark/>
          </w:tcPr>
          <w:p w14:paraId="69723F9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134</w:t>
            </w:r>
          </w:p>
        </w:tc>
        <w:tc>
          <w:tcPr>
            <w:tcW w:w="767" w:type="dxa"/>
            <w:tcBorders>
              <w:top w:val="nil"/>
              <w:left w:val="nil"/>
              <w:bottom w:val="single" w:sz="4" w:space="0" w:color="auto"/>
              <w:right w:val="single" w:sz="4" w:space="0" w:color="auto"/>
            </w:tcBorders>
            <w:shd w:val="clear" w:color="000000" w:fill="E2EFDA"/>
            <w:noWrap/>
            <w:vAlign w:val="center"/>
            <w:hideMark/>
          </w:tcPr>
          <w:p w14:paraId="5EFE742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35.2</w:t>
            </w:r>
          </w:p>
        </w:tc>
        <w:tc>
          <w:tcPr>
            <w:tcW w:w="731" w:type="dxa"/>
            <w:tcBorders>
              <w:top w:val="nil"/>
              <w:left w:val="nil"/>
              <w:bottom w:val="single" w:sz="4" w:space="0" w:color="auto"/>
              <w:right w:val="single" w:sz="4" w:space="0" w:color="auto"/>
            </w:tcBorders>
            <w:shd w:val="clear" w:color="000000" w:fill="E2EFDA"/>
            <w:noWrap/>
            <w:vAlign w:val="center"/>
            <w:hideMark/>
          </w:tcPr>
          <w:p w14:paraId="62BBA08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III, IV</w:t>
            </w:r>
          </w:p>
        </w:tc>
        <w:tc>
          <w:tcPr>
            <w:tcW w:w="628" w:type="dxa"/>
            <w:tcBorders>
              <w:top w:val="nil"/>
              <w:left w:val="nil"/>
              <w:bottom w:val="single" w:sz="4" w:space="0" w:color="auto"/>
              <w:right w:val="single" w:sz="4" w:space="0" w:color="auto"/>
            </w:tcBorders>
            <w:shd w:val="clear" w:color="000000" w:fill="E2EFDA"/>
            <w:noWrap/>
            <w:vAlign w:val="center"/>
            <w:hideMark/>
          </w:tcPr>
          <w:p w14:paraId="530A9ED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 IE, UK</w:t>
            </w:r>
          </w:p>
        </w:tc>
      </w:tr>
      <w:tr w:rsidR="006825FF" w:rsidRPr="006825FF" w14:paraId="6974EC3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096DCDB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5479D2B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CCTI</w:t>
            </w:r>
          </w:p>
        </w:tc>
        <w:tc>
          <w:tcPr>
            <w:tcW w:w="2268" w:type="dxa"/>
            <w:tcBorders>
              <w:top w:val="nil"/>
              <w:left w:val="nil"/>
              <w:bottom w:val="single" w:sz="4" w:space="0" w:color="auto"/>
              <w:right w:val="single" w:sz="4" w:space="0" w:color="auto"/>
            </w:tcBorders>
            <w:shd w:val="clear" w:color="000000" w:fill="E2EFDA"/>
            <w:noWrap/>
            <w:vAlign w:val="center"/>
            <w:hideMark/>
          </w:tcPr>
          <w:p w14:paraId="6095FCF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Channel coastal shelf tidal influenced</w:t>
            </w:r>
          </w:p>
        </w:tc>
        <w:tc>
          <w:tcPr>
            <w:tcW w:w="5953" w:type="dxa"/>
            <w:tcBorders>
              <w:top w:val="nil"/>
              <w:left w:val="nil"/>
              <w:bottom w:val="single" w:sz="4" w:space="0" w:color="auto"/>
              <w:right w:val="single" w:sz="4" w:space="0" w:color="auto"/>
            </w:tcBorders>
            <w:shd w:val="clear" w:color="000000" w:fill="E2EFDA"/>
            <w:vAlign w:val="center"/>
            <w:hideMark/>
          </w:tcPr>
          <w:p w14:paraId="75166FE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Eastern part of Channel. Not stratified, influenced by tidal mixing. The area boundaries were based on combined modelling and data analysis work by SHOM (Cachera et al., 2019) and discussions between FR and UK.</w:t>
            </w:r>
          </w:p>
        </w:tc>
        <w:tc>
          <w:tcPr>
            <w:tcW w:w="860" w:type="dxa"/>
            <w:tcBorders>
              <w:top w:val="nil"/>
              <w:left w:val="nil"/>
              <w:bottom w:val="single" w:sz="4" w:space="0" w:color="auto"/>
              <w:right w:val="single" w:sz="4" w:space="0" w:color="auto"/>
            </w:tcBorders>
            <w:shd w:val="clear" w:color="000000" w:fill="E2EFDA"/>
            <w:noWrap/>
            <w:vAlign w:val="center"/>
            <w:hideMark/>
          </w:tcPr>
          <w:p w14:paraId="78D12CB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5081</w:t>
            </w:r>
          </w:p>
        </w:tc>
        <w:tc>
          <w:tcPr>
            <w:tcW w:w="700" w:type="dxa"/>
            <w:tcBorders>
              <w:top w:val="nil"/>
              <w:left w:val="nil"/>
              <w:bottom w:val="single" w:sz="4" w:space="0" w:color="auto"/>
              <w:right w:val="single" w:sz="4" w:space="0" w:color="auto"/>
            </w:tcBorders>
            <w:shd w:val="clear" w:color="000000" w:fill="E2EFDA"/>
            <w:noWrap/>
            <w:vAlign w:val="center"/>
            <w:hideMark/>
          </w:tcPr>
          <w:p w14:paraId="0BAD634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40</w:t>
            </w:r>
          </w:p>
        </w:tc>
        <w:tc>
          <w:tcPr>
            <w:tcW w:w="767" w:type="dxa"/>
            <w:tcBorders>
              <w:top w:val="nil"/>
              <w:left w:val="nil"/>
              <w:bottom w:val="single" w:sz="4" w:space="0" w:color="auto"/>
              <w:right w:val="single" w:sz="4" w:space="0" w:color="auto"/>
            </w:tcBorders>
            <w:shd w:val="clear" w:color="000000" w:fill="E2EFDA"/>
            <w:noWrap/>
            <w:vAlign w:val="center"/>
            <w:hideMark/>
          </w:tcPr>
          <w:p w14:paraId="15C6DCA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34.8</w:t>
            </w:r>
          </w:p>
        </w:tc>
        <w:tc>
          <w:tcPr>
            <w:tcW w:w="731" w:type="dxa"/>
            <w:tcBorders>
              <w:top w:val="nil"/>
              <w:left w:val="nil"/>
              <w:bottom w:val="single" w:sz="4" w:space="0" w:color="auto"/>
              <w:right w:val="single" w:sz="4" w:space="0" w:color="auto"/>
            </w:tcBorders>
            <w:shd w:val="clear" w:color="000000" w:fill="E2EFDA"/>
            <w:noWrap/>
            <w:vAlign w:val="center"/>
            <w:hideMark/>
          </w:tcPr>
          <w:p w14:paraId="090B090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0765DA5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 UK</w:t>
            </w:r>
          </w:p>
        </w:tc>
      </w:tr>
      <w:tr w:rsidR="006825FF" w:rsidRPr="006825FF" w14:paraId="796D0D3A"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4596691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lastRenderedPageBreak/>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364BA91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CWM</w:t>
            </w:r>
          </w:p>
        </w:tc>
        <w:tc>
          <w:tcPr>
            <w:tcW w:w="2268" w:type="dxa"/>
            <w:tcBorders>
              <w:top w:val="nil"/>
              <w:left w:val="nil"/>
              <w:bottom w:val="single" w:sz="4" w:space="0" w:color="auto"/>
              <w:right w:val="single" w:sz="4" w:space="0" w:color="auto"/>
            </w:tcBorders>
            <w:shd w:val="clear" w:color="000000" w:fill="E2EFDA"/>
            <w:noWrap/>
            <w:vAlign w:val="center"/>
            <w:hideMark/>
          </w:tcPr>
          <w:p w14:paraId="0FA3E27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Channel well mixed</w:t>
            </w:r>
          </w:p>
        </w:tc>
        <w:tc>
          <w:tcPr>
            <w:tcW w:w="5953" w:type="dxa"/>
            <w:tcBorders>
              <w:top w:val="nil"/>
              <w:left w:val="nil"/>
              <w:bottom w:val="single" w:sz="4" w:space="0" w:color="auto"/>
              <w:right w:val="single" w:sz="4" w:space="0" w:color="auto"/>
            </w:tcBorders>
            <w:shd w:val="clear" w:color="000000" w:fill="E2EFDA"/>
            <w:vAlign w:val="center"/>
            <w:hideMark/>
          </w:tcPr>
          <w:p w14:paraId="1D334DF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Western part of Channel, extending into Bay of Biscay. Not stratified. The area boundaries were based on combined modelling and data analysis work by SHOM (Cachera et al., 2019) and discussions between FR and UK.</w:t>
            </w:r>
          </w:p>
        </w:tc>
        <w:tc>
          <w:tcPr>
            <w:tcW w:w="860" w:type="dxa"/>
            <w:tcBorders>
              <w:top w:val="nil"/>
              <w:left w:val="nil"/>
              <w:bottom w:val="single" w:sz="4" w:space="0" w:color="auto"/>
              <w:right w:val="single" w:sz="4" w:space="0" w:color="auto"/>
            </w:tcBorders>
            <w:shd w:val="clear" w:color="000000" w:fill="E2EFDA"/>
            <w:noWrap/>
            <w:vAlign w:val="center"/>
            <w:hideMark/>
          </w:tcPr>
          <w:p w14:paraId="5442BDB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42015</w:t>
            </w:r>
          </w:p>
        </w:tc>
        <w:tc>
          <w:tcPr>
            <w:tcW w:w="700" w:type="dxa"/>
            <w:tcBorders>
              <w:top w:val="nil"/>
              <w:left w:val="nil"/>
              <w:bottom w:val="single" w:sz="4" w:space="0" w:color="auto"/>
              <w:right w:val="single" w:sz="4" w:space="0" w:color="auto"/>
            </w:tcBorders>
            <w:shd w:val="clear" w:color="000000" w:fill="E2EFDA"/>
            <w:noWrap/>
            <w:vAlign w:val="center"/>
            <w:hideMark/>
          </w:tcPr>
          <w:p w14:paraId="1F741BA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77</w:t>
            </w:r>
          </w:p>
        </w:tc>
        <w:tc>
          <w:tcPr>
            <w:tcW w:w="767" w:type="dxa"/>
            <w:tcBorders>
              <w:top w:val="nil"/>
              <w:left w:val="nil"/>
              <w:bottom w:val="single" w:sz="4" w:space="0" w:color="auto"/>
              <w:right w:val="single" w:sz="4" w:space="0" w:color="auto"/>
            </w:tcBorders>
            <w:shd w:val="clear" w:color="000000" w:fill="E2EFDA"/>
            <w:noWrap/>
            <w:vAlign w:val="center"/>
            <w:hideMark/>
          </w:tcPr>
          <w:p w14:paraId="44557BC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35.1</w:t>
            </w:r>
          </w:p>
        </w:tc>
        <w:tc>
          <w:tcPr>
            <w:tcW w:w="731" w:type="dxa"/>
            <w:tcBorders>
              <w:top w:val="nil"/>
              <w:left w:val="nil"/>
              <w:bottom w:val="single" w:sz="4" w:space="0" w:color="auto"/>
              <w:right w:val="single" w:sz="4" w:space="0" w:color="auto"/>
            </w:tcBorders>
            <w:shd w:val="clear" w:color="000000" w:fill="E2EFDA"/>
            <w:noWrap/>
            <w:vAlign w:val="center"/>
            <w:hideMark/>
          </w:tcPr>
          <w:p w14:paraId="1E7B792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 III</w:t>
            </w:r>
          </w:p>
        </w:tc>
        <w:tc>
          <w:tcPr>
            <w:tcW w:w="628" w:type="dxa"/>
            <w:tcBorders>
              <w:top w:val="nil"/>
              <w:left w:val="nil"/>
              <w:bottom w:val="single" w:sz="4" w:space="0" w:color="auto"/>
              <w:right w:val="single" w:sz="4" w:space="0" w:color="auto"/>
            </w:tcBorders>
            <w:shd w:val="clear" w:color="000000" w:fill="E2EFDA"/>
            <w:noWrap/>
            <w:vAlign w:val="center"/>
            <w:hideMark/>
          </w:tcPr>
          <w:p w14:paraId="01E2EB6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 UK</w:t>
            </w:r>
          </w:p>
        </w:tc>
      </w:tr>
      <w:tr w:rsidR="006825FF" w:rsidRPr="006825FF" w14:paraId="2ECF746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67A169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364EA9E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CWMTI</w:t>
            </w:r>
          </w:p>
        </w:tc>
        <w:tc>
          <w:tcPr>
            <w:tcW w:w="2268" w:type="dxa"/>
            <w:tcBorders>
              <w:top w:val="nil"/>
              <w:left w:val="nil"/>
              <w:bottom w:val="single" w:sz="4" w:space="0" w:color="auto"/>
              <w:right w:val="single" w:sz="4" w:space="0" w:color="auto"/>
            </w:tcBorders>
            <w:shd w:val="clear" w:color="000000" w:fill="E2EFDA"/>
            <w:noWrap/>
            <w:vAlign w:val="center"/>
            <w:hideMark/>
          </w:tcPr>
          <w:p w14:paraId="02D959A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Channel well mixed tidal influenced</w:t>
            </w:r>
          </w:p>
        </w:tc>
        <w:tc>
          <w:tcPr>
            <w:tcW w:w="5953" w:type="dxa"/>
            <w:tcBorders>
              <w:top w:val="nil"/>
              <w:left w:val="nil"/>
              <w:bottom w:val="single" w:sz="4" w:space="0" w:color="auto"/>
              <w:right w:val="single" w:sz="4" w:space="0" w:color="auto"/>
            </w:tcBorders>
            <w:shd w:val="clear" w:color="000000" w:fill="E2EFDA"/>
            <w:vAlign w:val="center"/>
            <w:hideMark/>
          </w:tcPr>
          <w:p w14:paraId="6751988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Central part of Channel. Not stratified, influenced by tidal mixing. The area boundaries were based on combined modelling and data analysis work by SHOM (Cachera et al., 2019) and discussions between FR and UK.</w:t>
            </w:r>
          </w:p>
        </w:tc>
        <w:tc>
          <w:tcPr>
            <w:tcW w:w="860" w:type="dxa"/>
            <w:tcBorders>
              <w:top w:val="nil"/>
              <w:left w:val="nil"/>
              <w:bottom w:val="single" w:sz="4" w:space="0" w:color="auto"/>
              <w:right w:val="single" w:sz="4" w:space="0" w:color="auto"/>
            </w:tcBorders>
            <w:shd w:val="clear" w:color="000000" w:fill="E2EFDA"/>
            <w:noWrap/>
            <w:vAlign w:val="center"/>
            <w:hideMark/>
          </w:tcPr>
          <w:p w14:paraId="4056A2E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20632</w:t>
            </w:r>
          </w:p>
        </w:tc>
        <w:tc>
          <w:tcPr>
            <w:tcW w:w="700" w:type="dxa"/>
            <w:tcBorders>
              <w:top w:val="nil"/>
              <w:left w:val="nil"/>
              <w:bottom w:val="single" w:sz="4" w:space="0" w:color="auto"/>
              <w:right w:val="single" w:sz="4" w:space="0" w:color="auto"/>
            </w:tcBorders>
            <w:shd w:val="clear" w:color="000000" w:fill="E2EFDA"/>
            <w:noWrap/>
            <w:vAlign w:val="center"/>
            <w:hideMark/>
          </w:tcPr>
          <w:p w14:paraId="56B5746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59</w:t>
            </w:r>
          </w:p>
        </w:tc>
        <w:tc>
          <w:tcPr>
            <w:tcW w:w="767" w:type="dxa"/>
            <w:tcBorders>
              <w:top w:val="nil"/>
              <w:left w:val="nil"/>
              <w:bottom w:val="single" w:sz="4" w:space="0" w:color="auto"/>
              <w:right w:val="single" w:sz="4" w:space="0" w:color="auto"/>
            </w:tcBorders>
            <w:shd w:val="clear" w:color="000000" w:fill="E2EFDA"/>
            <w:noWrap/>
            <w:vAlign w:val="center"/>
            <w:hideMark/>
          </w:tcPr>
          <w:p w14:paraId="0A3F7B7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w:t>
            </w:r>
          </w:p>
        </w:tc>
        <w:tc>
          <w:tcPr>
            <w:tcW w:w="731" w:type="dxa"/>
            <w:tcBorders>
              <w:top w:val="nil"/>
              <w:left w:val="nil"/>
              <w:bottom w:val="single" w:sz="4" w:space="0" w:color="auto"/>
              <w:right w:val="single" w:sz="4" w:space="0" w:color="auto"/>
            </w:tcBorders>
            <w:shd w:val="clear" w:color="000000" w:fill="E2EFDA"/>
            <w:noWrap/>
            <w:vAlign w:val="center"/>
            <w:hideMark/>
          </w:tcPr>
          <w:p w14:paraId="4071761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5BCBA6E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FR, UK</w:t>
            </w:r>
          </w:p>
        </w:tc>
      </w:tr>
      <w:tr w:rsidR="006825FF" w:rsidRPr="006825FF" w14:paraId="5EE4FEB9"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67B1E7B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2F123B5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CWAC</w:t>
            </w:r>
          </w:p>
        </w:tc>
        <w:tc>
          <w:tcPr>
            <w:tcW w:w="2268" w:type="dxa"/>
            <w:tcBorders>
              <w:top w:val="nil"/>
              <w:left w:val="nil"/>
              <w:bottom w:val="single" w:sz="4" w:space="0" w:color="auto"/>
              <w:right w:val="single" w:sz="4" w:space="0" w:color="auto"/>
            </w:tcBorders>
            <w:shd w:val="clear" w:color="000000" w:fill="E2EFDA"/>
            <w:noWrap/>
            <w:vAlign w:val="center"/>
            <w:hideMark/>
          </w:tcPr>
          <w:p w14:paraId="697AF10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AC</w:t>
            </w:r>
          </w:p>
        </w:tc>
        <w:tc>
          <w:tcPr>
            <w:tcW w:w="5953" w:type="dxa"/>
            <w:tcBorders>
              <w:top w:val="nil"/>
              <w:left w:val="nil"/>
              <w:bottom w:val="single" w:sz="4" w:space="0" w:color="auto"/>
              <w:right w:val="single" w:sz="4" w:space="0" w:color="auto"/>
            </w:tcBorders>
            <w:shd w:val="clear" w:color="000000" w:fill="E2EFDA"/>
            <w:vAlign w:val="center"/>
            <w:hideMark/>
          </w:tcPr>
          <w:p w14:paraId="2C7DD93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up to 100m contour for the area from the northern border with Spain to Cape Carvoeiro (A area)</w:t>
            </w:r>
          </w:p>
        </w:tc>
        <w:tc>
          <w:tcPr>
            <w:tcW w:w="860" w:type="dxa"/>
            <w:tcBorders>
              <w:top w:val="nil"/>
              <w:left w:val="nil"/>
              <w:bottom w:val="single" w:sz="4" w:space="0" w:color="auto"/>
              <w:right w:val="single" w:sz="4" w:space="0" w:color="auto"/>
            </w:tcBorders>
            <w:shd w:val="clear" w:color="000000" w:fill="E2EFDA"/>
            <w:noWrap/>
            <w:vAlign w:val="center"/>
            <w:hideMark/>
          </w:tcPr>
          <w:p w14:paraId="7302B88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7395</w:t>
            </w:r>
          </w:p>
        </w:tc>
        <w:tc>
          <w:tcPr>
            <w:tcW w:w="700" w:type="dxa"/>
            <w:tcBorders>
              <w:top w:val="nil"/>
              <w:left w:val="nil"/>
              <w:bottom w:val="single" w:sz="4" w:space="0" w:color="auto"/>
              <w:right w:val="single" w:sz="4" w:space="0" w:color="auto"/>
            </w:tcBorders>
            <w:shd w:val="clear" w:color="000000" w:fill="E2EFDA"/>
            <w:noWrap/>
            <w:vAlign w:val="center"/>
            <w:hideMark/>
          </w:tcPr>
          <w:p w14:paraId="4A6DA03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E2EFDA"/>
            <w:noWrap/>
            <w:vAlign w:val="center"/>
            <w:hideMark/>
          </w:tcPr>
          <w:p w14:paraId="6AA8D01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E2EFDA"/>
            <w:noWrap/>
            <w:vAlign w:val="center"/>
            <w:hideMark/>
          </w:tcPr>
          <w:p w14:paraId="69433E2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E2EFDA"/>
            <w:noWrap/>
            <w:vAlign w:val="center"/>
            <w:hideMark/>
          </w:tcPr>
          <w:p w14:paraId="53B4EC9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PT</w:t>
            </w:r>
          </w:p>
        </w:tc>
      </w:tr>
      <w:tr w:rsidR="006825FF" w:rsidRPr="006825FF" w14:paraId="306CF855"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120CDCF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1284EC4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ENS</w:t>
            </w:r>
          </w:p>
        </w:tc>
        <w:tc>
          <w:tcPr>
            <w:tcW w:w="2268" w:type="dxa"/>
            <w:tcBorders>
              <w:top w:val="nil"/>
              <w:left w:val="nil"/>
              <w:bottom w:val="single" w:sz="4" w:space="0" w:color="auto"/>
              <w:right w:val="single" w:sz="4" w:space="0" w:color="auto"/>
            </w:tcBorders>
            <w:shd w:val="clear" w:color="000000" w:fill="E2EFDA"/>
            <w:noWrap/>
            <w:vAlign w:val="center"/>
            <w:hideMark/>
          </w:tcPr>
          <w:p w14:paraId="106A559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Eastern North Sea</w:t>
            </w:r>
          </w:p>
        </w:tc>
        <w:tc>
          <w:tcPr>
            <w:tcW w:w="5953" w:type="dxa"/>
            <w:tcBorders>
              <w:top w:val="nil"/>
              <w:left w:val="nil"/>
              <w:bottom w:val="single" w:sz="4" w:space="0" w:color="auto"/>
              <w:right w:val="single" w:sz="4" w:space="0" w:color="auto"/>
            </w:tcBorders>
            <w:shd w:val="clear" w:color="000000" w:fill="E2EFDA"/>
            <w:vAlign w:val="center"/>
            <w:hideMark/>
          </w:tcPr>
          <w:p w14:paraId="5A63236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Seasonally stratified, east of the Dogger Bank, West of the 35m depth contour and the 34 psu contour</w:t>
            </w:r>
          </w:p>
        </w:tc>
        <w:tc>
          <w:tcPr>
            <w:tcW w:w="860" w:type="dxa"/>
            <w:tcBorders>
              <w:top w:val="nil"/>
              <w:left w:val="nil"/>
              <w:bottom w:val="single" w:sz="4" w:space="0" w:color="auto"/>
              <w:right w:val="single" w:sz="4" w:space="0" w:color="auto"/>
            </w:tcBorders>
            <w:shd w:val="clear" w:color="000000" w:fill="E2EFDA"/>
            <w:noWrap/>
            <w:vAlign w:val="center"/>
            <w:hideMark/>
          </w:tcPr>
          <w:p w14:paraId="285114A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60634</w:t>
            </w:r>
          </w:p>
        </w:tc>
        <w:tc>
          <w:tcPr>
            <w:tcW w:w="700" w:type="dxa"/>
            <w:tcBorders>
              <w:top w:val="nil"/>
              <w:left w:val="nil"/>
              <w:bottom w:val="single" w:sz="4" w:space="0" w:color="auto"/>
              <w:right w:val="single" w:sz="4" w:space="0" w:color="auto"/>
            </w:tcBorders>
            <w:shd w:val="clear" w:color="000000" w:fill="E2EFDA"/>
            <w:noWrap/>
            <w:vAlign w:val="center"/>
            <w:hideMark/>
          </w:tcPr>
          <w:p w14:paraId="49934C4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43</w:t>
            </w:r>
          </w:p>
        </w:tc>
        <w:tc>
          <w:tcPr>
            <w:tcW w:w="767" w:type="dxa"/>
            <w:tcBorders>
              <w:top w:val="nil"/>
              <w:left w:val="nil"/>
              <w:bottom w:val="single" w:sz="4" w:space="0" w:color="auto"/>
              <w:right w:val="single" w:sz="4" w:space="0" w:color="auto"/>
            </w:tcBorders>
            <w:shd w:val="clear" w:color="000000" w:fill="E2EFDA"/>
            <w:noWrap/>
            <w:vAlign w:val="center"/>
            <w:hideMark/>
          </w:tcPr>
          <w:p w14:paraId="32E1027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34.8</w:t>
            </w:r>
          </w:p>
        </w:tc>
        <w:tc>
          <w:tcPr>
            <w:tcW w:w="731" w:type="dxa"/>
            <w:tcBorders>
              <w:top w:val="nil"/>
              <w:left w:val="nil"/>
              <w:bottom w:val="single" w:sz="4" w:space="0" w:color="auto"/>
              <w:right w:val="single" w:sz="4" w:space="0" w:color="auto"/>
            </w:tcBorders>
            <w:shd w:val="clear" w:color="000000" w:fill="E2EFDA"/>
            <w:noWrap/>
            <w:vAlign w:val="center"/>
            <w:hideMark/>
          </w:tcPr>
          <w:p w14:paraId="7D27CF6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7B4C127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NL, DE, DK</w:t>
            </w:r>
          </w:p>
        </w:tc>
      </w:tr>
      <w:tr w:rsidR="006825FF" w:rsidRPr="006825FF" w14:paraId="0473D0CC"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5F7FA90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3F84245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GBC</w:t>
            </w:r>
          </w:p>
        </w:tc>
        <w:tc>
          <w:tcPr>
            <w:tcW w:w="2268" w:type="dxa"/>
            <w:tcBorders>
              <w:top w:val="nil"/>
              <w:left w:val="nil"/>
              <w:bottom w:val="single" w:sz="4" w:space="0" w:color="auto"/>
              <w:right w:val="single" w:sz="4" w:space="0" w:color="auto"/>
            </w:tcBorders>
            <w:shd w:val="clear" w:color="000000" w:fill="E2EFDA"/>
            <w:noWrap/>
            <w:vAlign w:val="center"/>
            <w:hideMark/>
          </w:tcPr>
          <w:p w14:paraId="4B7323A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German Bight central</w:t>
            </w:r>
          </w:p>
        </w:tc>
        <w:tc>
          <w:tcPr>
            <w:tcW w:w="5953" w:type="dxa"/>
            <w:tcBorders>
              <w:top w:val="nil"/>
              <w:left w:val="nil"/>
              <w:bottom w:val="single" w:sz="4" w:space="0" w:color="auto"/>
              <w:right w:val="single" w:sz="4" w:space="0" w:color="auto"/>
            </w:tcBorders>
            <w:shd w:val="clear" w:color="000000" w:fill="E2EFDA"/>
            <w:vAlign w:val="center"/>
            <w:hideMark/>
          </w:tcPr>
          <w:p w14:paraId="1B2B95C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Seasonally stratified</w:t>
            </w:r>
          </w:p>
        </w:tc>
        <w:tc>
          <w:tcPr>
            <w:tcW w:w="860" w:type="dxa"/>
            <w:tcBorders>
              <w:top w:val="nil"/>
              <w:left w:val="nil"/>
              <w:bottom w:val="single" w:sz="4" w:space="0" w:color="auto"/>
              <w:right w:val="single" w:sz="4" w:space="0" w:color="auto"/>
            </w:tcBorders>
            <w:shd w:val="clear" w:color="000000" w:fill="E2EFDA"/>
            <w:noWrap/>
            <w:vAlign w:val="center"/>
            <w:hideMark/>
          </w:tcPr>
          <w:p w14:paraId="721E0AD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4554</w:t>
            </w:r>
          </w:p>
        </w:tc>
        <w:tc>
          <w:tcPr>
            <w:tcW w:w="700" w:type="dxa"/>
            <w:tcBorders>
              <w:top w:val="nil"/>
              <w:left w:val="nil"/>
              <w:bottom w:val="single" w:sz="4" w:space="0" w:color="auto"/>
              <w:right w:val="single" w:sz="4" w:space="0" w:color="auto"/>
            </w:tcBorders>
            <w:shd w:val="clear" w:color="000000" w:fill="E2EFDA"/>
            <w:noWrap/>
            <w:vAlign w:val="center"/>
            <w:hideMark/>
          </w:tcPr>
          <w:p w14:paraId="0593F87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39</w:t>
            </w:r>
          </w:p>
        </w:tc>
        <w:tc>
          <w:tcPr>
            <w:tcW w:w="767" w:type="dxa"/>
            <w:tcBorders>
              <w:top w:val="nil"/>
              <w:left w:val="nil"/>
              <w:bottom w:val="single" w:sz="4" w:space="0" w:color="auto"/>
              <w:right w:val="single" w:sz="4" w:space="0" w:color="auto"/>
            </w:tcBorders>
            <w:shd w:val="clear" w:color="000000" w:fill="E2EFDA"/>
            <w:noWrap/>
            <w:vAlign w:val="center"/>
            <w:hideMark/>
          </w:tcPr>
          <w:p w14:paraId="18AF8CA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33.4</w:t>
            </w:r>
          </w:p>
        </w:tc>
        <w:tc>
          <w:tcPr>
            <w:tcW w:w="731" w:type="dxa"/>
            <w:tcBorders>
              <w:top w:val="nil"/>
              <w:left w:val="nil"/>
              <w:bottom w:val="single" w:sz="4" w:space="0" w:color="auto"/>
              <w:right w:val="single" w:sz="4" w:space="0" w:color="auto"/>
            </w:tcBorders>
            <w:shd w:val="clear" w:color="000000" w:fill="E2EFDA"/>
            <w:noWrap/>
            <w:vAlign w:val="center"/>
            <w:hideMark/>
          </w:tcPr>
          <w:p w14:paraId="21B2B41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5FB3814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DE</w:t>
            </w:r>
          </w:p>
        </w:tc>
      </w:tr>
      <w:tr w:rsidR="006825FF" w:rsidRPr="006825FF" w14:paraId="4F18E81D"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6A1DDE9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16F09DA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IS1</w:t>
            </w:r>
          </w:p>
        </w:tc>
        <w:tc>
          <w:tcPr>
            <w:tcW w:w="2268" w:type="dxa"/>
            <w:tcBorders>
              <w:top w:val="nil"/>
              <w:left w:val="nil"/>
              <w:bottom w:val="single" w:sz="4" w:space="0" w:color="auto"/>
              <w:right w:val="single" w:sz="4" w:space="0" w:color="auto"/>
            </w:tcBorders>
            <w:shd w:val="clear" w:color="000000" w:fill="E2EFDA"/>
            <w:noWrap/>
            <w:vAlign w:val="center"/>
            <w:hideMark/>
          </w:tcPr>
          <w:p w14:paraId="27DCA08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Intermittently Stratified 1</w:t>
            </w:r>
          </w:p>
        </w:tc>
        <w:tc>
          <w:tcPr>
            <w:tcW w:w="5953" w:type="dxa"/>
            <w:tcBorders>
              <w:top w:val="nil"/>
              <w:left w:val="nil"/>
              <w:bottom w:val="single" w:sz="4" w:space="0" w:color="auto"/>
              <w:right w:val="single" w:sz="4" w:space="0" w:color="auto"/>
            </w:tcBorders>
            <w:shd w:val="clear" w:color="000000" w:fill="E2EFDA"/>
            <w:vAlign w:val="center"/>
            <w:hideMark/>
          </w:tcPr>
          <w:p w14:paraId="56072FD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 </w:t>
            </w:r>
          </w:p>
        </w:tc>
        <w:tc>
          <w:tcPr>
            <w:tcW w:w="860" w:type="dxa"/>
            <w:tcBorders>
              <w:top w:val="nil"/>
              <w:left w:val="nil"/>
              <w:bottom w:val="single" w:sz="4" w:space="0" w:color="auto"/>
              <w:right w:val="single" w:sz="4" w:space="0" w:color="auto"/>
            </w:tcBorders>
            <w:shd w:val="clear" w:color="000000" w:fill="E2EFDA"/>
            <w:noWrap/>
            <w:vAlign w:val="center"/>
            <w:hideMark/>
          </w:tcPr>
          <w:p w14:paraId="6CC3FC7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73501</w:t>
            </w:r>
          </w:p>
        </w:tc>
        <w:tc>
          <w:tcPr>
            <w:tcW w:w="700" w:type="dxa"/>
            <w:tcBorders>
              <w:top w:val="nil"/>
              <w:left w:val="nil"/>
              <w:bottom w:val="single" w:sz="4" w:space="0" w:color="auto"/>
              <w:right w:val="single" w:sz="4" w:space="0" w:color="auto"/>
            </w:tcBorders>
            <w:shd w:val="clear" w:color="000000" w:fill="E2EFDA"/>
            <w:noWrap/>
            <w:vAlign w:val="center"/>
            <w:hideMark/>
          </w:tcPr>
          <w:p w14:paraId="35B835A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138</w:t>
            </w:r>
          </w:p>
        </w:tc>
        <w:tc>
          <w:tcPr>
            <w:tcW w:w="767" w:type="dxa"/>
            <w:tcBorders>
              <w:top w:val="nil"/>
              <w:left w:val="nil"/>
              <w:bottom w:val="single" w:sz="4" w:space="0" w:color="auto"/>
              <w:right w:val="single" w:sz="4" w:space="0" w:color="auto"/>
            </w:tcBorders>
            <w:shd w:val="clear" w:color="000000" w:fill="E2EFDA"/>
            <w:noWrap/>
            <w:vAlign w:val="center"/>
            <w:hideMark/>
          </w:tcPr>
          <w:p w14:paraId="76EED69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35.3</w:t>
            </w:r>
          </w:p>
        </w:tc>
        <w:tc>
          <w:tcPr>
            <w:tcW w:w="731" w:type="dxa"/>
            <w:tcBorders>
              <w:top w:val="nil"/>
              <w:left w:val="nil"/>
              <w:bottom w:val="single" w:sz="4" w:space="0" w:color="auto"/>
              <w:right w:val="single" w:sz="4" w:space="0" w:color="auto"/>
            </w:tcBorders>
            <w:shd w:val="clear" w:color="000000" w:fill="E2EFDA"/>
            <w:noWrap/>
            <w:vAlign w:val="center"/>
            <w:hideMark/>
          </w:tcPr>
          <w:p w14:paraId="43AACB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 III</w:t>
            </w:r>
          </w:p>
        </w:tc>
        <w:tc>
          <w:tcPr>
            <w:tcW w:w="628" w:type="dxa"/>
            <w:tcBorders>
              <w:top w:val="nil"/>
              <w:left w:val="nil"/>
              <w:bottom w:val="single" w:sz="4" w:space="0" w:color="auto"/>
              <w:right w:val="single" w:sz="4" w:space="0" w:color="auto"/>
            </w:tcBorders>
            <w:shd w:val="clear" w:color="000000" w:fill="E2EFDA"/>
            <w:noWrap/>
            <w:vAlign w:val="center"/>
            <w:hideMark/>
          </w:tcPr>
          <w:p w14:paraId="0A43336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2B6DF1D9"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098D829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14D8B85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IS2</w:t>
            </w:r>
          </w:p>
        </w:tc>
        <w:tc>
          <w:tcPr>
            <w:tcW w:w="2268" w:type="dxa"/>
            <w:tcBorders>
              <w:top w:val="nil"/>
              <w:left w:val="nil"/>
              <w:bottom w:val="single" w:sz="4" w:space="0" w:color="auto"/>
              <w:right w:val="single" w:sz="4" w:space="0" w:color="auto"/>
            </w:tcBorders>
            <w:shd w:val="clear" w:color="000000" w:fill="E2EFDA"/>
            <w:noWrap/>
            <w:vAlign w:val="center"/>
            <w:hideMark/>
          </w:tcPr>
          <w:p w14:paraId="5924023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Intermittently Stratified 2</w:t>
            </w:r>
          </w:p>
        </w:tc>
        <w:tc>
          <w:tcPr>
            <w:tcW w:w="5953" w:type="dxa"/>
            <w:tcBorders>
              <w:top w:val="nil"/>
              <w:left w:val="nil"/>
              <w:bottom w:val="single" w:sz="4" w:space="0" w:color="auto"/>
              <w:right w:val="single" w:sz="4" w:space="0" w:color="auto"/>
            </w:tcBorders>
            <w:shd w:val="clear" w:color="000000" w:fill="E2EFDA"/>
            <w:vAlign w:val="center"/>
            <w:hideMark/>
          </w:tcPr>
          <w:p w14:paraId="557615C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 </w:t>
            </w:r>
          </w:p>
        </w:tc>
        <w:tc>
          <w:tcPr>
            <w:tcW w:w="860" w:type="dxa"/>
            <w:tcBorders>
              <w:top w:val="nil"/>
              <w:left w:val="nil"/>
              <w:bottom w:val="single" w:sz="4" w:space="0" w:color="auto"/>
              <w:right w:val="single" w:sz="4" w:space="0" w:color="auto"/>
            </w:tcBorders>
            <w:shd w:val="clear" w:color="000000" w:fill="E2EFDA"/>
            <w:noWrap/>
            <w:vAlign w:val="center"/>
            <w:hideMark/>
          </w:tcPr>
          <w:p w14:paraId="2E2E61A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26517</w:t>
            </w:r>
          </w:p>
        </w:tc>
        <w:tc>
          <w:tcPr>
            <w:tcW w:w="700" w:type="dxa"/>
            <w:tcBorders>
              <w:top w:val="nil"/>
              <w:left w:val="nil"/>
              <w:bottom w:val="single" w:sz="4" w:space="0" w:color="auto"/>
              <w:right w:val="single" w:sz="4" w:space="0" w:color="auto"/>
            </w:tcBorders>
            <w:shd w:val="clear" w:color="000000" w:fill="E2EFDA"/>
            <w:noWrap/>
            <w:vAlign w:val="center"/>
            <w:hideMark/>
          </w:tcPr>
          <w:p w14:paraId="44657F9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102</w:t>
            </w:r>
          </w:p>
        </w:tc>
        <w:tc>
          <w:tcPr>
            <w:tcW w:w="767" w:type="dxa"/>
            <w:tcBorders>
              <w:top w:val="nil"/>
              <w:left w:val="nil"/>
              <w:bottom w:val="single" w:sz="4" w:space="0" w:color="auto"/>
              <w:right w:val="single" w:sz="4" w:space="0" w:color="auto"/>
            </w:tcBorders>
            <w:shd w:val="clear" w:color="000000" w:fill="E2EFDA"/>
            <w:noWrap/>
            <w:vAlign w:val="center"/>
            <w:hideMark/>
          </w:tcPr>
          <w:p w14:paraId="04DC8C9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35.1</w:t>
            </w:r>
          </w:p>
        </w:tc>
        <w:tc>
          <w:tcPr>
            <w:tcW w:w="731" w:type="dxa"/>
            <w:tcBorders>
              <w:top w:val="nil"/>
              <w:left w:val="nil"/>
              <w:bottom w:val="single" w:sz="4" w:space="0" w:color="auto"/>
              <w:right w:val="single" w:sz="4" w:space="0" w:color="auto"/>
            </w:tcBorders>
            <w:shd w:val="clear" w:color="000000" w:fill="E2EFDA"/>
            <w:noWrap/>
            <w:vAlign w:val="center"/>
            <w:hideMark/>
          </w:tcPr>
          <w:p w14:paraId="1C0B24D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7290788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IE, UK</w:t>
            </w:r>
          </w:p>
        </w:tc>
      </w:tr>
      <w:tr w:rsidR="006825FF" w:rsidRPr="006825FF" w14:paraId="25679D2C"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33E3DAE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4751142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KC</w:t>
            </w:r>
          </w:p>
        </w:tc>
        <w:tc>
          <w:tcPr>
            <w:tcW w:w="2268" w:type="dxa"/>
            <w:tcBorders>
              <w:top w:val="nil"/>
              <w:left w:val="nil"/>
              <w:bottom w:val="single" w:sz="4" w:space="0" w:color="auto"/>
              <w:right w:val="single" w:sz="4" w:space="0" w:color="auto"/>
            </w:tcBorders>
            <w:shd w:val="clear" w:color="000000" w:fill="E2EFDA"/>
            <w:noWrap/>
            <w:vAlign w:val="center"/>
            <w:hideMark/>
          </w:tcPr>
          <w:p w14:paraId="0C7DEB6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Kattegat Coastal</w:t>
            </w:r>
          </w:p>
        </w:tc>
        <w:tc>
          <w:tcPr>
            <w:tcW w:w="5953" w:type="dxa"/>
            <w:tcBorders>
              <w:top w:val="nil"/>
              <w:left w:val="nil"/>
              <w:bottom w:val="single" w:sz="4" w:space="0" w:color="auto"/>
              <w:right w:val="single" w:sz="4" w:space="0" w:color="auto"/>
            </w:tcBorders>
            <w:shd w:val="clear" w:color="000000" w:fill="E2EFDA"/>
            <w:vAlign w:val="center"/>
            <w:hideMark/>
          </w:tcPr>
          <w:p w14:paraId="55BD088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Kattegat shallower than 35m</w:t>
            </w:r>
          </w:p>
        </w:tc>
        <w:tc>
          <w:tcPr>
            <w:tcW w:w="860" w:type="dxa"/>
            <w:tcBorders>
              <w:top w:val="nil"/>
              <w:left w:val="nil"/>
              <w:bottom w:val="single" w:sz="4" w:space="0" w:color="auto"/>
              <w:right w:val="single" w:sz="4" w:space="0" w:color="auto"/>
            </w:tcBorders>
            <w:shd w:val="clear" w:color="000000" w:fill="E2EFDA"/>
            <w:noWrap/>
            <w:vAlign w:val="center"/>
            <w:hideMark/>
          </w:tcPr>
          <w:p w14:paraId="4FFD777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9632</w:t>
            </w:r>
          </w:p>
        </w:tc>
        <w:tc>
          <w:tcPr>
            <w:tcW w:w="700" w:type="dxa"/>
            <w:tcBorders>
              <w:top w:val="nil"/>
              <w:left w:val="nil"/>
              <w:bottom w:val="single" w:sz="4" w:space="0" w:color="auto"/>
              <w:right w:val="single" w:sz="4" w:space="0" w:color="auto"/>
            </w:tcBorders>
            <w:shd w:val="clear" w:color="000000" w:fill="E2EFDA"/>
            <w:noWrap/>
            <w:vAlign w:val="center"/>
            <w:hideMark/>
          </w:tcPr>
          <w:p w14:paraId="49DCE83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21</w:t>
            </w:r>
          </w:p>
        </w:tc>
        <w:tc>
          <w:tcPr>
            <w:tcW w:w="767" w:type="dxa"/>
            <w:tcBorders>
              <w:top w:val="nil"/>
              <w:left w:val="nil"/>
              <w:bottom w:val="single" w:sz="4" w:space="0" w:color="auto"/>
              <w:right w:val="single" w:sz="4" w:space="0" w:color="auto"/>
            </w:tcBorders>
            <w:shd w:val="clear" w:color="000000" w:fill="E2EFDA"/>
            <w:noWrap/>
            <w:vAlign w:val="center"/>
            <w:hideMark/>
          </w:tcPr>
          <w:p w14:paraId="3AC4A97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25.7</w:t>
            </w:r>
          </w:p>
        </w:tc>
        <w:tc>
          <w:tcPr>
            <w:tcW w:w="731" w:type="dxa"/>
            <w:tcBorders>
              <w:top w:val="nil"/>
              <w:left w:val="nil"/>
              <w:bottom w:val="single" w:sz="4" w:space="0" w:color="auto"/>
              <w:right w:val="single" w:sz="4" w:space="0" w:color="auto"/>
            </w:tcBorders>
            <w:shd w:val="clear" w:color="000000" w:fill="E2EFDA"/>
            <w:noWrap/>
            <w:vAlign w:val="center"/>
            <w:hideMark/>
          </w:tcPr>
          <w:p w14:paraId="25A547B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50BE08E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DK, SE</w:t>
            </w:r>
          </w:p>
        </w:tc>
      </w:tr>
      <w:tr w:rsidR="006825FF" w:rsidRPr="006825FF" w14:paraId="2B42A1D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1305570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4EE7C02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KD</w:t>
            </w:r>
          </w:p>
        </w:tc>
        <w:tc>
          <w:tcPr>
            <w:tcW w:w="2268" w:type="dxa"/>
            <w:tcBorders>
              <w:top w:val="nil"/>
              <w:left w:val="nil"/>
              <w:bottom w:val="single" w:sz="4" w:space="0" w:color="auto"/>
              <w:right w:val="single" w:sz="4" w:space="0" w:color="auto"/>
            </w:tcBorders>
            <w:shd w:val="clear" w:color="000000" w:fill="E2EFDA"/>
            <w:noWrap/>
            <w:vAlign w:val="center"/>
            <w:hideMark/>
          </w:tcPr>
          <w:p w14:paraId="2BC30BC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Kattegat Deep</w:t>
            </w:r>
          </w:p>
        </w:tc>
        <w:tc>
          <w:tcPr>
            <w:tcW w:w="5953" w:type="dxa"/>
            <w:tcBorders>
              <w:top w:val="nil"/>
              <w:left w:val="nil"/>
              <w:bottom w:val="single" w:sz="4" w:space="0" w:color="auto"/>
              <w:right w:val="single" w:sz="4" w:space="0" w:color="auto"/>
            </w:tcBorders>
            <w:shd w:val="clear" w:color="000000" w:fill="E2EFDA"/>
            <w:vAlign w:val="center"/>
            <w:hideMark/>
          </w:tcPr>
          <w:p w14:paraId="74A8B8C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Kattegat deeper than 35m</w:t>
            </w:r>
          </w:p>
        </w:tc>
        <w:tc>
          <w:tcPr>
            <w:tcW w:w="860" w:type="dxa"/>
            <w:tcBorders>
              <w:top w:val="nil"/>
              <w:left w:val="nil"/>
              <w:bottom w:val="single" w:sz="4" w:space="0" w:color="auto"/>
              <w:right w:val="single" w:sz="4" w:space="0" w:color="auto"/>
            </w:tcBorders>
            <w:shd w:val="clear" w:color="000000" w:fill="E2EFDA"/>
            <w:noWrap/>
            <w:vAlign w:val="center"/>
            <w:hideMark/>
          </w:tcPr>
          <w:p w14:paraId="07C6579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4958</w:t>
            </w:r>
          </w:p>
        </w:tc>
        <w:tc>
          <w:tcPr>
            <w:tcW w:w="700" w:type="dxa"/>
            <w:tcBorders>
              <w:top w:val="nil"/>
              <w:left w:val="nil"/>
              <w:bottom w:val="single" w:sz="4" w:space="0" w:color="auto"/>
              <w:right w:val="single" w:sz="4" w:space="0" w:color="auto"/>
            </w:tcBorders>
            <w:shd w:val="clear" w:color="000000" w:fill="E2EFDA"/>
            <w:noWrap/>
            <w:vAlign w:val="center"/>
            <w:hideMark/>
          </w:tcPr>
          <w:p w14:paraId="5F1AB12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50</w:t>
            </w:r>
          </w:p>
        </w:tc>
        <w:tc>
          <w:tcPr>
            <w:tcW w:w="767" w:type="dxa"/>
            <w:tcBorders>
              <w:top w:val="nil"/>
              <w:left w:val="nil"/>
              <w:bottom w:val="single" w:sz="4" w:space="0" w:color="auto"/>
              <w:right w:val="single" w:sz="4" w:space="0" w:color="auto"/>
            </w:tcBorders>
            <w:shd w:val="clear" w:color="000000" w:fill="E2EFDA"/>
            <w:noWrap/>
            <w:vAlign w:val="center"/>
            <w:hideMark/>
          </w:tcPr>
          <w:p w14:paraId="1E0A8CE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27.6</w:t>
            </w:r>
          </w:p>
        </w:tc>
        <w:tc>
          <w:tcPr>
            <w:tcW w:w="731" w:type="dxa"/>
            <w:tcBorders>
              <w:top w:val="nil"/>
              <w:left w:val="nil"/>
              <w:bottom w:val="single" w:sz="4" w:space="0" w:color="auto"/>
              <w:right w:val="single" w:sz="4" w:space="0" w:color="auto"/>
            </w:tcBorders>
            <w:shd w:val="clear" w:color="000000" w:fill="E2EFDA"/>
            <w:noWrap/>
            <w:vAlign w:val="center"/>
            <w:hideMark/>
          </w:tcPr>
          <w:p w14:paraId="15CBE65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4A5147F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DK, SE</w:t>
            </w:r>
          </w:p>
        </w:tc>
      </w:tr>
      <w:tr w:rsidR="006825FF" w:rsidRPr="006825FF" w14:paraId="0D9FBA2C"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3647065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5DCB775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NAAC1D</w:t>
            </w:r>
          </w:p>
        </w:tc>
        <w:tc>
          <w:tcPr>
            <w:tcW w:w="2268" w:type="dxa"/>
            <w:tcBorders>
              <w:top w:val="nil"/>
              <w:left w:val="nil"/>
              <w:bottom w:val="single" w:sz="4" w:space="0" w:color="auto"/>
              <w:right w:val="single" w:sz="4" w:space="0" w:color="auto"/>
            </w:tcBorders>
            <w:shd w:val="clear" w:color="000000" w:fill="E2EFDA"/>
            <w:noWrap/>
            <w:vAlign w:val="center"/>
            <w:hideMark/>
          </w:tcPr>
          <w:p w14:paraId="61AE643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Noratlantic Area NOR-NorC1D</w:t>
            </w:r>
          </w:p>
        </w:tc>
        <w:tc>
          <w:tcPr>
            <w:tcW w:w="5953" w:type="dxa"/>
            <w:tcBorders>
              <w:top w:val="nil"/>
              <w:left w:val="nil"/>
              <w:bottom w:val="single" w:sz="4" w:space="0" w:color="auto"/>
              <w:right w:val="single" w:sz="4" w:space="0" w:color="auto"/>
            </w:tcBorders>
            <w:shd w:val="clear" w:color="000000" w:fill="E2EFDA"/>
            <w:vAlign w:val="center"/>
            <w:hideMark/>
          </w:tcPr>
          <w:p w14:paraId="7A46F4A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Inner Galician Estuaries (Rías Gallegas), water body D.</w:t>
            </w:r>
          </w:p>
        </w:tc>
        <w:tc>
          <w:tcPr>
            <w:tcW w:w="860" w:type="dxa"/>
            <w:tcBorders>
              <w:top w:val="nil"/>
              <w:left w:val="nil"/>
              <w:bottom w:val="single" w:sz="4" w:space="0" w:color="auto"/>
              <w:right w:val="single" w:sz="4" w:space="0" w:color="auto"/>
            </w:tcBorders>
            <w:shd w:val="clear" w:color="000000" w:fill="E2EFDA"/>
            <w:noWrap/>
            <w:vAlign w:val="center"/>
            <w:hideMark/>
          </w:tcPr>
          <w:p w14:paraId="0F25B69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12</w:t>
            </w:r>
          </w:p>
        </w:tc>
        <w:tc>
          <w:tcPr>
            <w:tcW w:w="700" w:type="dxa"/>
            <w:tcBorders>
              <w:top w:val="nil"/>
              <w:left w:val="nil"/>
              <w:bottom w:val="single" w:sz="4" w:space="0" w:color="auto"/>
              <w:right w:val="single" w:sz="4" w:space="0" w:color="auto"/>
            </w:tcBorders>
            <w:shd w:val="clear" w:color="000000" w:fill="E2EFDA"/>
            <w:noWrap/>
            <w:vAlign w:val="center"/>
            <w:hideMark/>
          </w:tcPr>
          <w:p w14:paraId="34DA909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E2EFDA"/>
            <w:noWrap/>
            <w:vAlign w:val="center"/>
            <w:hideMark/>
          </w:tcPr>
          <w:p w14:paraId="3FEA444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E2EFDA"/>
            <w:noWrap/>
            <w:vAlign w:val="center"/>
            <w:hideMark/>
          </w:tcPr>
          <w:p w14:paraId="194B2E7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E2EFDA"/>
            <w:noWrap/>
            <w:vAlign w:val="center"/>
            <w:hideMark/>
          </w:tcPr>
          <w:p w14:paraId="7441712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6C109916"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43B5CFF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30F860D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NAAO1</w:t>
            </w:r>
          </w:p>
        </w:tc>
        <w:tc>
          <w:tcPr>
            <w:tcW w:w="2268" w:type="dxa"/>
            <w:tcBorders>
              <w:top w:val="nil"/>
              <w:left w:val="nil"/>
              <w:bottom w:val="single" w:sz="4" w:space="0" w:color="auto"/>
              <w:right w:val="single" w:sz="4" w:space="0" w:color="auto"/>
            </w:tcBorders>
            <w:shd w:val="clear" w:color="000000" w:fill="E2EFDA"/>
            <w:noWrap/>
            <w:vAlign w:val="center"/>
            <w:hideMark/>
          </w:tcPr>
          <w:p w14:paraId="43A7183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Noratlantic Area NOR-NorO1</w:t>
            </w:r>
          </w:p>
        </w:tc>
        <w:tc>
          <w:tcPr>
            <w:tcW w:w="5953" w:type="dxa"/>
            <w:tcBorders>
              <w:top w:val="nil"/>
              <w:left w:val="nil"/>
              <w:bottom w:val="single" w:sz="4" w:space="0" w:color="auto"/>
              <w:right w:val="single" w:sz="4" w:space="0" w:color="auto"/>
            </w:tcBorders>
            <w:shd w:val="clear" w:color="000000" w:fill="E2EFDA"/>
            <w:vAlign w:val="center"/>
            <w:hideMark/>
          </w:tcPr>
          <w:p w14:paraId="7C585A6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Oceanic area</w:t>
            </w:r>
          </w:p>
        </w:tc>
        <w:tc>
          <w:tcPr>
            <w:tcW w:w="860" w:type="dxa"/>
            <w:tcBorders>
              <w:top w:val="nil"/>
              <w:left w:val="nil"/>
              <w:bottom w:val="single" w:sz="4" w:space="0" w:color="auto"/>
              <w:right w:val="single" w:sz="4" w:space="0" w:color="auto"/>
            </w:tcBorders>
            <w:shd w:val="clear" w:color="000000" w:fill="E2EFDA"/>
            <w:noWrap/>
            <w:vAlign w:val="center"/>
            <w:hideMark/>
          </w:tcPr>
          <w:p w14:paraId="6491279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261727</w:t>
            </w:r>
          </w:p>
        </w:tc>
        <w:tc>
          <w:tcPr>
            <w:tcW w:w="700" w:type="dxa"/>
            <w:tcBorders>
              <w:top w:val="nil"/>
              <w:left w:val="nil"/>
              <w:bottom w:val="single" w:sz="4" w:space="0" w:color="auto"/>
              <w:right w:val="single" w:sz="4" w:space="0" w:color="auto"/>
            </w:tcBorders>
            <w:shd w:val="clear" w:color="000000" w:fill="E2EFDA"/>
            <w:noWrap/>
            <w:vAlign w:val="center"/>
            <w:hideMark/>
          </w:tcPr>
          <w:p w14:paraId="2FA9982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E2EFDA"/>
            <w:noWrap/>
            <w:vAlign w:val="center"/>
            <w:hideMark/>
          </w:tcPr>
          <w:p w14:paraId="183F4CD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E2EFDA"/>
            <w:noWrap/>
            <w:vAlign w:val="center"/>
            <w:hideMark/>
          </w:tcPr>
          <w:p w14:paraId="4F7395D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E2EFDA"/>
            <w:noWrap/>
            <w:vAlign w:val="center"/>
            <w:hideMark/>
          </w:tcPr>
          <w:p w14:paraId="2047583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71831FB8"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53CDD00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19B2CA9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OWAO</w:t>
            </w:r>
          </w:p>
        </w:tc>
        <w:tc>
          <w:tcPr>
            <w:tcW w:w="2268" w:type="dxa"/>
            <w:tcBorders>
              <w:top w:val="nil"/>
              <w:left w:val="nil"/>
              <w:bottom w:val="single" w:sz="4" w:space="0" w:color="auto"/>
              <w:right w:val="single" w:sz="4" w:space="0" w:color="auto"/>
            </w:tcBorders>
            <w:shd w:val="clear" w:color="000000" w:fill="E2EFDA"/>
            <w:noWrap/>
            <w:vAlign w:val="center"/>
            <w:hideMark/>
          </w:tcPr>
          <w:p w14:paraId="7B134DE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Ocean Waters AO</w:t>
            </w:r>
          </w:p>
        </w:tc>
        <w:tc>
          <w:tcPr>
            <w:tcW w:w="5953" w:type="dxa"/>
            <w:tcBorders>
              <w:top w:val="nil"/>
              <w:left w:val="nil"/>
              <w:bottom w:val="single" w:sz="4" w:space="0" w:color="auto"/>
              <w:right w:val="single" w:sz="4" w:space="0" w:color="auto"/>
            </w:tcBorders>
            <w:shd w:val="clear" w:color="000000" w:fill="E2EFDA"/>
            <w:vAlign w:val="center"/>
            <w:hideMark/>
          </w:tcPr>
          <w:p w14:paraId="2EA0C6E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Oceanic waters form 100m contour out to 200 nautical miles for the area from the northern border with Spain to Cape Carvoeiro (A area)</w:t>
            </w:r>
          </w:p>
        </w:tc>
        <w:tc>
          <w:tcPr>
            <w:tcW w:w="860" w:type="dxa"/>
            <w:tcBorders>
              <w:top w:val="nil"/>
              <w:left w:val="nil"/>
              <w:bottom w:val="single" w:sz="4" w:space="0" w:color="auto"/>
              <w:right w:val="single" w:sz="4" w:space="0" w:color="auto"/>
            </w:tcBorders>
            <w:shd w:val="clear" w:color="000000" w:fill="E2EFDA"/>
            <w:noWrap/>
            <w:vAlign w:val="center"/>
            <w:hideMark/>
          </w:tcPr>
          <w:p w14:paraId="68FC3F7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98493</w:t>
            </w:r>
          </w:p>
        </w:tc>
        <w:tc>
          <w:tcPr>
            <w:tcW w:w="700" w:type="dxa"/>
            <w:tcBorders>
              <w:top w:val="nil"/>
              <w:left w:val="nil"/>
              <w:bottom w:val="single" w:sz="4" w:space="0" w:color="auto"/>
              <w:right w:val="single" w:sz="4" w:space="0" w:color="auto"/>
            </w:tcBorders>
            <w:shd w:val="clear" w:color="000000" w:fill="E2EFDA"/>
            <w:noWrap/>
            <w:vAlign w:val="center"/>
            <w:hideMark/>
          </w:tcPr>
          <w:p w14:paraId="301CDD5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E2EFDA"/>
            <w:noWrap/>
            <w:vAlign w:val="center"/>
            <w:hideMark/>
          </w:tcPr>
          <w:p w14:paraId="5E63B27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E2EFDA"/>
            <w:noWrap/>
            <w:vAlign w:val="center"/>
            <w:hideMark/>
          </w:tcPr>
          <w:p w14:paraId="31C235A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E2EFDA"/>
            <w:noWrap/>
            <w:vAlign w:val="center"/>
            <w:hideMark/>
          </w:tcPr>
          <w:p w14:paraId="0290366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PT</w:t>
            </w:r>
          </w:p>
        </w:tc>
      </w:tr>
      <w:tr w:rsidR="006825FF" w:rsidRPr="006825FF" w14:paraId="0097C5D9"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4E64D90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0DE76DD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SNS</w:t>
            </w:r>
          </w:p>
        </w:tc>
        <w:tc>
          <w:tcPr>
            <w:tcW w:w="2268" w:type="dxa"/>
            <w:tcBorders>
              <w:top w:val="nil"/>
              <w:left w:val="nil"/>
              <w:bottom w:val="single" w:sz="4" w:space="0" w:color="auto"/>
              <w:right w:val="single" w:sz="4" w:space="0" w:color="auto"/>
            </w:tcBorders>
            <w:shd w:val="clear" w:color="000000" w:fill="E2EFDA"/>
            <w:noWrap/>
            <w:vAlign w:val="center"/>
            <w:hideMark/>
          </w:tcPr>
          <w:p w14:paraId="026E7C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Southern North Sea</w:t>
            </w:r>
          </w:p>
        </w:tc>
        <w:tc>
          <w:tcPr>
            <w:tcW w:w="5953" w:type="dxa"/>
            <w:tcBorders>
              <w:top w:val="nil"/>
              <w:left w:val="nil"/>
              <w:bottom w:val="single" w:sz="4" w:space="0" w:color="auto"/>
              <w:right w:val="single" w:sz="4" w:space="0" w:color="auto"/>
            </w:tcBorders>
            <w:shd w:val="clear" w:color="000000" w:fill="E2EFDA"/>
            <w:vAlign w:val="center"/>
            <w:hideMark/>
          </w:tcPr>
          <w:p w14:paraId="63A04E6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Mostly less than 35 m deep, permanently mixed</w:t>
            </w:r>
          </w:p>
        </w:tc>
        <w:tc>
          <w:tcPr>
            <w:tcW w:w="860" w:type="dxa"/>
            <w:tcBorders>
              <w:top w:val="nil"/>
              <w:left w:val="nil"/>
              <w:bottom w:val="single" w:sz="4" w:space="0" w:color="auto"/>
              <w:right w:val="single" w:sz="4" w:space="0" w:color="auto"/>
            </w:tcBorders>
            <w:shd w:val="clear" w:color="000000" w:fill="E2EFDA"/>
            <w:noWrap/>
            <w:vAlign w:val="center"/>
            <w:hideMark/>
          </w:tcPr>
          <w:p w14:paraId="17EBB78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61758</w:t>
            </w:r>
          </w:p>
        </w:tc>
        <w:tc>
          <w:tcPr>
            <w:tcW w:w="700" w:type="dxa"/>
            <w:tcBorders>
              <w:top w:val="nil"/>
              <w:left w:val="nil"/>
              <w:bottom w:val="single" w:sz="4" w:space="0" w:color="auto"/>
              <w:right w:val="single" w:sz="4" w:space="0" w:color="auto"/>
            </w:tcBorders>
            <w:shd w:val="clear" w:color="000000" w:fill="E2EFDA"/>
            <w:noWrap/>
            <w:vAlign w:val="center"/>
            <w:hideMark/>
          </w:tcPr>
          <w:p w14:paraId="48EBBFA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32</w:t>
            </w:r>
          </w:p>
        </w:tc>
        <w:tc>
          <w:tcPr>
            <w:tcW w:w="767" w:type="dxa"/>
            <w:tcBorders>
              <w:top w:val="nil"/>
              <w:left w:val="nil"/>
              <w:bottom w:val="single" w:sz="4" w:space="0" w:color="auto"/>
              <w:right w:val="single" w:sz="4" w:space="0" w:color="auto"/>
            </w:tcBorders>
            <w:shd w:val="clear" w:color="000000" w:fill="E2EFDA"/>
            <w:noWrap/>
            <w:vAlign w:val="center"/>
            <w:hideMark/>
          </w:tcPr>
          <w:p w14:paraId="17246A2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34.3</w:t>
            </w:r>
          </w:p>
        </w:tc>
        <w:tc>
          <w:tcPr>
            <w:tcW w:w="731" w:type="dxa"/>
            <w:tcBorders>
              <w:top w:val="nil"/>
              <w:left w:val="nil"/>
              <w:bottom w:val="single" w:sz="4" w:space="0" w:color="auto"/>
              <w:right w:val="single" w:sz="4" w:space="0" w:color="auto"/>
            </w:tcBorders>
            <w:shd w:val="clear" w:color="000000" w:fill="E2EFDA"/>
            <w:noWrap/>
            <w:vAlign w:val="center"/>
            <w:hideMark/>
          </w:tcPr>
          <w:p w14:paraId="6B09E12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750FF786" w14:textId="77777777" w:rsidR="006825FF" w:rsidRPr="006825FF" w:rsidRDefault="006825FF" w:rsidP="006825FF">
            <w:pPr>
              <w:spacing w:before="0" w:after="0"/>
              <w:rPr>
                <w:rFonts w:ascii="Calibri" w:eastAsia="Times New Roman" w:hAnsi="Calibri" w:cs="Calibri"/>
                <w:color w:val="000000"/>
                <w:sz w:val="18"/>
                <w:szCs w:val="18"/>
                <w:lang w:val="nl-NL" w:eastAsia="en-GB"/>
              </w:rPr>
            </w:pPr>
            <w:r w:rsidRPr="006825FF">
              <w:rPr>
                <w:rFonts w:ascii="Calibri" w:eastAsia="Times New Roman" w:hAnsi="Calibri" w:cs="Calibri"/>
                <w:color w:val="000000"/>
                <w:sz w:val="18"/>
                <w:szCs w:val="18"/>
                <w:lang w:val="nl-NL" w:eastAsia="en-GB"/>
              </w:rPr>
              <w:t>FR, BE, NL, UK, DE</w:t>
            </w:r>
          </w:p>
        </w:tc>
      </w:tr>
      <w:tr w:rsidR="006825FF" w:rsidRPr="006825FF" w14:paraId="2EEC2E94"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598DB42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2C4611D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SAAOC</w:t>
            </w:r>
          </w:p>
        </w:tc>
        <w:tc>
          <w:tcPr>
            <w:tcW w:w="2268" w:type="dxa"/>
            <w:tcBorders>
              <w:top w:val="nil"/>
              <w:left w:val="nil"/>
              <w:bottom w:val="single" w:sz="4" w:space="0" w:color="auto"/>
              <w:right w:val="single" w:sz="4" w:space="0" w:color="auto"/>
            </w:tcBorders>
            <w:shd w:val="clear" w:color="000000" w:fill="E2EFDA"/>
            <w:noWrap/>
            <w:vAlign w:val="center"/>
            <w:hideMark/>
          </w:tcPr>
          <w:p w14:paraId="1727553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Sudatlantic Area SUD-OCEAN</w:t>
            </w:r>
          </w:p>
        </w:tc>
        <w:tc>
          <w:tcPr>
            <w:tcW w:w="5953" w:type="dxa"/>
            <w:tcBorders>
              <w:top w:val="nil"/>
              <w:left w:val="nil"/>
              <w:bottom w:val="single" w:sz="4" w:space="0" w:color="auto"/>
              <w:right w:val="single" w:sz="4" w:space="0" w:color="auto"/>
            </w:tcBorders>
            <w:shd w:val="clear" w:color="000000" w:fill="E2EFDA"/>
            <w:vAlign w:val="center"/>
            <w:hideMark/>
          </w:tcPr>
          <w:p w14:paraId="5AFC552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Oceanic area</w:t>
            </w:r>
          </w:p>
        </w:tc>
        <w:tc>
          <w:tcPr>
            <w:tcW w:w="860" w:type="dxa"/>
            <w:tcBorders>
              <w:top w:val="nil"/>
              <w:left w:val="nil"/>
              <w:bottom w:val="single" w:sz="4" w:space="0" w:color="auto"/>
              <w:right w:val="single" w:sz="4" w:space="0" w:color="auto"/>
            </w:tcBorders>
            <w:shd w:val="clear" w:color="000000" w:fill="E2EFDA"/>
            <w:noWrap/>
            <w:vAlign w:val="center"/>
            <w:hideMark/>
          </w:tcPr>
          <w:p w14:paraId="1D5C7C6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10076</w:t>
            </w:r>
          </w:p>
        </w:tc>
        <w:tc>
          <w:tcPr>
            <w:tcW w:w="700" w:type="dxa"/>
            <w:tcBorders>
              <w:top w:val="nil"/>
              <w:left w:val="nil"/>
              <w:bottom w:val="single" w:sz="4" w:space="0" w:color="auto"/>
              <w:right w:val="single" w:sz="4" w:space="0" w:color="auto"/>
            </w:tcBorders>
            <w:shd w:val="clear" w:color="000000" w:fill="E2EFDA"/>
            <w:noWrap/>
            <w:vAlign w:val="center"/>
            <w:hideMark/>
          </w:tcPr>
          <w:p w14:paraId="001D928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E2EFDA"/>
            <w:noWrap/>
            <w:vAlign w:val="center"/>
            <w:hideMark/>
          </w:tcPr>
          <w:p w14:paraId="098BECD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E2EFDA"/>
            <w:noWrap/>
            <w:vAlign w:val="center"/>
            <w:hideMark/>
          </w:tcPr>
          <w:p w14:paraId="580A924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E2EFDA"/>
            <w:noWrap/>
            <w:vAlign w:val="center"/>
            <w:hideMark/>
          </w:tcPr>
          <w:p w14:paraId="2899CA2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r w:rsidR="006825FF" w:rsidRPr="006825FF" w14:paraId="14E3CCDB"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E2EFDA"/>
            <w:noWrap/>
            <w:vAlign w:val="center"/>
            <w:hideMark/>
          </w:tcPr>
          <w:p w14:paraId="35C3AE6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Shelf  </w:t>
            </w:r>
          </w:p>
        </w:tc>
        <w:tc>
          <w:tcPr>
            <w:tcW w:w="942" w:type="dxa"/>
            <w:tcBorders>
              <w:top w:val="nil"/>
              <w:left w:val="nil"/>
              <w:bottom w:val="single" w:sz="4" w:space="0" w:color="auto"/>
              <w:right w:val="single" w:sz="4" w:space="0" w:color="auto"/>
            </w:tcBorders>
            <w:shd w:val="clear" w:color="000000" w:fill="E2EFDA"/>
            <w:noWrap/>
            <w:vAlign w:val="center"/>
            <w:hideMark/>
          </w:tcPr>
          <w:p w14:paraId="2F062F3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THPM</w:t>
            </w:r>
          </w:p>
        </w:tc>
        <w:tc>
          <w:tcPr>
            <w:tcW w:w="2268" w:type="dxa"/>
            <w:tcBorders>
              <w:top w:val="nil"/>
              <w:left w:val="nil"/>
              <w:bottom w:val="single" w:sz="4" w:space="0" w:color="auto"/>
              <w:right w:val="single" w:sz="4" w:space="0" w:color="auto"/>
            </w:tcBorders>
            <w:shd w:val="clear" w:color="000000" w:fill="E2EFDA"/>
            <w:noWrap/>
            <w:vAlign w:val="center"/>
            <w:hideMark/>
          </w:tcPr>
          <w:p w14:paraId="1B4EE2C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Thames plume</w:t>
            </w:r>
          </w:p>
        </w:tc>
        <w:tc>
          <w:tcPr>
            <w:tcW w:w="5953" w:type="dxa"/>
            <w:tcBorders>
              <w:top w:val="nil"/>
              <w:left w:val="nil"/>
              <w:bottom w:val="single" w:sz="4" w:space="0" w:color="auto"/>
              <w:right w:val="single" w:sz="4" w:space="0" w:color="auto"/>
            </w:tcBorders>
            <w:shd w:val="clear" w:color="000000" w:fill="E2EFDA"/>
            <w:vAlign w:val="center"/>
            <w:hideMark/>
          </w:tcPr>
          <w:p w14:paraId="3C5E6E7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Plume of the Thames river. The outer boundary follows the 25 mg/l SPM contour, based on a 10-year average (Greenwood et al., 2019).</w:t>
            </w:r>
          </w:p>
        </w:tc>
        <w:tc>
          <w:tcPr>
            <w:tcW w:w="860" w:type="dxa"/>
            <w:tcBorders>
              <w:top w:val="nil"/>
              <w:left w:val="nil"/>
              <w:bottom w:val="single" w:sz="4" w:space="0" w:color="auto"/>
              <w:right w:val="single" w:sz="4" w:space="0" w:color="auto"/>
            </w:tcBorders>
            <w:shd w:val="clear" w:color="000000" w:fill="E2EFDA"/>
            <w:noWrap/>
            <w:vAlign w:val="center"/>
            <w:hideMark/>
          </w:tcPr>
          <w:p w14:paraId="0DC0AF5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5523</w:t>
            </w:r>
          </w:p>
        </w:tc>
        <w:tc>
          <w:tcPr>
            <w:tcW w:w="700" w:type="dxa"/>
            <w:tcBorders>
              <w:top w:val="nil"/>
              <w:left w:val="nil"/>
              <w:bottom w:val="single" w:sz="4" w:space="0" w:color="auto"/>
              <w:right w:val="single" w:sz="4" w:space="0" w:color="auto"/>
            </w:tcBorders>
            <w:shd w:val="clear" w:color="000000" w:fill="E2EFDA"/>
            <w:noWrap/>
            <w:vAlign w:val="center"/>
            <w:hideMark/>
          </w:tcPr>
          <w:p w14:paraId="3413437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22</w:t>
            </w:r>
          </w:p>
        </w:tc>
        <w:tc>
          <w:tcPr>
            <w:tcW w:w="767" w:type="dxa"/>
            <w:tcBorders>
              <w:top w:val="nil"/>
              <w:left w:val="nil"/>
              <w:bottom w:val="single" w:sz="4" w:space="0" w:color="auto"/>
              <w:right w:val="single" w:sz="4" w:space="0" w:color="auto"/>
            </w:tcBorders>
            <w:shd w:val="clear" w:color="000000" w:fill="E2EFDA"/>
            <w:noWrap/>
            <w:vAlign w:val="center"/>
            <w:hideMark/>
          </w:tcPr>
          <w:p w14:paraId="62111D0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34.4</w:t>
            </w:r>
          </w:p>
        </w:tc>
        <w:tc>
          <w:tcPr>
            <w:tcW w:w="731" w:type="dxa"/>
            <w:tcBorders>
              <w:top w:val="nil"/>
              <w:left w:val="nil"/>
              <w:bottom w:val="single" w:sz="4" w:space="0" w:color="auto"/>
              <w:right w:val="single" w:sz="4" w:space="0" w:color="auto"/>
            </w:tcBorders>
            <w:shd w:val="clear" w:color="000000" w:fill="E2EFDA"/>
            <w:noWrap/>
            <w:vAlign w:val="center"/>
            <w:hideMark/>
          </w:tcPr>
          <w:p w14:paraId="459370B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E2EFDA"/>
            <w:noWrap/>
            <w:vAlign w:val="center"/>
            <w:hideMark/>
          </w:tcPr>
          <w:p w14:paraId="445891F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UK</w:t>
            </w:r>
          </w:p>
        </w:tc>
      </w:tr>
      <w:tr w:rsidR="006825FF" w:rsidRPr="006825FF" w14:paraId="1A15E18E"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9D9D9"/>
            <w:noWrap/>
            <w:vAlign w:val="center"/>
            <w:hideMark/>
          </w:tcPr>
          <w:p w14:paraId="02369C2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Oceanic </w:t>
            </w:r>
          </w:p>
        </w:tc>
        <w:tc>
          <w:tcPr>
            <w:tcW w:w="942" w:type="dxa"/>
            <w:tcBorders>
              <w:top w:val="nil"/>
              <w:left w:val="nil"/>
              <w:bottom w:val="single" w:sz="4" w:space="0" w:color="auto"/>
              <w:right w:val="single" w:sz="4" w:space="0" w:color="auto"/>
            </w:tcBorders>
            <w:shd w:val="clear" w:color="000000" w:fill="D9D9D9"/>
            <w:noWrap/>
            <w:vAlign w:val="center"/>
            <w:hideMark/>
          </w:tcPr>
          <w:p w14:paraId="0411D05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ATL</w:t>
            </w:r>
          </w:p>
        </w:tc>
        <w:tc>
          <w:tcPr>
            <w:tcW w:w="2268" w:type="dxa"/>
            <w:tcBorders>
              <w:top w:val="nil"/>
              <w:left w:val="nil"/>
              <w:bottom w:val="single" w:sz="4" w:space="0" w:color="auto"/>
              <w:right w:val="single" w:sz="4" w:space="0" w:color="auto"/>
            </w:tcBorders>
            <w:shd w:val="clear" w:color="000000" w:fill="D9D9D9"/>
            <w:noWrap/>
            <w:vAlign w:val="center"/>
            <w:hideMark/>
          </w:tcPr>
          <w:p w14:paraId="3A72BF0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Atlantic</w:t>
            </w:r>
          </w:p>
        </w:tc>
        <w:tc>
          <w:tcPr>
            <w:tcW w:w="5953" w:type="dxa"/>
            <w:tcBorders>
              <w:top w:val="nil"/>
              <w:left w:val="nil"/>
              <w:bottom w:val="single" w:sz="4" w:space="0" w:color="auto"/>
              <w:right w:val="single" w:sz="4" w:space="0" w:color="auto"/>
            </w:tcBorders>
            <w:shd w:val="clear" w:color="000000" w:fill="D9D9D9"/>
            <w:vAlign w:val="center"/>
            <w:hideMark/>
          </w:tcPr>
          <w:p w14:paraId="5F18229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All areas west of 250 m depth line, separating deeper Atlantic Ocean from shallower areas in Bay of Biscay, Celtic Seas, Greater North Sea.</w:t>
            </w:r>
          </w:p>
        </w:tc>
        <w:tc>
          <w:tcPr>
            <w:tcW w:w="860" w:type="dxa"/>
            <w:tcBorders>
              <w:top w:val="nil"/>
              <w:left w:val="nil"/>
              <w:bottom w:val="single" w:sz="4" w:space="0" w:color="auto"/>
              <w:right w:val="single" w:sz="4" w:space="0" w:color="auto"/>
            </w:tcBorders>
            <w:shd w:val="clear" w:color="000000" w:fill="D9D9D9"/>
            <w:noWrap/>
            <w:vAlign w:val="center"/>
            <w:hideMark/>
          </w:tcPr>
          <w:p w14:paraId="3BF3D35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934260</w:t>
            </w:r>
          </w:p>
        </w:tc>
        <w:tc>
          <w:tcPr>
            <w:tcW w:w="700" w:type="dxa"/>
            <w:tcBorders>
              <w:top w:val="nil"/>
              <w:left w:val="nil"/>
              <w:bottom w:val="single" w:sz="4" w:space="0" w:color="auto"/>
              <w:right w:val="single" w:sz="4" w:space="0" w:color="auto"/>
            </w:tcBorders>
            <w:shd w:val="clear" w:color="000000" w:fill="D9D9D9"/>
            <w:noWrap/>
            <w:vAlign w:val="center"/>
            <w:hideMark/>
          </w:tcPr>
          <w:p w14:paraId="13FFC4A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2291</w:t>
            </w:r>
          </w:p>
        </w:tc>
        <w:tc>
          <w:tcPr>
            <w:tcW w:w="767" w:type="dxa"/>
            <w:tcBorders>
              <w:top w:val="nil"/>
              <w:left w:val="nil"/>
              <w:bottom w:val="single" w:sz="4" w:space="0" w:color="auto"/>
              <w:right w:val="single" w:sz="4" w:space="0" w:color="auto"/>
            </w:tcBorders>
            <w:shd w:val="clear" w:color="000000" w:fill="D9D9D9"/>
            <w:noWrap/>
            <w:vAlign w:val="center"/>
            <w:hideMark/>
          </w:tcPr>
          <w:p w14:paraId="5628849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35.3</w:t>
            </w:r>
          </w:p>
        </w:tc>
        <w:tc>
          <w:tcPr>
            <w:tcW w:w="731" w:type="dxa"/>
            <w:tcBorders>
              <w:top w:val="nil"/>
              <w:left w:val="nil"/>
              <w:bottom w:val="single" w:sz="4" w:space="0" w:color="auto"/>
              <w:right w:val="single" w:sz="4" w:space="0" w:color="auto"/>
            </w:tcBorders>
            <w:shd w:val="clear" w:color="000000" w:fill="D9D9D9"/>
            <w:noWrap/>
            <w:vAlign w:val="center"/>
            <w:hideMark/>
          </w:tcPr>
          <w:p w14:paraId="6B73CF6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 IV, V</w:t>
            </w:r>
          </w:p>
        </w:tc>
        <w:tc>
          <w:tcPr>
            <w:tcW w:w="628" w:type="dxa"/>
            <w:tcBorders>
              <w:top w:val="nil"/>
              <w:left w:val="nil"/>
              <w:bottom w:val="single" w:sz="4" w:space="0" w:color="auto"/>
              <w:right w:val="single" w:sz="4" w:space="0" w:color="auto"/>
            </w:tcBorders>
            <w:shd w:val="clear" w:color="000000" w:fill="D9D9D9"/>
            <w:noWrap/>
            <w:vAlign w:val="center"/>
            <w:hideMark/>
          </w:tcPr>
          <w:p w14:paraId="54E96D60" w14:textId="77777777" w:rsidR="006825FF" w:rsidRPr="006825FF" w:rsidRDefault="006825FF" w:rsidP="006825FF">
            <w:pPr>
              <w:spacing w:before="0" w:after="0"/>
              <w:rPr>
                <w:rFonts w:ascii="Calibri" w:eastAsia="Times New Roman" w:hAnsi="Calibri" w:cs="Calibri"/>
                <w:color w:val="000000"/>
                <w:sz w:val="18"/>
                <w:szCs w:val="18"/>
                <w:lang w:val="es-ES" w:eastAsia="en-GB"/>
              </w:rPr>
            </w:pPr>
            <w:r w:rsidRPr="006825FF">
              <w:rPr>
                <w:rFonts w:ascii="Calibri" w:eastAsia="Times New Roman" w:hAnsi="Calibri" w:cs="Calibri"/>
                <w:color w:val="000000"/>
                <w:sz w:val="18"/>
                <w:szCs w:val="18"/>
                <w:lang w:val="es-ES" w:eastAsia="en-GB"/>
              </w:rPr>
              <w:t>ES, FR, IE, UK, NO</w:t>
            </w:r>
          </w:p>
        </w:tc>
      </w:tr>
      <w:tr w:rsidR="006825FF" w:rsidRPr="006825FF" w14:paraId="3419E712"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9D9D9"/>
            <w:noWrap/>
            <w:vAlign w:val="center"/>
            <w:hideMark/>
          </w:tcPr>
          <w:p w14:paraId="547ACAB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Oceanic </w:t>
            </w:r>
          </w:p>
        </w:tc>
        <w:tc>
          <w:tcPr>
            <w:tcW w:w="942" w:type="dxa"/>
            <w:tcBorders>
              <w:top w:val="nil"/>
              <w:left w:val="nil"/>
              <w:bottom w:val="single" w:sz="4" w:space="0" w:color="auto"/>
              <w:right w:val="single" w:sz="4" w:space="0" w:color="auto"/>
            </w:tcBorders>
            <w:shd w:val="clear" w:color="000000" w:fill="D9D9D9"/>
            <w:noWrap/>
            <w:vAlign w:val="center"/>
            <w:hideMark/>
          </w:tcPr>
          <w:p w14:paraId="05BFCF4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CWBC</w:t>
            </w:r>
          </w:p>
        </w:tc>
        <w:tc>
          <w:tcPr>
            <w:tcW w:w="2268" w:type="dxa"/>
            <w:tcBorders>
              <w:top w:val="nil"/>
              <w:left w:val="nil"/>
              <w:bottom w:val="single" w:sz="4" w:space="0" w:color="auto"/>
              <w:right w:val="single" w:sz="4" w:space="0" w:color="auto"/>
            </w:tcBorders>
            <w:shd w:val="clear" w:color="000000" w:fill="D9D9D9"/>
            <w:noWrap/>
            <w:vAlign w:val="center"/>
            <w:hideMark/>
          </w:tcPr>
          <w:p w14:paraId="2A7FE037"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BC</w:t>
            </w:r>
          </w:p>
        </w:tc>
        <w:tc>
          <w:tcPr>
            <w:tcW w:w="5953" w:type="dxa"/>
            <w:tcBorders>
              <w:top w:val="nil"/>
              <w:left w:val="nil"/>
              <w:bottom w:val="single" w:sz="4" w:space="0" w:color="auto"/>
              <w:right w:val="single" w:sz="4" w:space="0" w:color="auto"/>
            </w:tcBorders>
            <w:shd w:val="clear" w:color="000000" w:fill="D9D9D9"/>
            <w:vAlign w:val="center"/>
            <w:hideMark/>
          </w:tcPr>
          <w:p w14:paraId="06C9566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Coastal waters up to 100m contour for the area from Cape Carvoeiro to Ponta da Piedade (B area)</w:t>
            </w:r>
          </w:p>
        </w:tc>
        <w:tc>
          <w:tcPr>
            <w:tcW w:w="860" w:type="dxa"/>
            <w:tcBorders>
              <w:top w:val="nil"/>
              <w:left w:val="nil"/>
              <w:bottom w:val="single" w:sz="4" w:space="0" w:color="auto"/>
              <w:right w:val="single" w:sz="4" w:space="0" w:color="auto"/>
            </w:tcBorders>
            <w:shd w:val="clear" w:color="000000" w:fill="D9D9D9"/>
            <w:noWrap/>
            <w:vAlign w:val="center"/>
            <w:hideMark/>
          </w:tcPr>
          <w:p w14:paraId="75047EA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4230</w:t>
            </w:r>
          </w:p>
        </w:tc>
        <w:tc>
          <w:tcPr>
            <w:tcW w:w="700" w:type="dxa"/>
            <w:tcBorders>
              <w:top w:val="nil"/>
              <w:left w:val="nil"/>
              <w:bottom w:val="single" w:sz="4" w:space="0" w:color="auto"/>
              <w:right w:val="single" w:sz="4" w:space="0" w:color="auto"/>
            </w:tcBorders>
            <w:shd w:val="clear" w:color="000000" w:fill="D9D9D9"/>
            <w:noWrap/>
            <w:vAlign w:val="center"/>
            <w:hideMark/>
          </w:tcPr>
          <w:p w14:paraId="487B2F8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D9D9D9"/>
            <w:noWrap/>
            <w:vAlign w:val="center"/>
            <w:hideMark/>
          </w:tcPr>
          <w:p w14:paraId="38DAE85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D9D9D9"/>
            <w:noWrap/>
            <w:vAlign w:val="center"/>
            <w:hideMark/>
          </w:tcPr>
          <w:p w14:paraId="4110487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D9D9D9"/>
            <w:noWrap/>
            <w:vAlign w:val="center"/>
            <w:hideMark/>
          </w:tcPr>
          <w:p w14:paraId="28B7F40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PT</w:t>
            </w:r>
          </w:p>
        </w:tc>
      </w:tr>
      <w:tr w:rsidR="006825FF" w:rsidRPr="006825FF" w14:paraId="1CC527B5"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9D9D9"/>
            <w:noWrap/>
            <w:vAlign w:val="center"/>
            <w:hideMark/>
          </w:tcPr>
          <w:p w14:paraId="60C2634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lastRenderedPageBreak/>
              <w:t xml:space="preserve">Oceanic </w:t>
            </w:r>
          </w:p>
        </w:tc>
        <w:tc>
          <w:tcPr>
            <w:tcW w:w="942" w:type="dxa"/>
            <w:tcBorders>
              <w:top w:val="nil"/>
              <w:left w:val="nil"/>
              <w:bottom w:val="single" w:sz="4" w:space="0" w:color="auto"/>
              <w:right w:val="single" w:sz="4" w:space="0" w:color="auto"/>
            </w:tcBorders>
            <w:shd w:val="clear" w:color="000000" w:fill="D9D9D9"/>
            <w:noWrap/>
            <w:vAlign w:val="center"/>
            <w:hideMark/>
          </w:tcPr>
          <w:p w14:paraId="1C68389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OWBO</w:t>
            </w:r>
          </w:p>
        </w:tc>
        <w:tc>
          <w:tcPr>
            <w:tcW w:w="2268" w:type="dxa"/>
            <w:tcBorders>
              <w:top w:val="nil"/>
              <w:left w:val="nil"/>
              <w:bottom w:val="single" w:sz="4" w:space="0" w:color="auto"/>
              <w:right w:val="single" w:sz="4" w:space="0" w:color="auto"/>
            </w:tcBorders>
            <w:shd w:val="clear" w:color="000000" w:fill="D9D9D9"/>
            <w:noWrap/>
            <w:vAlign w:val="center"/>
            <w:hideMark/>
          </w:tcPr>
          <w:p w14:paraId="654F0A56"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Ocean Waters BO</w:t>
            </w:r>
          </w:p>
        </w:tc>
        <w:tc>
          <w:tcPr>
            <w:tcW w:w="5953" w:type="dxa"/>
            <w:tcBorders>
              <w:top w:val="nil"/>
              <w:left w:val="nil"/>
              <w:bottom w:val="single" w:sz="4" w:space="0" w:color="auto"/>
              <w:right w:val="single" w:sz="4" w:space="0" w:color="auto"/>
            </w:tcBorders>
            <w:shd w:val="clear" w:color="000000" w:fill="D9D9D9"/>
            <w:vAlign w:val="center"/>
            <w:hideMark/>
          </w:tcPr>
          <w:p w14:paraId="244C622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Oceanic waters form 100m contour out to 200 nautical miles for the area from Cape Carvoeiro to Ponta da Piedade (B area)</w:t>
            </w:r>
          </w:p>
        </w:tc>
        <w:tc>
          <w:tcPr>
            <w:tcW w:w="860" w:type="dxa"/>
            <w:tcBorders>
              <w:top w:val="nil"/>
              <w:left w:val="nil"/>
              <w:bottom w:val="single" w:sz="4" w:space="0" w:color="auto"/>
              <w:right w:val="single" w:sz="4" w:space="0" w:color="auto"/>
            </w:tcBorders>
            <w:shd w:val="clear" w:color="000000" w:fill="D9D9D9"/>
            <w:noWrap/>
            <w:vAlign w:val="center"/>
            <w:hideMark/>
          </w:tcPr>
          <w:p w14:paraId="215E550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184458</w:t>
            </w:r>
          </w:p>
        </w:tc>
        <w:tc>
          <w:tcPr>
            <w:tcW w:w="700" w:type="dxa"/>
            <w:tcBorders>
              <w:top w:val="nil"/>
              <w:left w:val="nil"/>
              <w:bottom w:val="single" w:sz="4" w:space="0" w:color="auto"/>
              <w:right w:val="single" w:sz="4" w:space="0" w:color="auto"/>
            </w:tcBorders>
            <w:shd w:val="clear" w:color="000000" w:fill="D9D9D9"/>
            <w:noWrap/>
            <w:vAlign w:val="center"/>
            <w:hideMark/>
          </w:tcPr>
          <w:p w14:paraId="3AEFAAE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D9D9D9"/>
            <w:noWrap/>
            <w:vAlign w:val="center"/>
            <w:hideMark/>
          </w:tcPr>
          <w:p w14:paraId="177B575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D9D9D9"/>
            <w:noWrap/>
            <w:vAlign w:val="center"/>
            <w:hideMark/>
          </w:tcPr>
          <w:p w14:paraId="71D1DFF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D9D9D9"/>
            <w:noWrap/>
            <w:vAlign w:val="center"/>
            <w:hideMark/>
          </w:tcPr>
          <w:p w14:paraId="1B8A1E9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PT</w:t>
            </w:r>
          </w:p>
        </w:tc>
      </w:tr>
      <w:tr w:rsidR="006825FF" w:rsidRPr="006825FF" w14:paraId="6D663A06"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9D9D9"/>
            <w:noWrap/>
            <w:vAlign w:val="center"/>
            <w:hideMark/>
          </w:tcPr>
          <w:p w14:paraId="529106D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Oceanic </w:t>
            </w:r>
          </w:p>
        </w:tc>
        <w:tc>
          <w:tcPr>
            <w:tcW w:w="942" w:type="dxa"/>
            <w:tcBorders>
              <w:top w:val="nil"/>
              <w:left w:val="nil"/>
              <w:bottom w:val="single" w:sz="4" w:space="0" w:color="auto"/>
              <w:right w:val="single" w:sz="4" w:space="0" w:color="auto"/>
            </w:tcBorders>
            <w:shd w:val="clear" w:color="000000" w:fill="D9D9D9"/>
            <w:noWrap/>
            <w:vAlign w:val="center"/>
            <w:hideMark/>
          </w:tcPr>
          <w:p w14:paraId="20C0803C"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OWCO</w:t>
            </w:r>
          </w:p>
        </w:tc>
        <w:tc>
          <w:tcPr>
            <w:tcW w:w="2268" w:type="dxa"/>
            <w:tcBorders>
              <w:top w:val="nil"/>
              <w:left w:val="nil"/>
              <w:bottom w:val="single" w:sz="4" w:space="0" w:color="auto"/>
              <w:right w:val="single" w:sz="4" w:space="0" w:color="auto"/>
            </w:tcBorders>
            <w:shd w:val="clear" w:color="000000" w:fill="D9D9D9"/>
            <w:noWrap/>
            <w:vAlign w:val="center"/>
            <w:hideMark/>
          </w:tcPr>
          <w:p w14:paraId="140449A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Ocean Waters CO</w:t>
            </w:r>
          </w:p>
        </w:tc>
        <w:tc>
          <w:tcPr>
            <w:tcW w:w="5953" w:type="dxa"/>
            <w:tcBorders>
              <w:top w:val="nil"/>
              <w:left w:val="nil"/>
              <w:bottom w:val="single" w:sz="4" w:space="0" w:color="auto"/>
              <w:right w:val="single" w:sz="4" w:space="0" w:color="auto"/>
            </w:tcBorders>
            <w:shd w:val="clear" w:color="000000" w:fill="D9D9D9"/>
            <w:vAlign w:val="center"/>
            <w:hideMark/>
          </w:tcPr>
          <w:p w14:paraId="0389521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Oceanic waters form 100m contour out to 200 nautical miles for the area from Ponta da Piedade in the western part of the Algarve to the Guadiana estuary, on the Southeastern border with Spain (C area</w:t>
            </w:r>
          </w:p>
        </w:tc>
        <w:tc>
          <w:tcPr>
            <w:tcW w:w="860" w:type="dxa"/>
            <w:tcBorders>
              <w:top w:val="nil"/>
              <w:left w:val="nil"/>
              <w:bottom w:val="single" w:sz="4" w:space="0" w:color="auto"/>
              <w:right w:val="single" w:sz="4" w:space="0" w:color="auto"/>
            </w:tcBorders>
            <w:shd w:val="clear" w:color="000000" w:fill="D9D9D9"/>
            <w:noWrap/>
            <w:vAlign w:val="center"/>
            <w:hideMark/>
          </w:tcPr>
          <w:p w14:paraId="461E594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18719</w:t>
            </w:r>
          </w:p>
        </w:tc>
        <w:tc>
          <w:tcPr>
            <w:tcW w:w="700" w:type="dxa"/>
            <w:tcBorders>
              <w:top w:val="nil"/>
              <w:left w:val="nil"/>
              <w:bottom w:val="single" w:sz="4" w:space="0" w:color="auto"/>
              <w:right w:val="single" w:sz="4" w:space="0" w:color="auto"/>
            </w:tcBorders>
            <w:shd w:val="clear" w:color="000000" w:fill="D9D9D9"/>
            <w:noWrap/>
            <w:vAlign w:val="center"/>
            <w:hideMark/>
          </w:tcPr>
          <w:p w14:paraId="1554B3DF"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D9D9D9"/>
            <w:noWrap/>
            <w:vAlign w:val="center"/>
            <w:hideMark/>
          </w:tcPr>
          <w:p w14:paraId="6D851DC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D9D9D9"/>
            <w:noWrap/>
            <w:vAlign w:val="center"/>
            <w:hideMark/>
          </w:tcPr>
          <w:p w14:paraId="26D3EB6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D9D9D9"/>
            <w:noWrap/>
            <w:vAlign w:val="center"/>
            <w:hideMark/>
          </w:tcPr>
          <w:p w14:paraId="2AFAAA5B"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PT</w:t>
            </w:r>
          </w:p>
        </w:tc>
      </w:tr>
      <w:tr w:rsidR="006825FF" w:rsidRPr="006825FF" w14:paraId="6E9BB201"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9D9D9"/>
            <w:noWrap/>
            <w:vAlign w:val="center"/>
            <w:hideMark/>
          </w:tcPr>
          <w:p w14:paraId="05CCF7A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Oceanic </w:t>
            </w:r>
          </w:p>
        </w:tc>
        <w:tc>
          <w:tcPr>
            <w:tcW w:w="942" w:type="dxa"/>
            <w:tcBorders>
              <w:top w:val="nil"/>
              <w:left w:val="nil"/>
              <w:bottom w:val="single" w:sz="4" w:space="0" w:color="auto"/>
              <w:right w:val="single" w:sz="4" w:space="0" w:color="auto"/>
            </w:tcBorders>
            <w:shd w:val="clear" w:color="000000" w:fill="D9D9D9"/>
            <w:noWrap/>
            <w:vAlign w:val="center"/>
            <w:hideMark/>
          </w:tcPr>
          <w:p w14:paraId="2344DAA5"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SK</w:t>
            </w:r>
          </w:p>
        </w:tc>
        <w:tc>
          <w:tcPr>
            <w:tcW w:w="2268" w:type="dxa"/>
            <w:tcBorders>
              <w:top w:val="nil"/>
              <w:left w:val="nil"/>
              <w:bottom w:val="single" w:sz="4" w:space="0" w:color="auto"/>
              <w:right w:val="single" w:sz="4" w:space="0" w:color="auto"/>
            </w:tcBorders>
            <w:shd w:val="clear" w:color="000000" w:fill="D9D9D9"/>
            <w:noWrap/>
            <w:vAlign w:val="center"/>
            <w:hideMark/>
          </w:tcPr>
          <w:p w14:paraId="2384A8C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Skagerrak</w:t>
            </w:r>
          </w:p>
        </w:tc>
        <w:tc>
          <w:tcPr>
            <w:tcW w:w="5953" w:type="dxa"/>
            <w:tcBorders>
              <w:top w:val="nil"/>
              <w:left w:val="nil"/>
              <w:bottom w:val="single" w:sz="4" w:space="0" w:color="auto"/>
              <w:right w:val="single" w:sz="4" w:space="0" w:color="auto"/>
            </w:tcBorders>
            <w:shd w:val="clear" w:color="000000" w:fill="D9D9D9"/>
            <w:vAlign w:val="center"/>
            <w:hideMark/>
          </w:tcPr>
          <w:p w14:paraId="334BED6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Salinity and geography</w:t>
            </w:r>
          </w:p>
        </w:tc>
        <w:tc>
          <w:tcPr>
            <w:tcW w:w="860" w:type="dxa"/>
            <w:tcBorders>
              <w:top w:val="nil"/>
              <w:left w:val="nil"/>
              <w:bottom w:val="single" w:sz="4" w:space="0" w:color="auto"/>
              <w:right w:val="single" w:sz="4" w:space="0" w:color="auto"/>
            </w:tcBorders>
            <w:shd w:val="clear" w:color="000000" w:fill="D9D9D9"/>
            <w:noWrap/>
            <w:vAlign w:val="center"/>
            <w:hideMark/>
          </w:tcPr>
          <w:p w14:paraId="02DE6B39"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5759</w:t>
            </w:r>
          </w:p>
        </w:tc>
        <w:tc>
          <w:tcPr>
            <w:tcW w:w="700" w:type="dxa"/>
            <w:tcBorders>
              <w:top w:val="nil"/>
              <w:left w:val="nil"/>
              <w:bottom w:val="single" w:sz="4" w:space="0" w:color="auto"/>
              <w:right w:val="single" w:sz="4" w:space="0" w:color="auto"/>
            </w:tcBorders>
            <w:shd w:val="clear" w:color="000000" w:fill="D9D9D9"/>
            <w:noWrap/>
            <w:vAlign w:val="center"/>
            <w:hideMark/>
          </w:tcPr>
          <w:p w14:paraId="29C41A0A"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134</w:t>
            </w:r>
          </w:p>
        </w:tc>
        <w:tc>
          <w:tcPr>
            <w:tcW w:w="767" w:type="dxa"/>
            <w:tcBorders>
              <w:top w:val="nil"/>
              <w:left w:val="nil"/>
              <w:bottom w:val="single" w:sz="4" w:space="0" w:color="auto"/>
              <w:right w:val="single" w:sz="4" w:space="0" w:color="auto"/>
            </w:tcBorders>
            <w:shd w:val="clear" w:color="000000" w:fill="D9D9D9"/>
            <w:noWrap/>
            <w:vAlign w:val="center"/>
            <w:hideMark/>
          </w:tcPr>
          <w:p w14:paraId="6327AB2E"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31.8</w:t>
            </w:r>
          </w:p>
        </w:tc>
        <w:tc>
          <w:tcPr>
            <w:tcW w:w="731" w:type="dxa"/>
            <w:tcBorders>
              <w:top w:val="nil"/>
              <w:left w:val="nil"/>
              <w:bottom w:val="single" w:sz="4" w:space="0" w:color="auto"/>
              <w:right w:val="single" w:sz="4" w:space="0" w:color="auto"/>
            </w:tcBorders>
            <w:shd w:val="clear" w:color="000000" w:fill="D9D9D9"/>
            <w:noWrap/>
            <w:vAlign w:val="center"/>
            <w:hideMark/>
          </w:tcPr>
          <w:p w14:paraId="03DEE16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II</w:t>
            </w:r>
          </w:p>
        </w:tc>
        <w:tc>
          <w:tcPr>
            <w:tcW w:w="628" w:type="dxa"/>
            <w:tcBorders>
              <w:top w:val="nil"/>
              <w:left w:val="nil"/>
              <w:bottom w:val="single" w:sz="4" w:space="0" w:color="auto"/>
              <w:right w:val="single" w:sz="4" w:space="0" w:color="auto"/>
            </w:tcBorders>
            <w:shd w:val="clear" w:color="000000" w:fill="D9D9D9"/>
            <w:noWrap/>
            <w:vAlign w:val="center"/>
            <w:hideMark/>
          </w:tcPr>
          <w:p w14:paraId="1878D54D"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DK, SE</w:t>
            </w:r>
          </w:p>
        </w:tc>
      </w:tr>
      <w:tr w:rsidR="006825FF" w:rsidRPr="006825FF" w14:paraId="096CD8A0" w14:textId="77777777" w:rsidTr="006825FF">
        <w:trPr>
          <w:trHeight w:val="490"/>
        </w:trPr>
        <w:tc>
          <w:tcPr>
            <w:tcW w:w="1180" w:type="dxa"/>
            <w:tcBorders>
              <w:top w:val="nil"/>
              <w:left w:val="single" w:sz="4" w:space="0" w:color="auto"/>
              <w:bottom w:val="single" w:sz="4" w:space="0" w:color="auto"/>
              <w:right w:val="single" w:sz="4" w:space="0" w:color="auto"/>
            </w:tcBorders>
            <w:shd w:val="clear" w:color="000000" w:fill="D9D9D9"/>
            <w:noWrap/>
            <w:vAlign w:val="center"/>
            <w:hideMark/>
          </w:tcPr>
          <w:p w14:paraId="6608B1B1"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 xml:space="preserve">Oceanic </w:t>
            </w:r>
          </w:p>
        </w:tc>
        <w:tc>
          <w:tcPr>
            <w:tcW w:w="942" w:type="dxa"/>
            <w:tcBorders>
              <w:top w:val="nil"/>
              <w:left w:val="nil"/>
              <w:bottom w:val="single" w:sz="4" w:space="0" w:color="auto"/>
              <w:right w:val="single" w:sz="4" w:space="0" w:color="auto"/>
            </w:tcBorders>
            <w:shd w:val="clear" w:color="000000" w:fill="D9D9D9"/>
            <w:noWrap/>
            <w:vAlign w:val="center"/>
            <w:hideMark/>
          </w:tcPr>
          <w:p w14:paraId="7695D1B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SAAC2</w:t>
            </w:r>
          </w:p>
        </w:tc>
        <w:tc>
          <w:tcPr>
            <w:tcW w:w="2268" w:type="dxa"/>
            <w:tcBorders>
              <w:top w:val="nil"/>
              <w:left w:val="nil"/>
              <w:bottom w:val="single" w:sz="4" w:space="0" w:color="auto"/>
              <w:right w:val="single" w:sz="4" w:space="0" w:color="auto"/>
            </w:tcBorders>
            <w:shd w:val="clear" w:color="000000" w:fill="D9D9D9"/>
            <w:noWrap/>
            <w:vAlign w:val="center"/>
            <w:hideMark/>
          </w:tcPr>
          <w:p w14:paraId="6C9AD0A3"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Sudatlantic Area SUD-C2</w:t>
            </w:r>
          </w:p>
        </w:tc>
        <w:tc>
          <w:tcPr>
            <w:tcW w:w="5953" w:type="dxa"/>
            <w:tcBorders>
              <w:top w:val="nil"/>
              <w:left w:val="nil"/>
              <w:bottom w:val="single" w:sz="4" w:space="0" w:color="auto"/>
              <w:right w:val="single" w:sz="4" w:space="0" w:color="auto"/>
            </w:tcBorders>
            <w:shd w:val="clear" w:color="000000" w:fill="D9D9D9"/>
            <w:vAlign w:val="center"/>
            <w:hideMark/>
          </w:tcPr>
          <w:p w14:paraId="0A42ECF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Assessment area based on phytoplankton productivity: Coastal area influenced by river discharges, external.</w:t>
            </w:r>
          </w:p>
        </w:tc>
        <w:tc>
          <w:tcPr>
            <w:tcW w:w="860" w:type="dxa"/>
            <w:tcBorders>
              <w:top w:val="nil"/>
              <w:left w:val="nil"/>
              <w:bottom w:val="single" w:sz="4" w:space="0" w:color="auto"/>
              <w:right w:val="single" w:sz="4" w:space="0" w:color="auto"/>
            </w:tcBorders>
            <w:shd w:val="clear" w:color="000000" w:fill="D9D9D9"/>
            <w:noWrap/>
            <w:vAlign w:val="center"/>
            <w:hideMark/>
          </w:tcPr>
          <w:p w14:paraId="44886012"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267</w:t>
            </w:r>
          </w:p>
        </w:tc>
        <w:tc>
          <w:tcPr>
            <w:tcW w:w="700" w:type="dxa"/>
            <w:tcBorders>
              <w:top w:val="nil"/>
              <w:left w:val="nil"/>
              <w:bottom w:val="single" w:sz="4" w:space="0" w:color="auto"/>
              <w:right w:val="single" w:sz="4" w:space="0" w:color="auto"/>
            </w:tcBorders>
            <w:shd w:val="clear" w:color="000000" w:fill="D9D9D9"/>
            <w:noWrap/>
            <w:vAlign w:val="center"/>
            <w:hideMark/>
          </w:tcPr>
          <w:p w14:paraId="3EDA64D0"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eastAsia="en-GB"/>
              </w:rPr>
              <w:t>tbd</w:t>
            </w:r>
          </w:p>
        </w:tc>
        <w:tc>
          <w:tcPr>
            <w:tcW w:w="767" w:type="dxa"/>
            <w:tcBorders>
              <w:top w:val="nil"/>
              <w:left w:val="nil"/>
              <w:bottom w:val="single" w:sz="4" w:space="0" w:color="auto"/>
              <w:right w:val="single" w:sz="4" w:space="0" w:color="auto"/>
            </w:tcBorders>
            <w:shd w:val="clear" w:color="000000" w:fill="D9D9D9"/>
            <w:noWrap/>
            <w:vAlign w:val="center"/>
            <w:hideMark/>
          </w:tcPr>
          <w:p w14:paraId="5B5A43F8"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w:t>
            </w:r>
          </w:p>
        </w:tc>
        <w:tc>
          <w:tcPr>
            <w:tcW w:w="731" w:type="dxa"/>
            <w:tcBorders>
              <w:top w:val="nil"/>
              <w:left w:val="nil"/>
              <w:bottom w:val="single" w:sz="4" w:space="0" w:color="auto"/>
              <w:right w:val="single" w:sz="4" w:space="0" w:color="auto"/>
            </w:tcBorders>
            <w:shd w:val="clear" w:color="000000" w:fill="D9D9D9"/>
            <w:noWrap/>
            <w:vAlign w:val="center"/>
            <w:hideMark/>
          </w:tcPr>
          <w:p w14:paraId="30EE7B1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IV</w:t>
            </w:r>
          </w:p>
        </w:tc>
        <w:tc>
          <w:tcPr>
            <w:tcW w:w="628" w:type="dxa"/>
            <w:tcBorders>
              <w:top w:val="nil"/>
              <w:left w:val="nil"/>
              <w:bottom w:val="single" w:sz="4" w:space="0" w:color="auto"/>
              <w:right w:val="single" w:sz="4" w:space="0" w:color="auto"/>
            </w:tcBorders>
            <w:shd w:val="clear" w:color="000000" w:fill="D9D9D9"/>
            <w:noWrap/>
            <w:vAlign w:val="center"/>
            <w:hideMark/>
          </w:tcPr>
          <w:p w14:paraId="47F47D04" w14:textId="77777777" w:rsidR="006825FF" w:rsidRPr="006825FF" w:rsidRDefault="006825FF" w:rsidP="006825FF">
            <w:pPr>
              <w:spacing w:before="0" w:after="0"/>
              <w:rPr>
                <w:rFonts w:ascii="Calibri" w:eastAsia="Times New Roman" w:hAnsi="Calibri" w:cs="Calibri"/>
                <w:color w:val="000000"/>
                <w:sz w:val="18"/>
                <w:szCs w:val="18"/>
                <w:lang w:val="en-GB" w:eastAsia="en-GB"/>
              </w:rPr>
            </w:pPr>
            <w:r w:rsidRPr="006825FF">
              <w:rPr>
                <w:rFonts w:ascii="Calibri" w:eastAsia="Times New Roman" w:hAnsi="Calibri" w:cs="Calibri"/>
                <w:color w:val="000000"/>
                <w:sz w:val="18"/>
                <w:szCs w:val="18"/>
                <w:lang w:val="en-GB" w:eastAsia="en-GB"/>
              </w:rPr>
              <w:t>ES</w:t>
            </w:r>
          </w:p>
        </w:tc>
      </w:tr>
    </w:tbl>
    <w:p w14:paraId="4BFDB6FC" w14:textId="77777777" w:rsidR="004B45E5" w:rsidRDefault="004B45E5" w:rsidP="004B45E5">
      <w:pPr>
        <w:rPr>
          <w:rFonts w:asciiTheme="minorHAnsi" w:hAnsiTheme="minorHAnsi"/>
          <w:i/>
          <w:iCs/>
        </w:rPr>
        <w:sectPr w:rsidR="004B45E5" w:rsidSect="00AA7F7B">
          <w:pgSz w:w="15840" w:h="12240" w:orient="landscape"/>
          <w:pgMar w:top="1179" w:right="1140" w:bottom="1281" w:left="1140" w:header="720" w:footer="720" w:gutter="0"/>
          <w:cols w:space="720"/>
          <w:titlePg/>
          <w:docGrid w:linePitch="360"/>
        </w:sectPr>
      </w:pPr>
    </w:p>
    <w:p w14:paraId="5E4BC6FA" w14:textId="77777777" w:rsidR="00BD302E" w:rsidRDefault="00BD302E" w:rsidP="004B45E5">
      <w:pPr>
        <w:pStyle w:val="Caption"/>
      </w:pPr>
    </w:p>
    <w:p w14:paraId="29DFA0B9" w14:textId="77777777" w:rsidR="00BD302E" w:rsidRDefault="00BD302E" w:rsidP="004B45E5">
      <w:pPr>
        <w:pStyle w:val="Caption"/>
      </w:pPr>
    </w:p>
    <w:p w14:paraId="580D8BD9" w14:textId="645BF314" w:rsidR="004B45E5" w:rsidRPr="001D6694" w:rsidRDefault="004B45E5" w:rsidP="004B45E5">
      <w:pPr>
        <w:pStyle w:val="Caption"/>
      </w:pPr>
      <w:bookmarkStart w:id="8" w:name="_Toc139460467"/>
      <w:r>
        <w:t xml:space="preserve">Supplementary Table S </w:t>
      </w:r>
      <w:fldSimple w:instr=" SEQ Supplementary_Table_S \* ARABIC ">
        <w:r w:rsidR="00BD302E">
          <w:rPr>
            <w:noProof/>
          </w:rPr>
          <w:t>6</w:t>
        </w:r>
      </w:fldSimple>
      <w:r w:rsidRPr="001D6694">
        <w:t xml:space="preserve">: </w:t>
      </w:r>
      <w:r>
        <w:t>Development of harmonised</w:t>
      </w:r>
      <w:r w:rsidRPr="001D6694">
        <w:t xml:space="preserve"> assessment levels </w:t>
      </w:r>
      <w:r>
        <w:t>agreed for application in</w:t>
      </w:r>
      <w:r w:rsidRPr="001D6694">
        <w:t xml:space="preserve"> COMP4</w:t>
      </w:r>
      <w:r>
        <w:t xml:space="preserve"> for all assessment areas</w:t>
      </w:r>
      <w:r w:rsidRPr="001D6694">
        <w:t>.</w:t>
      </w:r>
      <w:bookmarkEnd w:id="8"/>
      <w:r w:rsidRPr="001D6694">
        <w:t xml:space="preserve"> </w:t>
      </w:r>
    </w:p>
    <w:p w14:paraId="1ABAF19B" w14:textId="77777777" w:rsidR="004B45E5" w:rsidRPr="00CF3A1F" w:rsidRDefault="004B45E5" w:rsidP="004B45E5">
      <w:pPr>
        <w:rPr>
          <w:b/>
        </w:rPr>
      </w:pPr>
      <w:r w:rsidRPr="00CF3A1F">
        <w:rPr>
          <w:b/>
        </w:rPr>
        <w:t xml:space="preserve">This </w:t>
      </w:r>
      <w:r>
        <w:rPr>
          <w:b/>
        </w:rPr>
        <w:t xml:space="preserve">table </w:t>
      </w:r>
      <w:r w:rsidRPr="00CF3A1F">
        <w:rPr>
          <w:b/>
        </w:rPr>
        <w:t>lists the area-specific assessment parameters agreed for the 4th application of the COMP</w:t>
      </w:r>
      <w:r>
        <w:rPr>
          <w:b/>
        </w:rPr>
        <w:t xml:space="preserve"> for</w:t>
      </w:r>
      <w:r w:rsidRPr="00CF3A1F">
        <w:rPr>
          <w:b/>
        </w:rPr>
        <w:t xml:space="preserve"> all three categories, with columns for the indicator thresholds. Thresholds for Winter DIN and DIP and chlorophyll a are calculated according to the method used by ICG-EMO, which is described in </w:t>
      </w:r>
      <w:r w:rsidRPr="001D6694">
        <w:rPr>
          <w:b/>
        </w:rPr>
        <w:t xml:space="preserve">Van Leeuwen et al., 2023. </w:t>
      </w:r>
      <w:r w:rsidRPr="00CF3A1F">
        <w:rPr>
          <w:b/>
        </w:rPr>
        <w:t xml:space="preserve">In a number of assessment units’ deviations from historic scenario 2 were considered necessary, for several reasons. This is explained in the last column of the Table and the values are presented in bold. Thresholds for Winter DIN and DIP and chlorophyll a in Spanish and Portuguese waters are derived using national methods, which is also indicated in the last column. Thresholds for oxygen depletion near the seafloor are the same in all assessment units and have not been changed since COMP3. In some areas thresholds for Total N and P and for the photic limit (Secchi depth) have been added. The latter methods for threshold setting have been agreed between DE, DK and SE. </w:t>
      </w:r>
    </w:p>
    <w:p w14:paraId="10D37EC2" w14:textId="77777777" w:rsidR="004B45E5" w:rsidRPr="0034165B" w:rsidRDefault="004B45E5" w:rsidP="004B45E5"/>
    <w:p w14:paraId="1CB29BD7" w14:textId="77777777" w:rsidR="004B45E5" w:rsidRDefault="004B45E5" w:rsidP="004B45E5">
      <w:pPr>
        <w:rPr>
          <w:rFonts w:eastAsia="Calibri"/>
          <w:i/>
        </w:rPr>
        <w:sectPr w:rsidR="004B45E5" w:rsidSect="0093429D">
          <w:headerReference w:type="even" r:id="rId34"/>
          <w:headerReference w:type="default" r:id="rId35"/>
          <w:footerReference w:type="even" r:id="rId36"/>
          <w:footerReference w:type="default" r:id="rId37"/>
          <w:headerReference w:type="first" r:id="rId38"/>
          <w:footerReference w:type="first" r:id="rId39"/>
          <w:pgSz w:w="12240" w:h="15840"/>
          <w:pgMar w:top="1138" w:right="1181" w:bottom="1138" w:left="1282" w:header="720" w:footer="720" w:gutter="0"/>
          <w:cols w:space="720"/>
          <w:titlePg/>
          <w:docGrid w:linePitch="360"/>
        </w:sect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788"/>
        <w:gridCol w:w="985"/>
        <w:gridCol w:w="1199"/>
        <w:gridCol w:w="992"/>
        <w:gridCol w:w="13"/>
        <w:gridCol w:w="838"/>
        <w:gridCol w:w="851"/>
        <w:gridCol w:w="709"/>
        <w:gridCol w:w="709"/>
        <w:gridCol w:w="27"/>
        <w:gridCol w:w="1107"/>
        <w:gridCol w:w="27"/>
        <w:gridCol w:w="965"/>
        <w:gridCol w:w="714"/>
        <w:gridCol w:w="27"/>
        <w:gridCol w:w="4361"/>
      </w:tblGrid>
      <w:tr w:rsidR="004B45E5" w:rsidRPr="005C1498" w14:paraId="1DEC13D2" w14:textId="77777777" w:rsidTr="00A64E33">
        <w:trPr>
          <w:trHeight w:val="20"/>
          <w:tblHeader/>
        </w:trPr>
        <w:tc>
          <w:tcPr>
            <w:tcW w:w="3977" w:type="dxa"/>
            <w:gridSpan w:val="5"/>
            <w:vAlign w:val="center"/>
            <w:hideMark/>
          </w:tcPr>
          <w:p w14:paraId="0B1145E6" w14:textId="77777777" w:rsidR="004B45E5" w:rsidRPr="005C1498" w:rsidRDefault="004B45E5" w:rsidP="00A64E33">
            <w:pPr>
              <w:spacing w:before="0" w:after="0"/>
              <w:rPr>
                <w:sz w:val="18"/>
                <w:szCs w:val="18"/>
                <w:lang w:eastAsia="en-GB"/>
              </w:rPr>
            </w:pPr>
            <w:r w:rsidRPr="005C1498">
              <w:rPr>
                <w:rFonts w:eastAsia="Calibri"/>
                <w:i/>
                <w:sz w:val="18"/>
                <w:szCs w:val="18"/>
              </w:rPr>
              <w:lastRenderedPageBreak/>
              <w:t>Area-specific assessment levels for use in COMP4</w:t>
            </w:r>
          </w:p>
        </w:tc>
        <w:tc>
          <w:tcPr>
            <w:tcW w:w="3134" w:type="dxa"/>
            <w:gridSpan w:val="5"/>
            <w:vAlign w:val="center"/>
            <w:hideMark/>
          </w:tcPr>
          <w:p w14:paraId="30B34446" w14:textId="77777777" w:rsidR="004B45E5" w:rsidRPr="005C1498" w:rsidRDefault="004B45E5" w:rsidP="00A64E33">
            <w:pPr>
              <w:spacing w:before="0" w:after="0"/>
              <w:rPr>
                <w:sz w:val="18"/>
                <w:szCs w:val="18"/>
                <w:lang w:eastAsia="en-GB"/>
              </w:rPr>
            </w:pPr>
            <w:r w:rsidRPr="005C1498">
              <w:rPr>
                <w:sz w:val="18"/>
                <w:szCs w:val="18"/>
                <w:lang w:eastAsia="en-GB"/>
              </w:rPr>
              <w:t>Category 1 - nutrient enrichment</w:t>
            </w:r>
          </w:p>
        </w:tc>
        <w:tc>
          <w:tcPr>
            <w:tcW w:w="1134" w:type="dxa"/>
            <w:gridSpan w:val="2"/>
            <w:vAlign w:val="center"/>
            <w:hideMark/>
          </w:tcPr>
          <w:p w14:paraId="684F025A" w14:textId="77777777" w:rsidR="004B45E5" w:rsidRPr="005C1498" w:rsidRDefault="004B45E5" w:rsidP="00A64E33">
            <w:pPr>
              <w:spacing w:before="0" w:after="0"/>
              <w:rPr>
                <w:sz w:val="18"/>
                <w:szCs w:val="18"/>
                <w:lang w:eastAsia="en-GB"/>
              </w:rPr>
            </w:pPr>
            <w:r w:rsidRPr="005C1498">
              <w:rPr>
                <w:sz w:val="18"/>
                <w:szCs w:val="18"/>
                <w:lang w:eastAsia="en-GB"/>
              </w:rPr>
              <w:t>Category II – Direct effects</w:t>
            </w:r>
          </w:p>
        </w:tc>
        <w:tc>
          <w:tcPr>
            <w:tcW w:w="1706" w:type="dxa"/>
            <w:gridSpan w:val="3"/>
            <w:vAlign w:val="center"/>
            <w:hideMark/>
          </w:tcPr>
          <w:p w14:paraId="3A1A1721" w14:textId="77777777" w:rsidR="004B45E5" w:rsidRPr="005C1498" w:rsidRDefault="004B45E5" w:rsidP="00A64E33">
            <w:pPr>
              <w:spacing w:before="0" w:after="0"/>
              <w:rPr>
                <w:sz w:val="18"/>
                <w:szCs w:val="18"/>
                <w:lang w:eastAsia="en-GB"/>
              </w:rPr>
            </w:pPr>
            <w:r w:rsidRPr="005C1498">
              <w:rPr>
                <w:sz w:val="18"/>
                <w:szCs w:val="18"/>
                <w:lang w:eastAsia="en-GB"/>
              </w:rPr>
              <w:t>Category III – Indirect effects</w:t>
            </w:r>
          </w:p>
        </w:tc>
        <w:tc>
          <w:tcPr>
            <w:tcW w:w="4361" w:type="dxa"/>
            <w:vAlign w:val="center"/>
            <w:hideMark/>
          </w:tcPr>
          <w:p w14:paraId="15F61E10" w14:textId="1A366F8F" w:rsidR="004B45E5" w:rsidRPr="005C1498" w:rsidRDefault="004B45E5" w:rsidP="00A64E33">
            <w:pPr>
              <w:spacing w:before="0" w:after="0"/>
              <w:rPr>
                <w:b/>
                <w:bCs/>
                <w:sz w:val="18"/>
                <w:szCs w:val="18"/>
                <w:lang w:eastAsia="en-GB"/>
              </w:rPr>
            </w:pPr>
          </w:p>
        </w:tc>
      </w:tr>
      <w:tr w:rsidR="004B45E5" w:rsidRPr="005C1498" w14:paraId="22E13D82" w14:textId="77777777" w:rsidTr="00A64E33">
        <w:trPr>
          <w:trHeight w:val="20"/>
          <w:tblHeader/>
        </w:trPr>
        <w:tc>
          <w:tcPr>
            <w:tcW w:w="788" w:type="dxa"/>
            <w:shd w:val="clear" w:color="auto" w:fill="E5DFEC" w:themeFill="accent4" w:themeFillTint="33"/>
            <w:vAlign w:val="center"/>
            <w:hideMark/>
          </w:tcPr>
          <w:p w14:paraId="04C12820" w14:textId="77777777" w:rsidR="004B45E5" w:rsidRPr="005C1498" w:rsidRDefault="004B45E5" w:rsidP="00A64E33">
            <w:pPr>
              <w:spacing w:before="0" w:after="0"/>
              <w:rPr>
                <w:b/>
                <w:bCs/>
                <w:sz w:val="18"/>
                <w:szCs w:val="18"/>
                <w:lang w:eastAsia="en-GB"/>
              </w:rPr>
            </w:pPr>
            <w:r w:rsidRPr="005C1498">
              <w:rPr>
                <w:b/>
                <w:bCs/>
                <w:sz w:val="18"/>
                <w:szCs w:val="18"/>
                <w:lang w:eastAsia="en-GB"/>
              </w:rPr>
              <w:t>UnitID</w:t>
            </w:r>
          </w:p>
        </w:tc>
        <w:tc>
          <w:tcPr>
            <w:tcW w:w="985" w:type="dxa"/>
            <w:shd w:val="clear" w:color="auto" w:fill="E5DFEC" w:themeFill="accent4" w:themeFillTint="33"/>
            <w:vAlign w:val="center"/>
            <w:hideMark/>
          </w:tcPr>
          <w:p w14:paraId="012CF605" w14:textId="77777777" w:rsidR="004B45E5" w:rsidRPr="005C1498" w:rsidRDefault="004B45E5" w:rsidP="00A64E33">
            <w:pPr>
              <w:spacing w:before="0" w:after="0"/>
              <w:rPr>
                <w:b/>
                <w:bCs/>
                <w:sz w:val="18"/>
                <w:szCs w:val="18"/>
                <w:lang w:eastAsia="en-GB"/>
              </w:rPr>
            </w:pPr>
            <w:r w:rsidRPr="005C1498">
              <w:rPr>
                <w:b/>
                <w:bCs/>
                <w:sz w:val="18"/>
                <w:szCs w:val="18"/>
                <w:lang w:eastAsia="en-GB"/>
              </w:rPr>
              <w:t>Code</w:t>
            </w:r>
          </w:p>
        </w:tc>
        <w:tc>
          <w:tcPr>
            <w:tcW w:w="1199" w:type="dxa"/>
            <w:shd w:val="clear" w:color="auto" w:fill="E5DFEC" w:themeFill="accent4" w:themeFillTint="33"/>
            <w:vAlign w:val="center"/>
            <w:hideMark/>
          </w:tcPr>
          <w:p w14:paraId="34E6DF9B" w14:textId="77777777" w:rsidR="004B45E5" w:rsidRPr="005C1498" w:rsidRDefault="004B45E5" w:rsidP="00A64E33">
            <w:pPr>
              <w:spacing w:before="0" w:after="0"/>
              <w:rPr>
                <w:b/>
                <w:bCs/>
                <w:sz w:val="18"/>
                <w:szCs w:val="18"/>
                <w:lang w:eastAsia="en-GB"/>
              </w:rPr>
            </w:pPr>
            <w:r w:rsidRPr="005C1498">
              <w:rPr>
                <w:b/>
                <w:bCs/>
                <w:sz w:val="18"/>
                <w:szCs w:val="18"/>
                <w:lang w:eastAsia="en-GB"/>
              </w:rPr>
              <w:t>Assessment unit full name</w:t>
            </w:r>
          </w:p>
        </w:tc>
        <w:tc>
          <w:tcPr>
            <w:tcW w:w="992" w:type="dxa"/>
            <w:shd w:val="clear" w:color="auto" w:fill="E5DFEC" w:themeFill="accent4" w:themeFillTint="33"/>
            <w:vAlign w:val="center"/>
            <w:hideMark/>
          </w:tcPr>
          <w:p w14:paraId="181D0338" w14:textId="77777777" w:rsidR="004B45E5" w:rsidRPr="005C1498" w:rsidRDefault="004B45E5" w:rsidP="00A64E33">
            <w:pPr>
              <w:spacing w:before="0" w:after="0"/>
              <w:rPr>
                <w:b/>
                <w:bCs/>
                <w:sz w:val="18"/>
                <w:szCs w:val="18"/>
                <w:lang w:eastAsia="en-GB"/>
              </w:rPr>
            </w:pPr>
            <w:r w:rsidRPr="005C1498">
              <w:rPr>
                <w:b/>
                <w:bCs/>
                <w:sz w:val="18"/>
                <w:szCs w:val="18"/>
                <w:lang w:eastAsia="en-GB"/>
              </w:rPr>
              <w:t>Contracting Parties involved</w:t>
            </w:r>
          </w:p>
        </w:tc>
        <w:tc>
          <w:tcPr>
            <w:tcW w:w="851" w:type="dxa"/>
            <w:gridSpan w:val="2"/>
            <w:shd w:val="clear" w:color="auto" w:fill="E5DFEC" w:themeFill="accent4" w:themeFillTint="33"/>
            <w:vAlign w:val="center"/>
            <w:hideMark/>
          </w:tcPr>
          <w:p w14:paraId="2C114C61" w14:textId="77777777" w:rsidR="004B45E5" w:rsidRPr="005C1498" w:rsidRDefault="004B45E5" w:rsidP="00A64E33">
            <w:pPr>
              <w:spacing w:before="0" w:after="0"/>
              <w:rPr>
                <w:b/>
                <w:bCs/>
                <w:sz w:val="18"/>
                <w:szCs w:val="18"/>
                <w:lang w:eastAsia="en-GB"/>
              </w:rPr>
            </w:pPr>
            <w:r w:rsidRPr="005C1498">
              <w:rPr>
                <w:b/>
                <w:bCs/>
                <w:sz w:val="18"/>
                <w:szCs w:val="18"/>
                <w:lang w:eastAsia="en-GB"/>
              </w:rPr>
              <w:t>Winter DIN (µM)</w:t>
            </w:r>
          </w:p>
        </w:tc>
        <w:tc>
          <w:tcPr>
            <w:tcW w:w="851" w:type="dxa"/>
            <w:shd w:val="clear" w:color="auto" w:fill="E5DFEC" w:themeFill="accent4" w:themeFillTint="33"/>
            <w:vAlign w:val="center"/>
            <w:hideMark/>
          </w:tcPr>
          <w:p w14:paraId="2EABFCF1" w14:textId="77777777" w:rsidR="004B45E5" w:rsidRPr="005C1498" w:rsidRDefault="004B45E5" w:rsidP="00A64E33">
            <w:pPr>
              <w:spacing w:before="0" w:after="0"/>
              <w:rPr>
                <w:b/>
                <w:bCs/>
                <w:sz w:val="18"/>
                <w:szCs w:val="18"/>
                <w:lang w:eastAsia="en-GB"/>
              </w:rPr>
            </w:pPr>
            <w:r w:rsidRPr="005C1498">
              <w:rPr>
                <w:b/>
                <w:bCs/>
                <w:sz w:val="18"/>
                <w:szCs w:val="18"/>
                <w:lang w:eastAsia="en-GB"/>
              </w:rPr>
              <w:t>Winter DIP (µM)</w:t>
            </w:r>
          </w:p>
        </w:tc>
        <w:tc>
          <w:tcPr>
            <w:tcW w:w="709" w:type="dxa"/>
            <w:shd w:val="clear" w:color="auto" w:fill="E5DFEC" w:themeFill="accent4" w:themeFillTint="33"/>
            <w:vAlign w:val="center"/>
            <w:hideMark/>
          </w:tcPr>
          <w:p w14:paraId="171387A0" w14:textId="77777777" w:rsidR="004B45E5" w:rsidRPr="005C1498" w:rsidRDefault="004B45E5" w:rsidP="00A64E33">
            <w:pPr>
              <w:spacing w:before="0" w:after="0"/>
              <w:rPr>
                <w:b/>
                <w:bCs/>
                <w:sz w:val="18"/>
                <w:szCs w:val="18"/>
                <w:lang w:eastAsia="en-GB"/>
              </w:rPr>
            </w:pPr>
            <w:r w:rsidRPr="005C1498">
              <w:rPr>
                <w:b/>
                <w:bCs/>
                <w:sz w:val="18"/>
                <w:szCs w:val="18"/>
                <w:lang w:eastAsia="en-GB"/>
              </w:rPr>
              <w:t>Total N (µM)</w:t>
            </w:r>
          </w:p>
        </w:tc>
        <w:tc>
          <w:tcPr>
            <w:tcW w:w="709" w:type="dxa"/>
            <w:shd w:val="clear" w:color="auto" w:fill="E5DFEC" w:themeFill="accent4" w:themeFillTint="33"/>
            <w:vAlign w:val="center"/>
            <w:hideMark/>
          </w:tcPr>
          <w:p w14:paraId="6346CDB1" w14:textId="77777777" w:rsidR="004B45E5" w:rsidRPr="005C1498" w:rsidRDefault="004B45E5" w:rsidP="00A64E33">
            <w:pPr>
              <w:spacing w:before="0" w:after="0"/>
              <w:rPr>
                <w:b/>
                <w:bCs/>
                <w:sz w:val="18"/>
                <w:szCs w:val="18"/>
                <w:lang w:eastAsia="en-GB"/>
              </w:rPr>
            </w:pPr>
            <w:r w:rsidRPr="005C1498">
              <w:rPr>
                <w:b/>
                <w:bCs/>
                <w:sz w:val="18"/>
                <w:szCs w:val="18"/>
                <w:lang w:eastAsia="en-GB"/>
              </w:rPr>
              <w:t>Total P (µM)</w:t>
            </w:r>
          </w:p>
        </w:tc>
        <w:tc>
          <w:tcPr>
            <w:tcW w:w="1134" w:type="dxa"/>
            <w:gridSpan w:val="2"/>
            <w:shd w:val="clear" w:color="auto" w:fill="E5DFEC" w:themeFill="accent4" w:themeFillTint="33"/>
            <w:vAlign w:val="center"/>
            <w:hideMark/>
          </w:tcPr>
          <w:p w14:paraId="2E4DE937" w14:textId="77777777" w:rsidR="004B45E5" w:rsidRPr="005C1498" w:rsidRDefault="004B45E5" w:rsidP="00A64E33">
            <w:pPr>
              <w:spacing w:before="0" w:after="0"/>
              <w:rPr>
                <w:b/>
                <w:bCs/>
                <w:sz w:val="18"/>
                <w:szCs w:val="18"/>
                <w:lang w:eastAsia="en-GB"/>
              </w:rPr>
            </w:pPr>
            <w:r w:rsidRPr="005C1498">
              <w:rPr>
                <w:b/>
                <w:bCs/>
                <w:sz w:val="18"/>
                <w:szCs w:val="18"/>
                <w:lang w:eastAsia="en-GB"/>
              </w:rPr>
              <w:t>Mean growing season Chl-a (mg/l)</w:t>
            </w:r>
          </w:p>
        </w:tc>
        <w:tc>
          <w:tcPr>
            <w:tcW w:w="992" w:type="dxa"/>
            <w:gridSpan w:val="2"/>
            <w:shd w:val="clear" w:color="auto" w:fill="E5DFEC" w:themeFill="accent4" w:themeFillTint="33"/>
            <w:vAlign w:val="center"/>
            <w:hideMark/>
          </w:tcPr>
          <w:p w14:paraId="7DF89FF8" w14:textId="77777777" w:rsidR="004B45E5" w:rsidRPr="005C1498" w:rsidRDefault="004B45E5" w:rsidP="00A64E33">
            <w:pPr>
              <w:spacing w:before="0" w:after="0"/>
              <w:rPr>
                <w:b/>
                <w:bCs/>
                <w:sz w:val="18"/>
                <w:szCs w:val="18"/>
                <w:lang w:eastAsia="en-GB"/>
              </w:rPr>
            </w:pPr>
            <w:r w:rsidRPr="005C1498">
              <w:rPr>
                <w:b/>
                <w:bCs/>
                <w:sz w:val="18"/>
                <w:szCs w:val="18"/>
                <w:lang w:eastAsia="en-GB"/>
              </w:rPr>
              <w:t>Oxygen deficiency near the seafloor (mg/l)</w:t>
            </w:r>
          </w:p>
        </w:tc>
        <w:tc>
          <w:tcPr>
            <w:tcW w:w="714" w:type="dxa"/>
            <w:shd w:val="clear" w:color="auto" w:fill="E5DFEC" w:themeFill="accent4" w:themeFillTint="33"/>
            <w:vAlign w:val="center"/>
            <w:hideMark/>
          </w:tcPr>
          <w:p w14:paraId="461DE7C0" w14:textId="77777777" w:rsidR="004B45E5" w:rsidRPr="005C1498" w:rsidRDefault="004B45E5" w:rsidP="00A64E33">
            <w:pPr>
              <w:spacing w:before="0" w:after="0"/>
              <w:rPr>
                <w:b/>
                <w:bCs/>
                <w:sz w:val="18"/>
                <w:szCs w:val="18"/>
                <w:lang w:eastAsia="en-GB"/>
              </w:rPr>
            </w:pPr>
            <w:r w:rsidRPr="005C1498">
              <w:rPr>
                <w:b/>
                <w:bCs/>
                <w:sz w:val="18"/>
                <w:szCs w:val="18"/>
                <w:lang w:eastAsia="en-GB"/>
              </w:rPr>
              <w:t>Secchi depth (m)</w:t>
            </w:r>
          </w:p>
        </w:tc>
        <w:tc>
          <w:tcPr>
            <w:tcW w:w="4388" w:type="dxa"/>
            <w:gridSpan w:val="2"/>
            <w:vAlign w:val="center"/>
            <w:hideMark/>
          </w:tcPr>
          <w:p w14:paraId="045097EE" w14:textId="356277A6" w:rsidR="004B45E5" w:rsidRPr="005C1498" w:rsidRDefault="00A64E33" w:rsidP="00A64E33">
            <w:pPr>
              <w:spacing w:before="0" w:after="0"/>
              <w:rPr>
                <w:sz w:val="18"/>
                <w:szCs w:val="18"/>
                <w:lang w:eastAsia="en-GB"/>
              </w:rPr>
            </w:pPr>
            <w:r w:rsidRPr="005C1498">
              <w:rPr>
                <w:b/>
                <w:bCs/>
                <w:sz w:val="18"/>
                <w:szCs w:val="18"/>
                <w:lang w:eastAsia="en-GB"/>
              </w:rPr>
              <w:t>Explanation of deviation from Historic Scenario 2</w:t>
            </w:r>
          </w:p>
        </w:tc>
      </w:tr>
      <w:tr w:rsidR="004B45E5" w:rsidRPr="005C1498" w14:paraId="5D040086" w14:textId="77777777" w:rsidTr="00A64E33">
        <w:trPr>
          <w:trHeight w:val="20"/>
          <w:tblHeader/>
        </w:trPr>
        <w:tc>
          <w:tcPr>
            <w:tcW w:w="788" w:type="dxa"/>
            <w:noWrap/>
            <w:vAlign w:val="center"/>
            <w:hideMark/>
          </w:tcPr>
          <w:p w14:paraId="360178F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w:t>
            </w:r>
          </w:p>
        </w:tc>
        <w:tc>
          <w:tcPr>
            <w:tcW w:w="985" w:type="dxa"/>
            <w:noWrap/>
            <w:vAlign w:val="center"/>
            <w:hideMark/>
          </w:tcPr>
          <w:p w14:paraId="718AACA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ADPM</w:t>
            </w:r>
          </w:p>
        </w:tc>
        <w:tc>
          <w:tcPr>
            <w:tcW w:w="1199" w:type="dxa"/>
            <w:noWrap/>
            <w:vAlign w:val="center"/>
            <w:hideMark/>
          </w:tcPr>
          <w:p w14:paraId="700DF4A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Adour plume</w:t>
            </w:r>
          </w:p>
        </w:tc>
        <w:tc>
          <w:tcPr>
            <w:tcW w:w="992" w:type="dxa"/>
            <w:noWrap/>
            <w:vAlign w:val="center"/>
            <w:hideMark/>
          </w:tcPr>
          <w:p w14:paraId="626FAC3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w:t>
            </w:r>
          </w:p>
        </w:tc>
        <w:tc>
          <w:tcPr>
            <w:tcW w:w="851" w:type="dxa"/>
            <w:gridSpan w:val="2"/>
            <w:noWrap/>
            <w:vAlign w:val="center"/>
            <w:hideMark/>
          </w:tcPr>
          <w:p w14:paraId="712EBC6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8.9</w:t>
            </w:r>
          </w:p>
        </w:tc>
        <w:tc>
          <w:tcPr>
            <w:tcW w:w="851" w:type="dxa"/>
            <w:noWrap/>
            <w:vAlign w:val="center"/>
            <w:hideMark/>
          </w:tcPr>
          <w:p w14:paraId="28FFAAD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0.67</w:t>
            </w:r>
          </w:p>
        </w:tc>
        <w:tc>
          <w:tcPr>
            <w:tcW w:w="709" w:type="dxa"/>
            <w:noWrap/>
            <w:vAlign w:val="center"/>
            <w:hideMark/>
          </w:tcPr>
          <w:p w14:paraId="734AD77E"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1939FC9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609C754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1.7</w:t>
            </w:r>
          </w:p>
        </w:tc>
        <w:tc>
          <w:tcPr>
            <w:tcW w:w="992" w:type="dxa"/>
            <w:gridSpan w:val="2"/>
            <w:noWrap/>
            <w:vAlign w:val="center"/>
            <w:hideMark/>
          </w:tcPr>
          <w:p w14:paraId="6D4C6D7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80FBF41"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F28D86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73F823D5" w14:textId="77777777" w:rsidTr="00A64E33">
        <w:trPr>
          <w:trHeight w:val="20"/>
          <w:tblHeader/>
        </w:trPr>
        <w:tc>
          <w:tcPr>
            <w:tcW w:w="788" w:type="dxa"/>
            <w:noWrap/>
            <w:vAlign w:val="center"/>
            <w:hideMark/>
          </w:tcPr>
          <w:p w14:paraId="7D950B9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w:t>
            </w:r>
          </w:p>
        </w:tc>
        <w:tc>
          <w:tcPr>
            <w:tcW w:w="985" w:type="dxa"/>
            <w:noWrap/>
            <w:vAlign w:val="center"/>
            <w:hideMark/>
          </w:tcPr>
          <w:p w14:paraId="59EA83C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ASS</w:t>
            </w:r>
          </w:p>
        </w:tc>
        <w:tc>
          <w:tcPr>
            <w:tcW w:w="1199" w:type="dxa"/>
            <w:noWrap/>
            <w:vAlign w:val="center"/>
            <w:hideMark/>
          </w:tcPr>
          <w:p w14:paraId="14CF820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Atlantic Seasonally Stratified</w:t>
            </w:r>
          </w:p>
        </w:tc>
        <w:tc>
          <w:tcPr>
            <w:tcW w:w="992" w:type="dxa"/>
            <w:noWrap/>
            <w:vAlign w:val="center"/>
            <w:hideMark/>
          </w:tcPr>
          <w:p w14:paraId="77BC1A9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 IE, UK</w:t>
            </w:r>
          </w:p>
        </w:tc>
        <w:tc>
          <w:tcPr>
            <w:tcW w:w="851" w:type="dxa"/>
            <w:gridSpan w:val="2"/>
            <w:noWrap/>
            <w:vAlign w:val="center"/>
            <w:hideMark/>
          </w:tcPr>
          <w:p w14:paraId="0655CB3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11.7</w:t>
            </w:r>
          </w:p>
        </w:tc>
        <w:tc>
          <w:tcPr>
            <w:tcW w:w="851" w:type="dxa"/>
            <w:noWrap/>
            <w:vAlign w:val="center"/>
            <w:hideMark/>
          </w:tcPr>
          <w:p w14:paraId="24627A5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0.84</w:t>
            </w:r>
          </w:p>
        </w:tc>
        <w:tc>
          <w:tcPr>
            <w:tcW w:w="709" w:type="dxa"/>
            <w:noWrap/>
            <w:vAlign w:val="center"/>
            <w:hideMark/>
          </w:tcPr>
          <w:p w14:paraId="70FB2DC5"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6F17CF2E"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F741836"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1.8</w:t>
            </w:r>
          </w:p>
        </w:tc>
        <w:tc>
          <w:tcPr>
            <w:tcW w:w="992" w:type="dxa"/>
            <w:gridSpan w:val="2"/>
            <w:noWrap/>
            <w:vAlign w:val="center"/>
            <w:hideMark/>
          </w:tcPr>
          <w:p w14:paraId="23D1BD3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40559D1C"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F790DB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Chl-a changed from 1.379 to 1.8 for consistency with adjacent waters, sensible gradient with WFD (and poor model coverage ASS, ATL)</w:t>
            </w:r>
          </w:p>
          <w:p w14:paraId="5211124E" w14:textId="77777777" w:rsidR="004B45E5" w:rsidRPr="005C1498" w:rsidRDefault="004B45E5" w:rsidP="00A64E33">
            <w:pPr>
              <w:spacing w:before="0" w:after="0"/>
              <w:rPr>
                <w:rFonts w:cs="Calibri"/>
                <w:color w:val="000000"/>
                <w:sz w:val="18"/>
                <w:szCs w:val="18"/>
                <w:lang w:eastAsia="en-GB"/>
              </w:rPr>
            </w:pPr>
          </w:p>
        </w:tc>
      </w:tr>
      <w:tr w:rsidR="004B45E5" w:rsidRPr="005C1498" w14:paraId="50475C0C" w14:textId="77777777" w:rsidTr="00A64E33">
        <w:trPr>
          <w:trHeight w:val="20"/>
          <w:tblHeader/>
        </w:trPr>
        <w:tc>
          <w:tcPr>
            <w:tcW w:w="788" w:type="dxa"/>
            <w:noWrap/>
            <w:vAlign w:val="center"/>
            <w:hideMark/>
          </w:tcPr>
          <w:p w14:paraId="118398F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w:t>
            </w:r>
          </w:p>
        </w:tc>
        <w:tc>
          <w:tcPr>
            <w:tcW w:w="985" w:type="dxa"/>
            <w:noWrap/>
            <w:vAlign w:val="center"/>
            <w:hideMark/>
          </w:tcPr>
          <w:p w14:paraId="0091106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ATL</w:t>
            </w:r>
          </w:p>
        </w:tc>
        <w:tc>
          <w:tcPr>
            <w:tcW w:w="1199" w:type="dxa"/>
            <w:noWrap/>
            <w:vAlign w:val="center"/>
            <w:hideMark/>
          </w:tcPr>
          <w:p w14:paraId="583022B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Atlantic</w:t>
            </w:r>
          </w:p>
        </w:tc>
        <w:tc>
          <w:tcPr>
            <w:tcW w:w="992" w:type="dxa"/>
            <w:noWrap/>
            <w:vAlign w:val="center"/>
            <w:hideMark/>
          </w:tcPr>
          <w:p w14:paraId="49B12073" w14:textId="77777777" w:rsidR="004B45E5" w:rsidRPr="005C1498" w:rsidRDefault="004B45E5" w:rsidP="00A64E33">
            <w:pPr>
              <w:spacing w:before="0" w:after="0"/>
              <w:rPr>
                <w:rFonts w:cs="Calibri"/>
                <w:color w:val="000000"/>
                <w:sz w:val="18"/>
                <w:szCs w:val="18"/>
                <w:lang w:val="es-ES" w:eastAsia="en-GB"/>
              </w:rPr>
            </w:pPr>
            <w:r w:rsidRPr="005C1498">
              <w:rPr>
                <w:rFonts w:cs="Calibri"/>
                <w:color w:val="000000"/>
                <w:sz w:val="18"/>
                <w:szCs w:val="18"/>
                <w:lang w:val="es-ES" w:eastAsia="en-GB"/>
              </w:rPr>
              <w:t>ES, FR, IE, UK, NO</w:t>
            </w:r>
          </w:p>
        </w:tc>
        <w:tc>
          <w:tcPr>
            <w:tcW w:w="851" w:type="dxa"/>
            <w:gridSpan w:val="2"/>
            <w:noWrap/>
            <w:vAlign w:val="center"/>
            <w:hideMark/>
          </w:tcPr>
          <w:p w14:paraId="2B36A9C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15.4</w:t>
            </w:r>
          </w:p>
        </w:tc>
        <w:tc>
          <w:tcPr>
            <w:tcW w:w="851" w:type="dxa"/>
            <w:noWrap/>
            <w:vAlign w:val="center"/>
            <w:hideMark/>
          </w:tcPr>
          <w:p w14:paraId="6B1C148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0.98</w:t>
            </w:r>
          </w:p>
        </w:tc>
        <w:tc>
          <w:tcPr>
            <w:tcW w:w="709" w:type="dxa"/>
            <w:noWrap/>
            <w:vAlign w:val="center"/>
            <w:hideMark/>
          </w:tcPr>
          <w:p w14:paraId="2F4B7135"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C42B7B8"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68F1A4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1.8</w:t>
            </w:r>
          </w:p>
        </w:tc>
        <w:tc>
          <w:tcPr>
            <w:tcW w:w="992" w:type="dxa"/>
            <w:gridSpan w:val="2"/>
            <w:noWrap/>
            <w:vAlign w:val="center"/>
            <w:hideMark/>
          </w:tcPr>
          <w:p w14:paraId="5AEF3F1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7549C38"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3F9C6A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7679CEDE" w14:textId="77777777" w:rsidTr="00A64E33">
        <w:trPr>
          <w:trHeight w:val="20"/>
          <w:tblHeader/>
        </w:trPr>
        <w:tc>
          <w:tcPr>
            <w:tcW w:w="788" w:type="dxa"/>
            <w:noWrap/>
            <w:vAlign w:val="center"/>
            <w:hideMark/>
          </w:tcPr>
          <w:p w14:paraId="5CA30E9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w:t>
            </w:r>
          </w:p>
        </w:tc>
        <w:tc>
          <w:tcPr>
            <w:tcW w:w="985" w:type="dxa"/>
            <w:noWrap/>
            <w:vAlign w:val="center"/>
            <w:hideMark/>
          </w:tcPr>
          <w:p w14:paraId="7674066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CCTI</w:t>
            </w:r>
          </w:p>
        </w:tc>
        <w:tc>
          <w:tcPr>
            <w:tcW w:w="1199" w:type="dxa"/>
            <w:noWrap/>
            <w:vAlign w:val="center"/>
            <w:hideMark/>
          </w:tcPr>
          <w:p w14:paraId="5C26A32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Channel coastal shelf tidal influenced</w:t>
            </w:r>
          </w:p>
        </w:tc>
        <w:tc>
          <w:tcPr>
            <w:tcW w:w="992" w:type="dxa"/>
            <w:noWrap/>
            <w:vAlign w:val="center"/>
            <w:hideMark/>
          </w:tcPr>
          <w:p w14:paraId="514E64F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 UK</w:t>
            </w:r>
          </w:p>
        </w:tc>
        <w:tc>
          <w:tcPr>
            <w:tcW w:w="851" w:type="dxa"/>
            <w:gridSpan w:val="2"/>
            <w:noWrap/>
            <w:vAlign w:val="center"/>
            <w:hideMark/>
          </w:tcPr>
          <w:p w14:paraId="47832D7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851" w:type="dxa"/>
            <w:noWrap/>
            <w:vAlign w:val="center"/>
            <w:hideMark/>
          </w:tcPr>
          <w:p w14:paraId="0E75209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0.64</w:t>
            </w:r>
          </w:p>
        </w:tc>
        <w:tc>
          <w:tcPr>
            <w:tcW w:w="709" w:type="dxa"/>
            <w:noWrap/>
            <w:vAlign w:val="center"/>
            <w:hideMark/>
          </w:tcPr>
          <w:p w14:paraId="3E708804"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E1ED3A5"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FAA6B1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2.3</w:t>
            </w:r>
          </w:p>
        </w:tc>
        <w:tc>
          <w:tcPr>
            <w:tcW w:w="992" w:type="dxa"/>
            <w:gridSpan w:val="2"/>
            <w:noWrap/>
            <w:vAlign w:val="center"/>
            <w:hideMark/>
          </w:tcPr>
          <w:p w14:paraId="47DBE8E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A832775"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48D942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08978696" w14:textId="77777777" w:rsidTr="00A64E33">
        <w:trPr>
          <w:trHeight w:val="20"/>
          <w:tblHeader/>
        </w:trPr>
        <w:tc>
          <w:tcPr>
            <w:tcW w:w="788" w:type="dxa"/>
            <w:noWrap/>
            <w:vAlign w:val="center"/>
            <w:hideMark/>
          </w:tcPr>
          <w:p w14:paraId="3A02231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w:t>
            </w:r>
          </w:p>
        </w:tc>
        <w:tc>
          <w:tcPr>
            <w:tcW w:w="985" w:type="dxa"/>
            <w:noWrap/>
            <w:vAlign w:val="center"/>
            <w:hideMark/>
          </w:tcPr>
          <w:p w14:paraId="7F0920B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CFR</w:t>
            </w:r>
          </w:p>
        </w:tc>
        <w:tc>
          <w:tcPr>
            <w:tcW w:w="1199" w:type="dxa"/>
            <w:noWrap/>
            <w:vAlign w:val="center"/>
            <w:hideMark/>
          </w:tcPr>
          <w:p w14:paraId="1C38F3E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FR channel</w:t>
            </w:r>
          </w:p>
        </w:tc>
        <w:tc>
          <w:tcPr>
            <w:tcW w:w="992" w:type="dxa"/>
            <w:noWrap/>
            <w:vAlign w:val="center"/>
            <w:hideMark/>
          </w:tcPr>
          <w:p w14:paraId="4FF0F20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 UK</w:t>
            </w:r>
          </w:p>
        </w:tc>
        <w:tc>
          <w:tcPr>
            <w:tcW w:w="851" w:type="dxa"/>
            <w:gridSpan w:val="2"/>
            <w:noWrap/>
            <w:vAlign w:val="center"/>
            <w:hideMark/>
          </w:tcPr>
          <w:p w14:paraId="6982CB7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15.8</w:t>
            </w:r>
          </w:p>
        </w:tc>
        <w:tc>
          <w:tcPr>
            <w:tcW w:w="851" w:type="dxa"/>
            <w:noWrap/>
            <w:vAlign w:val="center"/>
            <w:hideMark/>
          </w:tcPr>
          <w:p w14:paraId="59C47FE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0.60</w:t>
            </w:r>
          </w:p>
        </w:tc>
        <w:tc>
          <w:tcPr>
            <w:tcW w:w="709" w:type="dxa"/>
            <w:noWrap/>
            <w:vAlign w:val="center"/>
            <w:hideMark/>
          </w:tcPr>
          <w:p w14:paraId="626B9B6E"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5536B4FC"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ECA023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2.8</w:t>
            </w:r>
          </w:p>
        </w:tc>
        <w:tc>
          <w:tcPr>
            <w:tcW w:w="992" w:type="dxa"/>
            <w:gridSpan w:val="2"/>
            <w:noWrap/>
            <w:vAlign w:val="center"/>
            <w:hideMark/>
          </w:tcPr>
          <w:p w14:paraId="16C3A33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6A594766"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E150CC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2C15C3E9" w14:textId="77777777" w:rsidTr="00A64E33">
        <w:trPr>
          <w:trHeight w:val="20"/>
          <w:tblHeader/>
        </w:trPr>
        <w:tc>
          <w:tcPr>
            <w:tcW w:w="788" w:type="dxa"/>
            <w:noWrap/>
            <w:vAlign w:val="center"/>
            <w:hideMark/>
          </w:tcPr>
          <w:p w14:paraId="3812D1C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w:t>
            </w:r>
          </w:p>
        </w:tc>
        <w:tc>
          <w:tcPr>
            <w:tcW w:w="985" w:type="dxa"/>
            <w:noWrap/>
            <w:vAlign w:val="center"/>
            <w:hideMark/>
          </w:tcPr>
          <w:p w14:paraId="45069C5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CIRL</w:t>
            </w:r>
          </w:p>
        </w:tc>
        <w:tc>
          <w:tcPr>
            <w:tcW w:w="1199" w:type="dxa"/>
            <w:noWrap/>
            <w:vAlign w:val="center"/>
            <w:hideMark/>
          </w:tcPr>
          <w:p w14:paraId="29A9197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IRL 3</w:t>
            </w:r>
          </w:p>
        </w:tc>
        <w:tc>
          <w:tcPr>
            <w:tcW w:w="992" w:type="dxa"/>
            <w:noWrap/>
            <w:vAlign w:val="center"/>
            <w:hideMark/>
          </w:tcPr>
          <w:p w14:paraId="5742ABD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IE</w:t>
            </w:r>
          </w:p>
        </w:tc>
        <w:tc>
          <w:tcPr>
            <w:tcW w:w="851" w:type="dxa"/>
            <w:gridSpan w:val="2"/>
            <w:noWrap/>
            <w:vAlign w:val="center"/>
            <w:hideMark/>
          </w:tcPr>
          <w:p w14:paraId="33C841F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11.4</w:t>
            </w:r>
          </w:p>
        </w:tc>
        <w:tc>
          <w:tcPr>
            <w:tcW w:w="851" w:type="dxa"/>
            <w:noWrap/>
            <w:vAlign w:val="center"/>
            <w:hideMark/>
          </w:tcPr>
          <w:p w14:paraId="24982E5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0.77</w:t>
            </w:r>
          </w:p>
        </w:tc>
        <w:tc>
          <w:tcPr>
            <w:tcW w:w="709" w:type="dxa"/>
            <w:noWrap/>
            <w:vAlign w:val="center"/>
            <w:hideMark/>
          </w:tcPr>
          <w:p w14:paraId="7D35EE74"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1909E336"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B5E46E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1.8</w:t>
            </w:r>
          </w:p>
        </w:tc>
        <w:tc>
          <w:tcPr>
            <w:tcW w:w="992" w:type="dxa"/>
            <w:gridSpan w:val="2"/>
            <w:noWrap/>
            <w:vAlign w:val="center"/>
            <w:hideMark/>
          </w:tcPr>
          <w:p w14:paraId="5AD25C1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324A2B8"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3F83530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7BCEA609" w14:textId="77777777" w:rsidTr="00A64E33">
        <w:trPr>
          <w:trHeight w:val="20"/>
          <w:tblHeader/>
        </w:trPr>
        <w:tc>
          <w:tcPr>
            <w:tcW w:w="788" w:type="dxa"/>
            <w:noWrap/>
            <w:vAlign w:val="center"/>
            <w:hideMark/>
          </w:tcPr>
          <w:p w14:paraId="5A097F3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7</w:t>
            </w:r>
          </w:p>
        </w:tc>
        <w:tc>
          <w:tcPr>
            <w:tcW w:w="985" w:type="dxa"/>
            <w:noWrap/>
            <w:vAlign w:val="center"/>
            <w:hideMark/>
          </w:tcPr>
          <w:p w14:paraId="3963067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CNOR1</w:t>
            </w:r>
          </w:p>
        </w:tc>
        <w:tc>
          <w:tcPr>
            <w:tcW w:w="1199" w:type="dxa"/>
            <w:noWrap/>
            <w:vAlign w:val="center"/>
            <w:hideMark/>
          </w:tcPr>
          <w:p w14:paraId="26FC3C7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NOR 1</w:t>
            </w:r>
          </w:p>
        </w:tc>
        <w:tc>
          <w:tcPr>
            <w:tcW w:w="992" w:type="dxa"/>
            <w:noWrap/>
            <w:vAlign w:val="center"/>
            <w:hideMark/>
          </w:tcPr>
          <w:p w14:paraId="35A8089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w:t>
            </w:r>
          </w:p>
        </w:tc>
        <w:tc>
          <w:tcPr>
            <w:tcW w:w="851" w:type="dxa"/>
            <w:gridSpan w:val="2"/>
            <w:noWrap/>
            <w:vAlign w:val="center"/>
            <w:hideMark/>
          </w:tcPr>
          <w:p w14:paraId="0A5DF8D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12.5</w:t>
            </w:r>
          </w:p>
        </w:tc>
        <w:tc>
          <w:tcPr>
            <w:tcW w:w="851" w:type="dxa"/>
            <w:noWrap/>
            <w:vAlign w:val="center"/>
            <w:hideMark/>
          </w:tcPr>
          <w:p w14:paraId="521F6F1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0.87</w:t>
            </w:r>
          </w:p>
        </w:tc>
        <w:tc>
          <w:tcPr>
            <w:tcW w:w="709" w:type="dxa"/>
            <w:noWrap/>
            <w:vAlign w:val="center"/>
            <w:hideMark/>
          </w:tcPr>
          <w:p w14:paraId="1AF4FD21"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39F8A91"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A93C3A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2.7</w:t>
            </w:r>
          </w:p>
        </w:tc>
        <w:tc>
          <w:tcPr>
            <w:tcW w:w="992" w:type="dxa"/>
            <w:gridSpan w:val="2"/>
            <w:noWrap/>
            <w:vAlign w:val="center"/>
            <w:hideMark/>
          </w:tcPr>
          <w:p w14:paraId="71C4C0F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42CB162"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619DBFA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527ED21A" w14:textId="77777777" w:rsidTr="00A64E33">
        <w:trPr>
          <w:trHeight w:val="20"/>
          <w:tblHeader/>
        </w:trPr>
        <w:tc>
          <w:tcPr>
            <w:tcW w:w="788" w:type="dxa"/>
            <w:noWrap/>
            <w:vAlign w:val="center"/>
            <w:hideMark/>
          </w:tcPr>
          <w:p w14:paraId="41C499D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w:t>
            </w:r>
          </w:p>
        </w:tc>
        <w:tc>
          <w:tcPr>
            <w:tcW w:w="985" w:type="dxa"/>
            <w:noWrap/>
            <w:vAlign w:val="center"/>
            <w:hideMark/>
          </w:tcPr>
          <w:p w14:paraId="2E4E763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CNOR2</w:t>
            </w:r>
          </w:p>
        </w:tc>
        <w:tc>
          <w:tcPr>
            <w:tcW w:w="1199" w:type="dxa"/>
            <w:noWrap/>
            <w:vAlign w:val="center"/>
            <w:hideMark/>
          </w:tcPr>
          <w:p w14:paraId="131AF7A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NOR 2</w:t>
            </w:r>
          </w:p>
        </w:tc>
        <w:tc>
          <w:tcPr>
            <w:tcW w:w="992" w:type="dxa"/>
            <w:noWrap/>
            <w:vAlign w:val="center"/>
            <w:hideMark/>
          </w:tcPr>
          <w:p w14:paraId="0C9B6DF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w:t>
            </w:r>
          </w:p>
        </w:tc>
        <w:tc>
          <w:tcPr>
            <w:tcW w:w="851" w:type="dxa"/>
            <w:gridSpan w:val="2"/>
            <w:noWrap/>
            <w:vAlign w:val="center"/>
            <w:hideMark/>
          </w:tcPr>
          <w:p w14:paraId="41D5EA8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10.3</w:t>
            </w:r>
          </w:p>
        </w:tc>
        <w:tc>
          <w:tcPr>
            <w:tcW w:w="851" w:type="dxa"/>
            <w:noWrap/>
            <w:vAlign w:val="center"/>
            <w:hideMark/>
          </w:tcPr>
          <w:p w14:paraId="4693226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0.77</w:t>
            </w:r>
          </w:p>
        </w:tc>
        <w:tc>
          <w:tcPr>
            <w:tcW w:w="709" w:type="dxa"/>
            <w:noWrap/>
            <w:vAlign w:val="center"/>
            <w:hideMark/>
          </w:tcPr>
          <w:p w14:paraId="159C59DC"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2A30117C"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111B7D3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1.9</w:t>
            </w:r>
          </w:p>
        </w:tc>
        <w:tc>
          <w:tcPr>
            <w:tcW w:w="992" w:type="dxa"/>
            <w:gridSpan w:val="2"/>
            <w:noWrap/>
            <w:vAlign w:val="center"/>
            <w:hideMark/>
          </w:tcPr>
          <w:p w14:paraId="66A07A0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5765BD3"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8AD7C1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21D77D0D" w14:textId="77777777" w:rsidTr="00A64E33">
        <w:trPr>
          <w:trHeight w:val="20"/>
          <w:tblHeader/>
        </w:trPr>
        <w:tc>
          <w:tcPr>
            <w:tcW w:w="788" w:type="dxa"/>
            <w:noWrap/>
            <w:vAlign w:val="center"/>
            <w:hideMark/>
          </w:tcPr>
          <w:p w14:paraId="664F156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w:t>
            </w:r>
          </w:p>
        </w:tc>
        <w:tc>
          <w:tcPr>
            <w:tcW w:w="985" w:type="dxa"/>
            <w:noWrap/>
            <w:vAlign w:val="center"/>
            <w:hideMark/>
          </w:tcPr>
          <w:p w14:paraId="02F5B23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CNOR3</w:t>
            </w:r>
          </w:p>
        </w:tc>
        <w:tc>
          <w:tcPr>
            <w:tcW w:w="1199" w:type="dxa"/>
            <w:noWrap/>
            <w:vAlign w:val="center"/>
            <w:hideMark/>
          </w:tcPr>
          <w:p w14:paraId="26C3BE7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NOR 3</w:t>
            </w:r>
          </w:p>
        </w:tc>
        <w:tc>
          <w:tcPr>
            <w:tcW w:w="992" w:type="dxa"/>
            <w:noWrap/>
            <w:vAlign w:val="center"/>
            <w:hideMark/>
          </w:tcPr>
          <w:p w14:paraId="3E6F32E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w:t>
            </w:r>
          </w:p>
        </w:tc>
        <w:tc>
          <w:tcPr>
            <w:tcW w:w="851" w:type="dxa"/>
            <w:gridSpan w:val="2"/>
            <w:noWrap/>
            <w:vAlign w:val="center"/>
            <w:hideMark/>
          </w:tcPr>
          <w:p w14:paraId="4AFFA31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9.2</w:t>
            </w:r>
          </w:p>
        </w:tc>
        <w:tc>
          <w:tcPr>
            <w:tcW w:w="851" w:type="dxa"/>
            <w:noWrap/>
            <w:vAlign w:val="center"/>
            <w:hideMark/>
          </w:tcPr>
          <w:p w14:paraId="4C1FF8B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0.68</w:t>
            </w:r>
          </w:p>
        </w:tc>
        <w:tc>
          <w:tcPr>
            <w:tcW w:w="709" w:type="dxa"/>
            <w:noWrap/>
            <w:vAlign w:val="center"/>
            <w:hideMark/>
          </w:tcPr>
          <w:p w14:paraId="0195D5D6"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6C39132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64A1E4D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2.4</w:t>
            </w:r>
          </w:p>
        </w:tc>
        <w:tc>
          <w:tcPr>
            <w:tcW w:w="992" w:type="dxa"/>
            <w:gridSpan w:val="2"/>
            <w:noWrap/>
            <w:vAlign w:val="center"/>
            <w:hideMark/>
          </w:tcPr>
          <w:p w14:paraId="31D5E22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551D346"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F230DD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p w14:paraId="5ED753E9" w14:textId="77777777" w:rsidR="004B45E5" w:rsidRPr="005C1498" w:rsidRDefault="004B45E5" w:rsidP="00A64E33">
            <w:pPr>
              <w:spacing w:before="0" w:after="0"/>
              <w:rPr>
                <w:rFonts w:cs="Calibri"/>
                <w:color w:val="000000"/>
                <w:sz w:val="18"/>
                <w:szCs w:val="18"/>
                <w:lang w:eastAsia="en-GB"/>
              </w:rPr>
            </w:pPr>
          </w:p>
          <w:p w14:paraId="05BB0B2F" w14:textId="77777777" w:rsidR="004B45E5" w:rsidRPr="005C1498" w:rsidRDefault="004B45E5" w:rsidP="00A64E33">
            <w:pPr>
              <w:spacing w:before="0" w:after="0"/>
              <w:rPr>
                <w:rFonts w:cs="Calibri"/>
                <w:color w:val="000000"/>
                <w:sz w:val="18"/>
                <w:szCs w:val="18"/>
                <w:lang w:eastAsia="en-GB"/>
              </w:rPr>
            </w:pPr>
          </w:p>
          <w:p w14:paraId="73A8AF03" w14:textId="77777777" w:rsidR="004B45E5" w:rsidRPr="005C1498" w:rsidRDefault="004B45E5" w:rsidP="00A64E33">
            <w:pPr>
              <w:spacing w:before="0" w:after="0"/>
              <w:rPr>
                <w:rFonts w:cs="Calibri"/>
                <w:color w:val="000000"/>
                <w:sz w:val="18"/>
                <w:szCs w:val="18"/>
                <w:lang w:eastAsia="en-GB"/>
              </w:rPr>
            </w:pPr>
          </w:p>
          <w:p w14:paraId="294EF4FC" w14:textId="77777777" w:rsidR="004B45E5" w:rsidRPr="005C1498" w:rsidRDefault="004B45E5" w:rsidP="00A64E33">
            <w:pPr>
              <w:spacing w:before="0" w:after="0"/>
              <w:rPr>
                <w:rFonts w:cs="Calibri"/>
                <w:color w:val="000000"/>
                <w:sz w:val="18"/>
                <w:szCs w:val="18"/>
                <w:lang w:eastAsia="en-GB"/>
              </w:rPr>
            </w:pPr>
          </w:p>
          <w:p w14:paraId="55193ACB" w14:textId="77777777" w:rsidR="004B45E5" w:rsidRPr="005C1498" w:rsidRDefault="004B45E5" w:rsidP="00A64E33">
            <w:pPr>
              <w:spacing w:before="0" w:after="0"/>
              <w:rPr>
                <w:rFonts w:cs="Calibri"/>
                <w:color w:val="000000"/>
                <w:sz w:val="18"/>
                <w:szCs w:val="18"/>
                <w:lang w:eastAsia="en-GB"/>
              </w:rPr>
            </w:pPr>
          </w:p>
          <w:p w14:paraId="43F15004" w14:textId="77777777" w:rsidR="004B45E5" w:rsidRPr="005C1498" w:rsidRDefault="004B45E5" w:rsidP="00A64E33">
            <w:pPr>
              <w:spacing w:before="0" w:after="0"/>
              <w:rPr>
                <w:rFonts w:cs="Calibri"/>
                <w:color w:val="000000"/>
                <w:sz w:val="18"/>
                <w:szCs w:val="18"/>
                <w:lang w:eastAsia="en-GB"/>
              </w:rPr>
            </w:pPr>
          </w:p>
          <w:p w14:paraId="1B97943A" w14:textId="77777777" w:rsidR="004B45E5" w:rsidRPr="005C1498" w:rsidRDefault="004B45E5" w:rsidP="00A64E33">
            <w:pPr>
              <w:spacing w:before="0" w:after="0"/>
              <w:rPr>
                <w:rFonts w:cs="Calibri"/>
                <w:color w:val="000000"/>
                <w:sz w:val="18"/>
                <w:szCs w:val="18"/>
                <w:lang w:eastAsia="en-GB"/>
              </w:rPr>
            </w:pPr>
          </w:p>
          <w:p w14:paraId="211E48B1" w14:textId="77777777" w:rsidR="004B45E5" w:rsidRPr="005C1498" w:rsidRDefault="004B45E5" w:rsidP="00A64E33">
            <w:pPr>
              <w:spacing w:before="0" w:after="0"/>
              <w:rPr>
                <w:rFonts w:cs="Calibri"/>
                <w:color w:val="000000"/>
                <w:sz w:val="18"/>
                <w:szCs w:val="18"/>
                <w:lang w:eastAsia="en-GB"/>
              </w:rPr>
            </w:pPr>
          </w:p>
        </w:tc>
      </w:tr>
      <w:tr w:rsidR="004B45E5" w:rsidRPr="005C1498" w14:paraId="46E4271E" w14:textId="77777777" w:rsidTr="00A64E33">
        <w:trPr>
          <w:trHeight w:val="20"/>
          <w:tblHeader/>
        </w:trPr>
        <w:tc>
          <w:tcPr>
            <w:tcW w:w="788" w:type="dxa"/>
            <w:noWrap/>
            <w:vAlign w:val="center"/>
            <w:hideMark/>
          </w:tcPr>
          <w:p w14:paraId="04FB938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10</w:t>
            </w:r>
          </w:p>
        </w:tc>
        <w:tc>
          <w:tcPr>
            <w:tcW w:w="985" w:type="dxa"/>
            <w:noWrap/>
            <w:vAlign w:val="center"/>
            <w:hideMark/>
          </w:tcPr>
          <w:p w14:paraId="4258451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OC DE/DK</w:t>
            </w:r>
          </w:p>
        </w:tc>
        <w:tc>
          <w:tcPr>
            <w:tcW w:w="1199" w:type="dxa"/>
            <w:noWrap/>
            <w:vAlign w:val="center"/>
            <w:hideMark/>
          </w:tcPr>
          <w:p w14:paraId="4F5E7A8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Outer Coastal DEDK</w:t>
            </w:r>
          </w:p>
        </w:tc>
        <w:tc>
          <w:tcPr>
            <w:tcW w:w="992" w:type="dxa"/>
            <w:noWrap/>
            <w:vAlign w:val="center"/>
            <w:hideMark/>
          </w:tcPr>
          <w:p w14:paraId="768F640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DE, DK</w:t>
            </w:r>
          </w:p>
        </w:tc>
        <w:tc>
          <w:tcPr>
            <w:tcW w:w="851" w:type="dxa"/>
            <w:gridSpan w:val="2"/>
            <w:noWrap/>
            <w:vAlign w:val="center"/>
            <w:hideMark/>
          </w:tcPr>
          <w:p w14:paraId="75FD82AF"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9.3</w:t>
            </w:r>
          </w:p>
        </w:tc>
        <w:tc>
          <w:tcPr>
            <w:tcW w:w="851" w:type="dxa"/>
            <w:noWrap/>
            <w:vAlign w:val="center"/>
            <w:hideMark/>
          </w:tcPr>
          <w:p w14:paraId="198B767A"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0.59</w:t>
            </w:r>
          </w:p>
        </w:tc>
        <w:tc>
          <w:tcPr>
            <w:tcW w:w="709" w:type="dxa"/>
            <w:noWrap/>
            <w:vAlign w:val="center"/>
            <w:hideMark/>
          </w:tcPr>
          <w:p w14:paraId="164CE66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13.7</w:t>
            </w:r>
          </w:p>
        </w:tc>
        <w:tc>
          <w:tcPr>
            <w:tcW w:w="709" w:type="dxa"/>
            <w:noWrap/>
            <w:vAlign w:val="center"/>
            <w:hideMark/>
          </w:tcPr>
          <w:p w14:paraId="1F2F230F"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0.85</w:t>
            </w:r>
          </w:p>
        </w:tc>
        <w:tc>
          <w:tcPr>
            <w:tcW w:w="1134" w:type="dxa"/>
            <w:gridSpan w:val="2"/>
            <w:noWrap/>
            <w:vAlign w:val="center"/>
            <w:hideMark/>
          </w:tcPr>
          <w:p w14:paraId="6E60A7AD"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1.6</w:t>
            </w:r>
          </w:p>
        </w:tc>
        <w:tc>
          <w:tcPr>
            <w:tcW w:w="992" w:type="dxa"/>
            <w:gridSpan w:val="2"/>
            <w:noWrap/>
            <w:vAlign w:val="center"/>
            <w:hideMark/>
          </w:tcPr>
          <w:p w14:paraId="0D0D7EA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9C0883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7.0</w:t>
            </w:r>
          </w:p>
        </w:tc>
        <w:tc>
          <w:tcPr>
            <w:tcW w:w="4388" w:type="dxa"/>
            <w:gridSpan w:val="2"/>
            <w:vAlign w:val="center"/>
            <w:hideMark/>
          </w:tcPr>
          <w:p w14:paraId="4A374F25" w14:textId="33E7F5B1"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0.7*13.34; DIP: 0.9*0.66; Chl a: 0.6*2.73) to ensure plausible gradient to WFD areas and thresholds for the Danish area part; to align gradient to adjacent areas. Ref: HASEC 22/10/03 Add.2-Rev.2. For TN and TP Danish and German threshold proposals were averaged German thresholds are based on the MONERIS nutrient input modelling approach and extrapolation of the riverine nutrient inputs along the salinity gradient into the sea which was used in the previous COMP3 assessment. The Danish thresholds are based on a model approach extrapolating the results from adjacent WFD areas. For Secchi the approach described for total nutrients resulted in significant differences between Danish and German threshold proposals. Therefore, it was decided to use the higher thresholds for Secchi/photic limit to follow the precautionary principle and because mechanistic modelling of light attenuation is highly turbid waters like the Elbe plume is uncertain and remains difficult.</w:t>
            </w:r>
          </w:p>
        </w:tc>
      </w:tr>
      <w:tr w:rsidR="004B45E5" w:rsidRPr="005C1498" w14:paraId="364D1BE6" w14:textId="77777777" w:rsidTr="00A64E33">
        <w:trPr>
          <w:trHeight w:val="20"/>
          <w:tblHeader/>
        </w:trPr>
        <w:tc>
          <w:tcPr>
            <w:tcW w:w="788" w:type="dxa"/>
            <w:noWrap/>
            <w:vAlign w:val="center"/>
            <w:hideMark/>
          </w:tcPr>
          <w:p w14:paraId="39BD7A3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w:t>
            </w:r>
          </w:p>
        </w:tc>
        <w:tc>
          <w:tcPr>
            <w:tcW w:w="985" w:type="dxa"/>
            <w:noWrap/>
            <w:vAlign w:val="center"/>
            <w:hideMark/>
          </w:tcPr>
          <w:p w14:paraId="3506ABC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CUK1</w:t>
            </w:r>
          </w:p>
        </w:tc>
        <w:tc>
          <w:tcPr>
            <w:tcW w:w="1199" w:type="dxa"/>
            <w:noWrap/>
            <w:vAlign w:val="center"/>
            <w:hideMark/>
          </w:tcPr>
          <w:p w14:paraId="5BF7FD2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UK 1</w:t>
            </w:r>
          </w:p>
        </w:tc>
        <w:tc>
          <w:tcPr>
            <w:tcW w:w="992" w:type="dxa"/>
            <w:noWrap/>
            <w:vAlign w:val="center"/>
            <w:hideMark/>
          </w:tcPr>
          <w:p w14:paraId="53B7AC8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48630F2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11.7</w:t>
            </w:r>
          </w:p>
        </w:tc>
        <w:tc>
          <w:tcPr>
            <w:tcW w:w="851" w:type="dxa"/>
            <w:noWrap/>
            <w:vAlign w:val="center"/>
            <w:hideMark/>
          </w:tcPr>
          <w:p w14:paraId="1B4885D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0.82</w:t>
            </w:r>
          </w:p>
        </w:tc>
        <w:tc>
          <w:tcPr>
            <w:tcW w:w="709" w:type="dxa"/>
            <w:noWrap/>
            <w:vAlign w:val="center"/>
            <w:hideMark/>
          </w:tcPr>
          <w:p w14:paraId="48442216"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8DC85AC"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F0115F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1.7</w:t>
            </w:r>
          </w:p>
        </w:tc>
        <w:tc>
          <w:tcPr>
            <w:tcW w:w="992" w:type="dxa"/>
            <w:gridSpan w:val="2"/>
            <w:noWrap/>
            <w:vAlign w:val="center"/>
            <w:hideMark/>
          </w:tcPr>
          <w:p w14:paraId="27B46F9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0299293"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65E8FD5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2804180F" w14:textId="77777777" w:rsidTr="00A64E33">
        <w:trPr>
          <w:trHeight w:val="20"/>
          <w:tblHeader/>
        </w:trPr>
        <w:tc>
          <w:tcPr>
            <w:tcW w:w="788" w:type="dxa"/>
            <w:noWrap/>
            <w:vAlign w:val="center"/>
            <w:hideMark/>
          </w:tcPr>
          <w:p w14:paraId="4734201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w:t>
            </w:r>
          </w:p>
        </w:tc>
        <w:tc>
          <w:tcPr>
            <w:tcW w:w="985" w:type="dxa"/>
            <w:noWrap/>
            <w:vAlign w:val="center"/>
            <w:hideMark/>
          </w:tcPr>
          <w:p w14:paraId="35C014E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CUKC</w:t>
            </w:r>
          </w:p>
        </w:tc>
        <w:tc>
          <w:tcPr>
            <w:tcW w:w="1199" w:type="dxa"/>
            <w:noWrap/>
            <w:vAlign w:val="center"/>
            <w:hideMark/>
          </w:tcPr>
          <w:p w14:paraId="24EDE59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UK channel</w:t>
            </w:r>
          </w:p>
        </w:tc>
        <w:tc>
          <w:tcPr>
            <w:tcW w:w="992" w:type="dxa"/>
            <w:noWrap/>
            <w:vAlign w:val="center"/>
            <w:hideMark/>
          </w:tcPr>
          <w:p w14:paraId="558E84C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578806A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12.8</w:t>
            </w:r>
          </w:p>
        </w:tc>
        <w:tc>
          <w:tcPr>
            <w:tcW w:w="851" w:type="dxa"/>
            <w:noWrap/>
            <w:vAlign w:val="center"/>
            <w:hideMark/>
          </w:tcPr>
          <w:p w14:paraId="187512E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0.73</w:t>
            </w:r>
          </w:p>
        </w:tc>
        <w:tc>
          <w:tcPr>
            <w:tcW w:w="709" w:type="dxa"/>
            <w:noWrap/>
            <w:vAlign w:val="center"/>
            <w:hideMark/>
          </w:tcPr>
          <w:p w14:paraId="5E62417D"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A774CF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4DD1C4C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2.3</w:t>
            </w:r>
          </w:p>
        </w:tc>
        <w:tc>
          <w:tcPr>
            <w:tcW w:w="992" w:type="dxa"/>
            <w:gridSpan w:val="2"/>
            <w:noWrap/>
            <w:vAlign w:val="center"/>
            <w:hideMark/>
          </w:tcPr>
          <w:p w14:paraId="0375EC2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DF1EF1B"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56ED59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39F36CED" w14:textId="77777777" w:rsidTr="00A64E33">
        <w:trPr>
          <w:trHeight w:val="20"/>
          <w:tblHeader/>
        </w:trPr>
        <w:tc>
          <w:tcPr>
            <w:tcW w:w="788" w:type="dxa"/>
            <w:noWrap/>
            <w:vAlign w:val="center"/>
            <w:hideMark/>
          </w:tcPr>
          <w:p w14:paraId="5BFC242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w:t>
            </w:r>
          </w:p>
        </w:tc>
        <w:tc>
          <w:tcPr>
            <w:tcW w:w="985" w:type="dxa"/>
            <w:noWrap/>
            <w:vAlign w:val="center"/>
            <w:hideMark/>
          </w:tcPr>
          <w:p w14:paraId="7303843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CWAC</w:t>
            </w:r>
          </w:p>
        </w:tc>
        <w:tc>
          <w:tcPr>
            <w:tcW w:w="1199" w:type="dxa"/>
            <w:noWrap/>
            <w:vAlign w:val="center"/>
            <w:hideMark/>
          </w:tcPr>
          <w:p w14:paraId="68F43DF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Waters AC (D5)</w:t>
            </w:r>
          </w:p>
        </w:tc>
        <w:tc>
          <w:tcPr>
            <w:tcW w:w="992" w:type="dxa"/>
            <w:noWrap/>
            <w:vAlign w:val="center"/>
            <w:hideMark/>
          </w:tcPr>
          <w:p w14:paraId="7CF9527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PT</w:t>
            </w:r>
          </w:p>
        </w:tc>
        <w:tc>
          <w:tcPr>
            <w:tcW w:w="851" w:type="dxa"/>
            <w:gridSpan w:val="2"/>
            <w:noWrap/>
            <w:vAlign w:val="center"/>
            <w:hideMark/>
          </w:tcPr>
          <w:p w14:paraId="03DC979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851" w:type="dxa"/>
            <w:noWrap/>
            <w:vAlign w:val="center"/>
            <w:hideMark/>
          </w:tcPr>
          <w:p w14:paraId="40B11E8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0.80</w:t>
            </w:r>
          </w:p>
        </w:tc>
        <w:tc>
          <w:tcPr>
            <w:tcW w:w="709" w:type="dxa"/>
            <w:noWrap/>
            <w:vAlign w:val="center"/>
            <w:hideMark/>
          </w:tcPr>
          <w:p w14:paraId="65EC04BE"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2A7ECA9C"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D2F977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992" w:type="dxa"/>
            <w:gridSpan w:val="2"/>
            <w:noWrap/>
            <w:vAlign w:val="center"/>
            <w:hideMark/>
          </w:tcPr>
          <w:p w14:paraId="05D387E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1F12700F"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161A49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60D7E8EF" w14:textId="77777777" w:rsidTr="00A64E33">
        <w:trPr>
          <w:trHeight w:val="20"/>
          <w:tblHeader/>
        </w:trPr>
        <w:tc>
          <w:tcPr>
            <w:tcW w:w="788" w:type="dxa"/>
            <w:noWrap/>
            <w:vAlign w:val="center"/>
            <w:hideMark/>
          </w:tcPr>
          <w:p w14:paraId="4AA68B8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14</w:t>
            </w:r>
          </w:p>
        </w:tc>
        <w:tc>
          <w:tcPr>
            <w:tcW w:w="985" w:type="dxa"/>
            <w:noWrap/>
            <w:vAlign w:val="center"/>
            <w:hideMark/>
          </w:tcPr>
          <w:p w14:paraId="724476B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CWBC</w:t>
            </w:r>
          </w:p>
        </w:tc>
        <w:tc>
          <w:tcPr>
            <w:tcW w:w="1199" w:type="dxa"/>
            <w:noWrap/>
            <w:vAlign w:val="center"/>
            <w:hideMark/>
          </w:tcPr>
          <w:p w14:paraId="478A2F4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Waters BC (D5)</w:t>
            </w:r>
          </w:p>
        </w:tc>
        <w:tc>
          <w:tcPr>
            <w:tcW w:w="992" w:type="dxa"/>
            <w:noWrap/>
            <w:vAlign w:val="center"/>
            <w:hideMark/>
          </w:tcPr>
          <w:p w14:paraId="1B45966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PT</w:t>
            </w:r>
          </w:p>
        </w:tc>
        <w:tc>
          <w:tcPr>
            <w:tcW w:w="851" w:type="dxa"/>
            <w:gridSpan w:val="2"/>
            <w:noWrap/>
            <w:vAlign w:val="center"/>
            <w:hideMark/>
          </w:tcPr>
          <w:p w14:paraId="57A8E4A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851" w:type="dxa"/>
            <w:noWrap/>
            <w:vAlign w:val="center"/>
            <w:hideMark/>
          </w:tcPr>
          <w:p w14:paraId="0558F40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0.80</w:t>
            </w:r>
          </w:p>
        </w:tc>
        <w:tc>
          <w:tcPr>
            <w:tcW w:w="709" w:type="dxa"/>
            <w:noWrap/>
            <w:vAlign w:val="center"/>
            <w:hideMark/>
          </w:tcPr>
          <w:p w14:paraId="4097433B"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05FB043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9DDFE1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8.2</w:t>
            </w:r>
          </w:p>
        </w:tc>
        <w:tc>
          <w:tcPr>
            <w:tcW w:w="992" w:type="dxa"/>
            <w:gridSpan w:val="2"/>
            <w:noWrap/>
            <w:vAlign w:val="center"/>
            <w:hideMark/>
          </w:tcPr>
          <w:p w14:paraId="246963B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A242A0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86CCBE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489614BE" w14:textId="77777777" w:rsidTr="00A64E33">
        <w:trPr>
          <w:trHeight w:val="20"/>
          <w:tblHeader/>
        </w:trPr>
        <w:tc>
          <w:tcPr>
            <w:tcW w:w="788" w:type="dxa"/>
            <w:noWrap/>
            <w:vAlign w:val="center"/>
            <w:hideMark/>
          </w:tcPr>
          <w:p w14:paraId="56100E9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w:t>
            </w:r>
          </w:p>
        </w:tc>
        <w:tc>
          <w:tcPr>
            <w:tcW w:w="985" w:type="dxa"/>
            <w:noWrap/>
            <w:vAlign w:val="center"/>
            <w:hideMark/>
          </w:tcPr>
          <w:p w14:paraId="410D653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CWCC</w:t>
            </w:r>
          </w:p>
        </w:tc>
        <w:tc>
          <w:tcPr>
            <w:tcW w:w="1199" w:type="dxa"/>
            <w:noWrap/>
            <w:vAlign w:val="center"/>
            <w:hideMark/>
          </w:tcPr>
          <w:p w14:paraId="39EFDF9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Coastal Waters CC (D5)</w:t>
            </w:r>
          </w:p>
        </w:tc>
        <w:tc>
          <w:tcPr>
            <w:tcW w:w="992" w:type="dxa"/>
            <w:noWrap/>
            <w:vAlign w:val="center"/>
            <w:hideMark/>
          </w:tcPr>
          <w:p w14:paraId="4260A48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PT</w:t>
            </w:r>
          </w:p>
        </w:tc>
        <w:tc>
          <w:tcPr>
            <w:tcW w:w="851" w:type="dxa"/>
            <w:gridSpan w:val="2"/>
            <w:noWrap/>
            <w:vAlign w:val="center"/>
            <w:hideMark/>
          </w:tcPr>
          <w:p w14:paraId="10959E2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851" w:type="dxa"/>
            <w:noWrap/>
            <w:vAlign w:val="center"/>
            <w:hideMark/>
          </w:tcPr>
          <w:p w14:paraId="56DFF07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0.80</w:t>
            </w:r>
          </w:p>
        </w:tc>
        <w:tc>
          <w:tcPr>
            <w:tcW w:w="709" w:type="dxa"/>
            <w:noWrap/>
            <w:vAlign w:val="center"/>
            <w:hideMark/>
          </w:tcPr>
          <w:p w14:paraId="6819D475"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1F87FA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546A3E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8.2</w:t>
            </w:r>
          </w:p>
        </w:tc>
        <w:tc>
          <w:tcPr>
            <w:tcW w:w="992" w:type="dxa"/>
            <w:gridSpan w:val="2"/>
            <w:noWrap/>
            <w:vAlign w:val="center"/>
            <w:hideMark/>
          </w:tcPr>
          <w:p w14:paraId="320BAF0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0545DFEF"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64AC7F2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282E2463" w14:textId="77777777" w:rsidTr="00A64E33">
        <w:trPr>
          <w:trHeight w:val="20"/>
          <w:tblHeader/>
        </w:trPr>
        <w:tc>
          <w:tcPr>
            <w:tcW w:w="788" w:type="dxa"/>
            <w:noWrap/>
            <w:vAlign w:val="center"/>
            <w:hideMark/>
          </w:tcPr>
          <w:p w14:paraId="40A68B4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16</w:t>
            </w:r>
          </w:p>
        </w:tc>
        <w:tc>
          <w:tcPr>
            <w:tcW w:w="985" w:type="dxa"/>
            <w:noWrap/>
            <w:vAlign w:val="center"/>
            <w:hideMark/>
          </w:tcPr>
          <w:p w14:paraId="5038E20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CWM</w:t>
            </w:r>
          </w:p>
        </w:tc>
        <w:tc>
          <w:tcPr>
            <w:tcW w:w="1199" w:type="dxa"/>
            <w:noWrap/>
            <w:vAlign w:val="center"/>
            <w:hideMark/>
          </w:tcPr>
          <w:p w14:paraId="31430C5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Channel well mixed</w:t>
            </w:r>
          </w:p>
        </w:tc>
        <w:tc>
          <w:tcPr>
            <w:tcW w:w="992" w:type="dxa"/>
            <w:noWrap/>
            <w:vAlign w:val="center"/>
            <w:hideMark/>
          </w:tcPr>
          <w:p w14:paraId="743D467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 UK</w:t>
            </w:r>
          </w:p>
        </w:tc>
        <w:tc>
          <w:tcPr>
            <w:tcW w:w="851" w:type="dxa"/>
            <w:gridSpan w:val="2"/>
            <w:noWrap/>
            <w:vAlign w:val="center"/>
            <w:hideMark/>
          </w:tcPr>
          <w:p w14:paraId="6DC5FDE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8.3</w:t>
            </w:r>
          </w:p>
        </w:tc>
        <w:tc>
          <w:tcPr>
            <w:tcW w:w="851" w:type="dxa"/>
            <w:noWrap/>
            <w:vAlign w:val="center"/>
            <w:hideMark/>
          </w:tcPr>
          <w:p w14:paraId="5FAB691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0.66</w:t>
            </w:r>
          </w:p>
        </w:tc>
        <w:tc>
          <w:tcPr>
            <w:tcW w:w="709" w:type="dxa"/>
            <w:noWrap/>
            <w:vAlign w:val="center"/>
            <w:hideMark/>
          </w:tcPr>
          <w:p w14:paraId="4DEBFBF6"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12DED52"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9F664A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w:t>
            </w:r>
          </w:p>
        </w:tc>
        <w:tc>
          <w:tcPr>
            <w:tcW w:w="992" w:type="dxa"/>
            <w:gridSpan w:val="2"/>
            <w:noWrap/>
            <w:vAlign w:val="center"/>
            <w:hideMark/>
          </w:tcPr>
          <w:p w14:paraId="4C7FB92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AEFC5C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3B82E8E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63356231" w14:textId="77777777" w:rsidTr="00A64E33">
        <w:trPr>
          <w:trHeight w:val="20"/>
          <w:tblHeader/>
        </w:trPr>
        <w:tc>
          <w:tcPr>
            <w:tcW w:w="788" w:type="dxa"/>
            <w:noWrap/>
            <w:vAlign w:val="center"/>
            <w:hideMark/>
          </w:tcPr>
          <w:p w14:paraId="0D36B97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17</w:t>
            </w:r>
          </w:p>
        </w:tc>
        <w:tc>
          <w:tcPr>
            <w:tcW w:w="985" w:type="dxa"/>
            <w:noWrap/>
            <w:vAlign w:val="center"/>
            <w:hideMark/>
          </w:tcPr>
          <w:p w14:paraId="0775D95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CWMTI</w:t>
            </w:r>
          </w:p>
        </w:tc>
        <w:tc>
          <w:tcPr>
            <w:tcW w:w="1199" w:type="dxa"/>
            <w:noWrap/>
            <w:vAlign w:val="center"/>
            <w:hideMark/>
          </w:tcPr>
          <w:p w14:paraId="4F204AB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Channel well mixed tidal influenced</w:t>
            </w:r>
          </w:p>
        </w:tc>
        <w:tc>
          <w:tcPr>
            <w:tcW w:w="992" w:type="dxa"/>
            <w:noWrap/>
            <w:vAlign w:val="center"/>
            <w:hideMark/>
          </w:tcPr>
          <w:p w14:paraId="24DEC2A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 UK</w:t>
            </w:r>
          </w:p>
        </w:tc>
        <w:tc>
          <w:tcPr>
            <w:tcW w:w="851" w:type="dxa"/>
            <w:gridSpan w:val="2"/>
            <w:noWrap/>
            <w:vAlign w:val="center"/>
            <w:hideMark/>
          </w:tcPr>
          <w:p w14:paraId="10DDF2F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9.2</w:t>
            </w:r>
          </w:p>
        </w:tc>
        <w:tc>
          <w:tcPr>
            <w:tcW w:w="851" w:type="dxa"/>
            <w:noWrap/>
            <w:vAlign w:val="center"/>
            <w:hideMark/>
          </w:tcPr>
          <w:p w14:paraId="2DBE71A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0.69</w:t>
            </w:r>
          </w:p>
        </w:tc>
        <w:tc>
          <w:tcPr>
            <w:tcW w:w="709" w:type="dxa"/>
            <w:noWrap/>
            <w:vAlign w:val="center"/>
            <w:hideMark/>
          </w:tcPr>
          <w:p w14:paraId="7E19F20B"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46797E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53BD90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w:t>
            </w:r>
          </w:p>
        </w:tc>
        <w:tc>
          <w:tcPr>
            <w:tcW w:w="992" w:type="dxa"/>
            <w:gridSpan w:val="2"/>
            <w:noWrap/>
            <w:vAlign w:val="center"/>
            <w:hideMark/>
          </w:tcPr>
          <w:p w14:paraId="7401C66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0324FD4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3D14D4D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6ECD4891" w14:textId="77777777" w:rsidTr="00A64E33">
        <w:trPr>
          <w:trHeight w:val="20"/>
          <w:tblHeader/>
        </w:trPr>
        <w:tc>
          <w:tcPr>
            <w:tcW w:w="788" w:type="dxa"/>
            <w:noWrap/>
            <w:vAlign w:val="center"/>
            <w:hideMark/>
          </w:tcPr>
          <w:p w14:paraId="1204E3D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18</w:t>
            </w:r>
          </w:p>
        </w:tc>
        <w:tc>
          <w:tcPr>
            <w:tcW w:w="985" w:type="dxa"/>
            <w:noWrap/>
            <w:vAlign w:val="center"/>
            <w:hideMark/>
          </w:tcPr>
          <w:p w14:paraId="60A59A7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DB</w:t>
            </w:r>
          </w:p>
        </w:tc>
        <w:tc>
          <w:tcPr>
            <w:tcW w:w="1199" w:type="dxa"/>
            <w:noWrap/>
            <w:vAlign w:val="center"/>
            <w:hideMark/>
          </w:tcPr>
          <w:p w14:paraId="4C241F5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Dogger Bank</w:t>
            </w:r>
          </w:p>
        </w:tc>
        <w:tc>
          <w:tcPr>
            <w:tcW w:w="992" w:type="dxa"/>
            <w:noWrap/>
            <w:vAlign w:val="center"/>
            <w:hideMark/>
          </w:tcPr>
          <w:p w14:paraId="20D2874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NL, DE, DK, UK</w:t>
            </w:r>
          </w:p>
        </w:tc>
        <w:tc>
          <w:tcPr>
            <w:tcW w:w="851" w:type="dxa"/>
            <w:gridSpan w:val="2"/>
            <w:noWrap/>
            <w:vAlign w:val="center"/>
            <w:hideMark/>
          </w:tcPr>
          <w:p w14:paraId="479D47C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7.2</w:t>
            </w:r>
          </w:p>
        </w:tc>
        <w:tc>
          <w:tcPr>
            <w:tcW w:w="851" w:type="dxa"/>
            <w:noWrap/>
            <w:vAlign w:val="center"/>
            <w:hideMark/>
          </w:tcPr>
          <w:p w14:paraId="77D7569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0.76</w:t>
            </w:r>
          </w:p>
        </w:tc>
        <w:tc>
          <w:tcPr>
            <w:tcW w:w="709" w:type="dxa"/>
            <w:noWrap/>
            <w:vAlign w:val="center"/>
            <w:hideMark/>
          </w:tcPr>
          <w:p w14:paraId="1B229D27"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19F3AC06"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41B274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w:t>
            </w:r>
          </w:p>
        </w:tc>
        <w:tc>
          <w:tcPr>
            <w:tcW w:w="992" w:type="dxa"/>
            <w:gridSpan w:val="2"/>
            <w:noWrap/>
            <w:vAlign w:val="center"/>
            <w:hideMark/>
          </w:tcPr>
          <w:p w14:paraId="10BE215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6910CA15"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4425878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67E39375" w14:textId="77777777" w:rsidTr="00A64E33">
        <w:trPr>
          <w:trHeight w:val="20"/>
          <w:tblHeader/>
        </w:trPr>
        <w:tc>
          <w:tcPr>
            <w:tcW w:w="788" w:type="dxa"/>
            <w:noWrap/>
            <w:vAlign w:val="center"/>
            <w:hideMark/>
          </w:tcPr>
          <w:p w14:paraId="5465CC8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19</w:t>
            </w:r>
          </w:p>
        </w:tc>
        <w:tc>
          <w:tcPr>
            <w:tcW w:w="985" w:type="dxa"/>
            <w:noWrap/>
            <w:vAlign w:val="center"/>
            <w:hideMark/>
          </w:tcPr>
          <w:p w14:paraId="60650A0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ECPM1</w:t>
            </w:r>
          </w:p>
        </w:tc>
        <w:tc>
          <w:tcPr>
            <w:tcW w:w="1199" w:type="dxa"/>
            <w:noWrap/>
            <w:vAlign w:val="center"/>
            <w:hideMark/>
          </w:tcPr>
          <w:p w14:paraId="1F3E68F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East Coast (permanently mixed) 1</w:t>
            </w:r>
          </w:p>
        </w:tc>
        <w:tc>
          <w:tcPr>
            <w:tcW w:w="992" w:type="dxa"/>
            <w:noWrap/>
            <w:vAlign w:val="center"/>
            <w:hideMark/>
          </w:tcPr>
          <w:p w14:paraId="384E7F7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367CABA2"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11.0</w:t>
            </w:r>
          </w:p>
        </w:tc>
        <w:tc>
          <w:tcPr>
            <w:tcW w:w="851" w:type="dxa"/>
            <w:noWrap/>
            <w:vAlign w:val="center"/>
            <w:hideMark/>
          </w:tcPr>
          <w:p w14:paraId="67D1308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0.78</w:t>
            </w:r>
          </w:p>
        </w:tc>
        <w:tc>
          <w:tcPr>
            <w:tcW w:w="709" w:type="dxa"/>
            <w:noWrap/>
            <w:vAlign w:val="center"/>
            <w:hideMark/>
          </w:tcPr>
          <w:p w14:paraId="5F409518"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BA4ADE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7B1791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2.1</w:t>
            </w:r>
          </w:p>
        </w:tc>
        <w:tc>
          <w:tcPr>
            <w:tcW w:w="992" w:type="dxa"/>
            <w:gridSpan w:val="2"/>
            <w:noWrap/>
            <w:vAlign w:val="center"/>
            <w:hideMark/>
          </w:tcPr>
          <w:p w14:paraId="3E7F94A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F771CC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797715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724B206A" w14:textId="77777777" w:rsidTr="00A64E33">
        <w:trPr>
          <w:trHeight w:val="20"/>
          <w:tblHeader/>
        </w:trPr>
        <w:tc>
          <w:tcPr>
            <w:tcW w:w="788" w:type="dxa"/>
            <w:noWrap/>
            <w:vAlign w:val="center"/>
            <w:hideMark/>
          </w:tcPr>
          <w:p w14:paraId="209CD79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20</w:t>
            </w:r>
          </w:p>
        </w:tc>
        <w:tc>
          <w:tcPr>
            <w:tcW w:w="985" w:type="dxa"/>
            <w:noWrap/>
            <w:vAlign w:val="center"/>
            <w:hideMark/>
          </w:tcPr>
          <w:p w14:paraId="3C072E1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ECPM2</w:t>
            </w:r>
          </w:p>
        </w:tc>
        <w:tc>
          <w:tcPr>
            <w:tcW w:w="1199" w:type="dxa"/>
            <w:noWrap/>
            <w:vAlign w:val="center"/>
            <w:hideMark/>
          </w:tcPr>
          <w:p w14:paraId="7A7F323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East Coast (permanently mixed) 2</w:t>
            </w:r>
          </w:p>
        </w:tc>
        <w:tc>
          <w:tcPr>
            <w:tcW w:w="992" w:type="dxa"/>
            <w:noWrap/>
            <w:vAlign w:val="center"/>
            <w:hideMark/>
          </w:tcPr>
          <w:p w14:paraId="7CB570D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57B6EFC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10.9</w:t>
            </w:r>
          </w:p>
        </w:tc>
        <w:tc>
          <w:tcPr>
            <w:tcW w:w="851" w:type="dxa"/>
            <w:noWrap/>
            <w:vAlign w:val="center"/>
            <w:hideMark/>
          </w:tcPr>
          <w:p w14:paraId="201A638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0.86</w:t>
            </w:r>
          </w:p>
        </w:tc>
        <w:tc>
          <w:tcPr>
            <w:tcW w:w="709" w:type="dxa"/>
            <w:noWrap/>
            <w:vAlign w:val="center"/>
            <w:hideMark/>
          </w:tcPr>
          <w:p w14:paraId="2F6882D7"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57703B4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7A0314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3.5</w:t>
            </w:r>
          </w:p>
        </w:tc>
        <w:tc>
          <w:tcPr>
            <w:tcW w:w="992" w:type="dxa"/>
            <w:gridSpan w:val="2"/>
            <w:noWrap/>
            <w:vAlign w:val="center"/>
            <w:hideMark/>
          </w:tcPr>
          <w:p w14:paraId="2790042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AFC3A50"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955E95B" w14:textId="77777777" w:rsidR="004B45E5" w:rsidRPr="005C1498" w:rsidRDefault="004B45E5" w:rsidP="00A64E33">
            <w:pPr>
              <w:spacing w:before="0" w:after="0"/>
              <w:rPr>
                <w:rFonts w:cs="Calibri"/>
                <w:color w:val="000000"/>
                <w:sz w:val="18"/>
                <w:szCs w:val="18"/>
                <w:lang w:eastAsia="en-GB"/>
              </w:rPr>
            </w:pPr>
          </w:p>
          <w:p w14:paraId="0FE5F6D1" w14:textId="77777777" w:rsidR="004B45E5" w:rsidRPr="005C1498" w:rsidRDefault="004B45E5" w:rsidP="00A64E33">
            <w:pPr>
              <w:spacing w:before="0" w:after="0"/>
              <w:rPr>
                <w:rFonts w:cs="Calibri"/>
                <w:color w:val="000000"/>
                <w:sz w:val="18"/>
                <w:szCs w:val="18"/>
                <w:lang w:eastAsia="en-GB"/>
              </w:rPr>
            </w:pPr>
          </w:p>
          <w:p w14:paraId="043A7098" w14:textId="77777777" w:rsidR="004B45E5" w:rsidRPr="005C1498" w:rsidRDefault="004B45E5" w:rsidP="00A64E33">
            <w:pPr>
              <w:spacing w:before="0" w:after="0"/>
              <w:rPr>
                <w:rFonts w:cs="Calibri"/>
                <w:color w:val="000000"/>
                <w:sz w:val="18"/>
                <w:szCs w:val="18"/>
                <w:lang w:eastAsia="en-GB"/>
              </w:rPr>
            </w:pPr>
          </w:p>
          <w:p w14:paraId="50FE2154" w14:textId="77777777" w:rsidR="004B45E5" w:rsidRPr="005C1498" w:rsidRDefault="004B45E5" w:rsidP="00A64E33">
            <w:pPr>
              <w:spacing w:before="0" w:after="0"/>
              <w:rPr>
                <w:rFonts w:cs="Calibri"/>
                <w:color w:val="000000"/>
                <w:sz w:val="18"/>
                <w:szCs w:val="18"/>
                <w:lang w:eastAsia="en-GB"/>
              </w:rPr>
            </w:pPr>
          </w:p>
          <w:p w14:paraId="40517080" w14:textId="77777777" w:rsidR="004B45E5" w:rsidRPr="005C1498" w:rsidRDefault="004B45E5" w:rsidP="00A64E33">
            <w:pPr>
              <w:spacing w:before="0" w:after="0"/>
              <w:rPr>
                <w:rFonts w:cs="Calibri"/>
                <w:color w:val="000000"/>
                <w:sz w:val="18"/>
                <w:szCs w:val="18"/>
                <w:lang w:eastAsia="en-GB"/>
              </w:rPr>
            </w:pPr>
          </w:p>
          <w:p w14:paraId="0F55C84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p w14:paraId="68F1F7BB" w14:textId="77777777" w:rsidR="004B45E5" w:rsidRPr="005C1498" w:rsidRDefault="004B45E5" w:rsidP="00A64E33">
            <w:pPr>
              <w:spacing w:before="0" w:after="0"/>
              <w:rPr>
                <w:rFonts w:cs="Calibri"/>
                <w:color w:val="000000"/>
                <w:sz w:val="18"/>
                <w:szCs w:val="18"/>
                <w:lang w:eastAsia="en-GB"/>
              </w:rPr>
            </w:pPr>
          </w:p>
          <w:p w14:paraId="25B99EE5" w14:textId="77777777" w:rsidR="004B45E5" w:rsidRPr="005C1498" w:rsidRDefault="004B45E5" w:rsidP="00A64E33">
            <w:pPr>
              <w:spacing w:before="0" w:after="0"/>
              <w:rPr>
                <w:rFonts w:cs="Calibri"/>
                <w:color w:val="000000"/>
                <w:sz w:val="18"/>
                <w:szCs w:val="18"/>
                <w:lang w:eastAsia="en-GB"/>
              </w:rPr>
            </w:pPr>
          </w:p>
          <w:p w14:paraId="5D11887D" w14:textId="77777777" w:rsidR="004B45E5" w:rsidRPr="005C1498" w:rsidRDefault="004B45E5" w:rsidP="00A64E33">
            <w:pPr>
              <w:spacing w:before="0" w:after="0"/>
              <w:rPr>
                <w:rFonts w:cs="Calibri"/>
                <w:color w:val="000000"/>
                <w:sz w:val="18"/>
                <w:szCs w:val="18"/>
                <w:lang w:eastAsia="en-GB"/>
              </w:rPr>
            </w:pPr>
          </w:p>
          <w:p w14:paraId="04AE0053" w14:textId="77777777" w:rsidR="004B45E5" w:rsidRPr="005C1498" w:rsidRDefault="004B45E5" w:rsidP="00A64E33">
            <w:pPr>
              <w:spacing w:before="0" w:after="0"/>
              <w:rPr>
                <w:rFonts w:cs="Calibri"/>
                <w:color w:val="000000"/>
                <w:sz w:val="18"/>
                <w:szCs w:val="18"/>
                <w:lang w:eastAsia="en-GB"/>
              </w:rPr>
            </w:pPr>
          </w:p>
          <w:p w14:paraId="224F2C9F" w14:textId="77777777" w:rsidR="004B45E5" w:rsidRPr="005C1498" w:rsidRDefault="004B45E5" w:rsidP="00A64E33">
            <w:pPr>
              <w:spacing w:before="0" w:after="0"/>
              <w:rPr>
                <w:rFonts w:cs="Calibri"/>
                <w:color w:val="000000"/>
                <w:sz w:val="18"/>
                <w:szCs w:val="18"/>
                <w:lang w:eastAsia="en-GB"/>
              </w:rPr>
            </w:pPr>
          </w:p>
          <w:p w14:paraId="526F99A4" w14:textId="77777777" w:rsidR="004B45E5" w:rsidRPr="005C1498" w:rsidRDefault="004B45E5" w:rsidP="00A64E33">
            <w:pPr>
              <w:spacing w:before="0" w:after="0"/>
              <w:rPr>
                <w:rFonts w:cs="Calibri"/>
                <w:color w:val="000000"/>
                <w:sz w:val="18"/>
                <w:szCs w:val="18"/>
                <w:lang w:eastAsia="en-GB"/>
              </w:rPr>
            </w:pPr>
          </w:p>
          <w:p w14:paraId="1E66062A" w14:textId="77777777" w:rsidR="004B45E5" w:rsidRPr="005C1498" w:rsidRDefault="004B45E5" w:rsidP="00A64E33">
            <w:pPr>
              <w:spacing w:before="0" w:after="0"/>
              <w:rPr>
                <w:rFonts w:cs="Calibri"/>
                <w:color w:val="000000"/>
                <w:sz w:val="18"/>
                <w:szCs w:val="18"/>
                <w:lang w:eastAsia="en-GB"/>
              </w:rPr>
            </w:pPr>
          </w:p>
          <w:p w14:paraId="4B074E14" w14:textId="77777777" w:rsidR="004B45E5" w:rsidRPr="005C1498" w:rsidRDefault="004B45E5" w:rsidP="00A64E33">
            <w:pPr>
              <w:spacing w:before="0" w:after="0"/>
              <w:rPr>
                <w:rFonts w:cs="Calibri"/>
                <w:color w:val="000000"/>
                <w:sz w:val="18"/>
                <w:szCs w:val="18"/>
                <w:lang w:eastAsia="en-GB"/>
              </w:rPr>
            </w:pPr>
          </w:p>
        </w:tc>
      </w:tr>
      <w:tr w:rsidR="004B45E5" w:rsidRPr="005C1498" w14:paraId="78AD474E" w14:textId="77777777" w:rsidTr="00A64E33">
        <w:trPr>
          <w:trHeight w:val="20"/>
          <w:tblHeader/>
        </w:trPr>
        <w:tc>
          <w:tcPr>
            <w:tcW w:w="788" w:type="dxa"/>
            <w:noWrap/>
            <w:vAlign w:val="center"/>
            <w:hideMark/>
          </w:tcPr>
          <w:p w14:paraId="5568F3EF"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21</w:t>
            </w:r>
          </w:p>
        </w:tc>
        <w:tc>
          <w:tcPr>
            <w:tcW w:w="985" w:type="dxa"/>
            <w:noWrap/>
            <w:vAlign w:val="center"/>
            <w:hideMark/>
          </w:tcPr>
          <w:p w14:paraId="3662FE4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ELPM</w:t>
            </w:r>
          </w:p>
        </w:tc>
        <w:tc>
          <w:tcPr>
            <w:tcW w:w="1199" w:type="dxa"/>
            <w:noWrap/>
            <w:vAlign w:val="center"/>
            <w:hideMark/>
          </w:tcPr>
          <w:p w14:paraId="0EC0C2B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Elbe plume</w:t>
            </w:r>
          </w:p>
        </w:tc>
        <w:tc>
          <w:tcPr>
            <w:tcW w:w="992" w:type="dxa"/>
            <w:noWrap/>
            <w:vAlign w:val="center"/>
            <w:hideMark/>
          </w:tcPr>
          <w:p w14:paraId="13FA4AF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DE, DK</w:t>
            </w:r>
          </w:p>
        </w:tc>
        <w:tc>
          <w:tcPr>
            <w:tcW w:w="851" w:type="dxa"/>
            <w:gridSpan w:val="2"/>
            <w:noWrap/>
            <w:vAlign w:val="center"/>
            <w:hideMark/>
          </w:tcPr>
          <w:p w14:paraId="041B65FD"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18.2</w:t>
            </w:r>
          </w:p>
        </w:tc>
        <w:tc>
          <w:tcPr>
            <w:tcW w:w="851" w:type="dxa"/>
            <w:noWrap/>
            <w:vAlign w:val="center"/>
            <w:hideMark/>
          </w:tcPr>
          <w:p w14:paraId="2A24567B"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0.72</w:t>
            </w:r>
          </w:p>
        </w:tc>
        <w:tc>
          <w:tcPr>
            <w:tcW w:w="709" w:type="dxa"/>
            <w:noWrap/>
            <w:vAlign w:val="center"/>
            <w:hideMark/>
          </w:tcPr>
          <w:p w14:paraId="4F166FA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21.4</w:t>
            </w:r>
          </w:p>
        </w:tc>
        <w:tc>
          <w:tcPr>
            <w:tcW w:w="709" w:type="dxa"/>
            <w:noWrap/>
            <w:vAlign w:val="center"/>
            <w:hideMark/>
          </w:tcPr>
          <w:p w14:paraId="2AC6DBC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0.95</w:t>
            </w:r>
          </w:p>
        </w:tc>
        <w:tc>
          <w:tcPr>
            <w:tcW w:w="1134" w:type="dxa"/>
            <w:gridSpan w:val="2"/>
            <w:noWrap/>
            <w:vAlign w:val="center"/>
            <w:hideMark/>
          </w:tcPr>
          <w:p w14:paraId="29EAF16F"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3.7</w:t>
            </w:r>
          </w:p>
        </w:tc>
        <w:tc>
          <w:tcPr>
            <w:tcW w:w="992" w:type="dxa"/>
            <w:gridSpan w:val="2"/>
            <w:noWrap/>
            <w:vAlign w:val="center"/>
            <w:hideMark/>
          </w:tcPr>
          <w:p w14:paraId="353CFE6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FF7748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4.1</w:t>
            </w:r>
          </w:p>
        </w:tc>
        <w:tc>
          <w:tcPr>
            <w:tcW w:w="4388" w:type="dxa"/>
            <w:gridSpan w:val="2"/>
            <w:vAlign w:val="center"/>
            <w:hideMark/>
          </w:tcPr>
          <w:p w14:paraId="533F309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0.7*26.06; DIP: 0.9*0.80; Chl a: 0.7*5.25) to ensure plausible gradient to WFD areas and thresholds. Ref: HASEC 22/10/03 Add.2-Rev.2. For TN and TP Danish and German threshold proposals were averaged since the threshold estimates were quite similar. German thresholds are based on the MONERIS nutrient input modelling approach and extrapolation of the riverine nutrient inputs along the salinity gradient into the sea which was used in the previous COMP3 assessment. The Danish thresholds are based on a model approach extrapolating the results from adjacent WFD areas. For Secchi the approach described for total nutrients resulted in significant differences between Danish and German threshold proposals. Therefore, it was decided to use the higher thresholds for Secchi/photic limit to follow the precautionary principle and because mechanistic modelling of light attenuation is highly turbid waters like the Elbe plume is uncertain and remains difficult.</w:t>
            </w:r>
          </w:p>
          <w:p w14:paraId="3A381C4C" w14:textId="77777777" w:rsidR="004B45E5" w:rsidRPr="005C1498" w:rsidRDefault="004B45E5" w:rsidP="00A64E33">
            <w:pPr>
              <w:spacing w:before="0" w:after="0"/>
              <w:rPr>
                <w:rFonts w:cs="Calibri"/>
                <w:color w:val="000000"/>
                <w:sz w:val="18"/>
                <w:szCs w:val="18"/>
                <w:lang w:eastAsia="en-GB"/>
              </w:rPr>
            </w:pPr>
          </w:p>
          <w:p w14:paraId="15A26ABA" w14:textId="77777777" w:rsidR="004B45E5" w:rsidRPr="005C1498" w:rsidRDefault="004B45E5" w:rsidP="00A64E33">
            <w:pPr>
              <w:spacing w:before="0" w:after="0"/>
              <w:rPr>
                <w:rFonts w:cs="Calibri"/>
                <w:color w:val="000000"/>
                <w:sz w:val="18"/>
                <w:szCs w:val="18"/>
                <w:lang w:eastAsia="en-GB"/>
              </w:rPr>
            </w:pPr>
          </w:p>
          <w:p w14:paraId="12E51041" w14:textId="77777777" w:rsidR="004B45E5" w:rsidRPr="005C1498" w:rsidRDefault="004B45E5" w:rsidP="00A64E33">
            <w:pPr>
              <w:spacing w:before="0" w:after="0"/>
              <w:rPr>
                <w:rFonts w:cs="Calibri"/>
                <w:color w:val="000000"/>
                <w:sz w:val="18"/>
                <w:szCs w:val="18"/>
                <w:lang w:eastAsia="en-GB"/>
              </w:rPr>
            </w:pPr>
          </w:p>
        </w:tc>
      </w:tr>
      <w:tr w:rsidR="004B45E5" w:rsidRPr="005C1498" w14:paraId="5666B8C3" w14:textId="77777777" w:rsidTr="00A64E33">
        <w:trPr>
          <w:trHeight w:val="20"/>
          <w:tblHeader/>
        </w:trPr>
        <w:tc>
          <w:tcPr>
            <w:tcW w:w="788" w:type="dxa"/>
            <w:noWrap/>
            <w:vAlign w:val="center"/>
            <w:hideMark/>
          </w:tcPr>
          <w:p w14:paraId="58CC417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22</w:t>
            </w:r>
          </w:p>
        </w:tc>
        <w:tc>
          <w:tcPr>
            <w:tcW w:w="985" w:type="dxa"/>
            <w:noWrap/>
            <w:vAlign w:val="center"/>
            <w:hideMark/>
          </w:tcPr>
          <w:p w14:paraId="2EF8B2F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EMPM</w:t>
            </w:r>
          </w:p>
        </w:tc>
        <w:tc>
          <w:tcPr>
            <w:tcW w:w="1199" w:type="dxa"/>
            <w:noWrap/>
            <w:vAlign w:val="center"/>
            <w:hideMark/>
          </w:tcPr>
          <w:p w14:paraId="15F5CEA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Ems plume</w:t>
            </w:r>
          </w:p>
        </w:tc>
        <w:tc>
          <w:tcPr>
            <w:tcW w:w="992" w:type="dxa"/>
            <w:noWrap/>
            <w:vAlign w:val="center"/>
            <w:hideMark/>
          </w:tcPr>
          <w:p w14:paraId="12057CE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DE</w:t>
            </w:r>
          </w:p>
        </w:tc>
        <w:tc>
          <w:tcPr>
            <w:tcW w:w="851" w:type="dxa"/>
            <w:gridSpan w:val="2"/>
            <w:noWrap/>
            <w:vAlign w:val="center"/>
            <w:hideMark/>
          </w:tcPr>
          <w:p w14:paraId="7794EE5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15.1</w:t>
            </w:r>
          </w:p>
        </w:tc>
        <w:tc>
          <w:tcPr>
            <w:tcW w:w="851" w:type="dxa"/>
            <w:noWrap/>
            <w:vAlign w:val="center"/>
            <w:hideMark/>
          </w:tcPr>
          <w:p w14:paraId="2788BD07"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0.61</w:t>
            </w:r>
          </w:p>
        </w:tc>
        <w:tc>
          <w:tcPr>
            <w:tcW w:w="709" w:type="dxa"/>
            <w:noWrap/>
            <w:vAlign w:val="center"/>
            <w:hideMark/>
          </w:tcPr>
          <w:p w14:paraId="43C8703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16.1</w:t>
            </w:r>
          </w:p>
        </w:tc>
        <w:tc>
          <w:tcPr>
            <w:tcW w:w="709" w:type="dxa"/>
            <w:noWrap/>
            <w:vAlign w:val="center"/>
            <w:hideMark/>
          </w:tcPr>
          <w:p w14:paraId="7B85AA1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0.68</w:t>
            </w:r>
          </w:p>
        </w:tc>
        <w:tc>
          <w:tcPr>
            <w:tcW w:w="1134" w:type="dxa"/>
            <w:gridSpan w:val="2"/>
            <w:noWrap/>
            <w:vAlign w:val="center"/>
            <w:hideMark/>
          </w:tcPr>
          <w:p w14:paraId="51DA684D"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3.7</w:t>
            </w:r>
          </w:p>
        </w:tc>
        <w:tc>
          <w:tcPr>
            <w:tcW w:w="992" w:type="dxa"/>
            <w:gridSpan w:val="2"/>
            <w:noWrap/>
            <w:vAlign w:val="center"/>
            <w:hideMark/>
          </w:tcPr>
          <w:p w14:paraId="42E0443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0A6B21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5.7</w:t>
            </w:r>
          </w:p>
        </w:tc>
        <w:tc>
          <w:tcPr>
            <w:tcW w:w="4388" w:type="dxa"/>
            <w:gridSpan w:val="2"/>
            <w:vAlign w:val="center"/>
            <w:hideMark/>
          </w:tcPr>
          <w:p w14:paraId="060A5B8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1.4*10.80; DIP: 0.9*0.68; Chl a: 0.7*5.30). Unrealistically low values for DIN have been increased to reduce sharp differences to neighbouring areas and to ensure plausible coastal-offshore gradient. Correction to align gradient to adjacent areas (DIP) and to ensure plausible gradient to WFD areas and thresholds (Chl a). Ref: HASEC 22/10/03 Add.2-Rev.2.</w:t>
            </w:r>
            <w:r w:rsidRPr="005C1498">
              <w:rPr>
                <w:rFonts w:cs="Calibri"/>
                <w:color w:val="000000"/>
                <w:sz w:val="18"/>
                <w:szCs w:val="18"/>
                <w:lang w:eastAsia="en-GB"/>
              </w:rPr>
              <w:br/>
              <w:t>German thresholds for TN and TP are based on the MONERIS nutrient input modelling approach and extrapolation of the riverine nutrient inputs along the salinity gradient into the sea, which was used in the previous COMP3 assessment. German thresholds for photic limit are based on correlations with summer TN concentrations.</w:t>
            </w:r>
          </w:p>
        </w:tc>
      </w:tr>
      <w:tr w:rsidR="004B45E5" w:rsidRPr="005C1498" w14:paraId="77927EF5" w14:textId="77777777" w:rsidTr="00A64E33">
        <w:trPr>
          <w:trHeight w:val="20"/>
          <w:tblHeader/>
        </w:trPr>
        <w:tc>
          <w:tcPr>
            <w:tcW w:w="788" w:type="dxa"/>
            <w:noWrap/>
            <w:vAlign w:val="center"/>
            <w:hideMark/>
          </w:tcPr>
          <w:p w14:paraId="3DCB05C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23</w:t>
            </w:r>
          </w:p>
        </w:tc>
        <w:tc>
          <w:tcPr>
            <w:tcW w:w="985" w:type="dxa"/>
            <w:noWrap/>
            <w:vAlign w:val="center"/>
            <w:hideMark/>
          </w:tcPr>
          <w:p w14:paraId="30AA781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ENS</w:t>
            </w:r>
          </w:p>
        </w:tc>
        <w:tc>
          <w:tcPr>
            <w:tcW w:w="1199" w:type="dxa"/>
            <w:noWrap/>
            <w:vAlign w:val="center"/>
            <w:hideMark/>
          </w:tcPr>
          <w:p w14:paraId="16CD01E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Eastern North Sea</w:t>
            </w:r>
          </w:p>
        </w:tc>
        <w:tc>
          <w:tcPr>
            <w:tcW w:w="992" w:type="dxa"/>
            <w:noWrap/>
            <w:vAlign w:val="center"/>
            <w:hideMark/>
          </w:tcPr>
          <w:p w14:paraId="51CF2A6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NL, DE, DK</w:t>
            </w:r>
          </w:p>
        </w:tc>
        <w:tc>
          <w:tcPr>
            <w:tcW w:w="851" w:type="dxa"/>
            <w:gridSpan w:val="2"/>
            <w:noWrap/>
            <w:vAlign w:val="center"/>
            <w:hideMark/>
          </w:tcPr>
          <w:p w14:paraId="139A7455"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7.3</w:t>
            </w:r>
          </w:p>
        </w:tc>
        <w:tc>
          <w:tcPr>
            <w:tcW w:w="851" w:type="dxa"/>
            <w:noWrap/>
            <w:vAlign w:val="center"/>
            <w:hideMark/>
          </w:tcPr>
          <w:p w14:paraId="276D9C3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0.6</w:t>
            </w:r>
          </w:p>
        </w:tc>
        <w:tc>
          <w:tcPr>
            <w:tcW w:w="709" w:type="dxa"/>
            <w:noWrap/>
            <w:vAlign w:val="center"/>
            <w:hideMark/>
          </w:tcPr>
          <w:p w14:paraId="330F0B2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w:t>
            </w:r>
          </w:p>
        </w:tc>
        <w:tc>
          <w:tcPr>
            <w:tcW w:w="709" w:type="dxa"/>
            <w:noWrap/>
            <w:vAlign w:val="center"/>
            <w:hideMark/>
          </w:tcPr>
          <w:p w14:paraId="632BA5D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w:t>
            </w:r>
          </w:p>
        </w:tc>
        <w:tc>
          <w:tcPr>
            <w:tcW w:w="1134" w:type="dxa"/>
            <w:gridSpan w:val="2"/>
            <w:noWrap/>
            <w:vAlign w:val="center"/>
            <w:hideMark/>
          </w:tcPr>
          <w:p w14:paraId="1C861EAC"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1.2</w:t>
            </w:r>
          </w:p>
        </w:tc>
        <w:tc>
          <w:tcPr>
            <w:tcW w:w="992" w:type="dxa"/>
            <w:gridSpan w:val="2"/>
            <w:noWrap/>
            <w:vAlign w:val="center"/>
            <w:hideMark/>
          </w:tcPr>
          <w:p w14:paraId="60535FB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98C926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w:t>
            </w:r>
          </w:p>
        </w:tc>
        <w:tc>
          <w:tcPr>
            <w:tcW w:w="4388" w:type="dxa"/>
            <w:gridSpan w:val="2"/>
            <w:vAlign w:val="center"/>
            <w:hideMark/>
          </w:tcPr>
          <w:p w14:paraId="20DA455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0.9*8.07; DIP: 0.9*0.67; Chl a: 0.7*1.73) to align gradient to adjacent areas (DIN, DIP), and to prevent EQR values &gt;1 (better than reference conditions) for Chl a. Ref: HASEC 22/10/03 Add.2-Rev.2.</w:t>
            </w:r>
          </w:p>
          <w:p w14:paraId="70A35AF2" w14:textId="77777777" w:rsidR="004B45E5" w:rsidRPr="005C1498" w:rsidRDefault="004B45E5" w:rsidP="00A64E33">
            <w:pPr>
              <w:spacing w:before="0" w:after="0"/>
              <w:rPr>
                <w:rFonts w:cs="Calibri"/>
                <w:color w:val="000000"/>
                <w:sz w:val="18"/>
                <w:szCs w:val="18"/>
                <w:lang w:eastAsia="en-GB"/>
              </w:rPr>
            </w:pPr>
          </w:p>
          <w:p w14:paraId="45E4DA2B" w14:textId="77777777" w:rsidR="004B45E5" w:rsidRPr="005C1498" w:rsidRDefault="004B45E5" w:rsidP="00A64E33">
            <w:pPr>
              <w:spacing w:before="0" w:after="0"/>
              <w:rPr>
                <w:rFonts w:cs="Calibri"/>
                <w:color w:val="000000"/>
                <w:sz w:val="18"/>
                <w:szCs w:val="18"/>
                <w:lang w:eastAsia="en-GB"/>
              </w:rPr>
            </w:pPr>
          </w:p>
        </w:tc>
      </w:tr>
      <w:tr w:rsidR="004B45E5" w:rsidRPr="005C1498" w14:paraId="0B6EB2BA" w14:textId="77777777" w:rsidTr="00A64E33">
        <w:trPr>
          <w:trHeight w:val="20"/>
          <w:tblHeader/>
        </w:trPr>
        <w:tc>
          <w:tcPr>
            <w:tcW w:w="788" w:type="dxa"/>
            <w:noWrap/>
            <w:vAlign w:val="center"/>
            <w:hideMark/>
          </w:tcPr>
          <w:p w14:paraId="45DA1BD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24</w:t>
            </w:r>
          </w:p>
        </w:tc>
        <w:tc>
          <w:tcPr>
            <w:tcW w:w="985" w:type="dxa"/>
            <w:noWrap/>
            <w:vAlign w:val="center"/>
            <w:hideMark/>
          </w:tcPr>
          <w:p w14:paraId="5B6A025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GBC</w:t>
            </w:r>
          </w:p>
        </w:tc>
        <w:tc>
          <w:tcPr>
            <w:tcW w:w="1199" w:type="dxa"/>
            <w:noWrap/>
            <w:vAlign w:val="center"/>
            <w:hideMark/>
          </w:tcPr>
          <w:p w14:paraId="0CE855D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German Bight Central</w:t>
            </w:r>
          </w:p>
        </w:tc>
        <w:tc>
          <w:tcPr>
            <w:tcW w:w="992" w:type="dxa"/>
            <w:noWrap/>
            <w:vAlign w:val="center"/>
            <w:hideMark/>
          </w:tcPr>
          <w:p w14:paraId="4830EBB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DE</w:t>
            </w:r>
          </w:p>
        </w:tc>
        <w:tc>
          <w:tcPr>
            <w:tcW w:w="851" w:type="dxa"/>
            <w:gridSpan w:val="2"/>
            <w:noWrap/>
            <w:vAlign w:val="center"/>
            <w:hideMark/>
          </w:tcPr>
          <w:p w14:paraId="17CFE5E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10.1</w:t>
            </w:r>
          </w:p>
        </w:tc>
        <w:tc>
          <w:tcPr>
            <w:tcW w:w="851" w:type="dxa"/>
            <w:noWrap/>
            <w:vAlign w:val="center"/>
            <w:hideMark/>
          </w:tcPr>
          <w:p w14:paraId="1DB3DCFC"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0.62</w:t>
            </w:r>
          </w:p>
        </w:tc>
        <w:tc>
          <w:tcPr>
            <w:tcW w:w="709" w:type="dxa"/>
            <w:noWrap/>
            <w:vAlign w:val="center"/>
            <w:hideMark/>
          </w:tcPr>
          <w:p w14:paraId="1831720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13.1</w:t>
            </w:r>
          </w:p>
        </w:tc>
        <w:tc>
          <w:tcPr>
            <w:tcW w:w="709" w:type="dxa"/>
            <w:noWrap/>
            <w:vAlign w:val="center"/>
            <w:hideMark/>
          </w:tcPr>
          <w:p w14:paraId="3BEF94F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0.82 </w:t>
            </w:r>
          </w:p>
        </w:tc>
        <w:tc>
          <w:tcPr>
            <w:tcW w:w="1134" w:type="dxa"/>
            <w:gridSpan w:val="2"/>
            <w:noWrap/>
            <w:vAlign w:val="center"/>
            <w:hideMark/>
          </w:tcPr>
          <w:p w14:paraId="713374B7"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1.9</w:t>
            </w:r>
          </w:p>
        </w:tc>
        <w:tc>
          <w:tcPr>
            <w:tcW w:w="992" w:type="dxa"/>
            <w:gridSpan w:val="2"/>
            <w:noWrap/>
            <w:vAlign w:val="center"/>
            <w:hideMark/>
          </w:tcPr>
          <w:p w14:paraId="5E11834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60E5D265"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6BC54ED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1.4*7.25; DIP: 0.9*0.69; Chl a: 0.7*2.69). Unrealistically low values for DIN have been increased to reduce sharp differences to neighbouring areas and to ensure plausible coastal-offshore gradient. Correction to align gradient to adjacent areas (DIP and Chl a). Ref: HASEC 22/10/03 Add.2-Rev.2. German thresholds for TN and TP are based on the MONERIS nutrient input modelling approach and extrapolation of the riverine nutrient inputs along the salinity gradient into the sea, which was used in the previous COMP3 assessment. German thresholds for photic limit are based on correlations with summer TN concentrations.</w:t>
            </w:r>
          </w:p>
        </w:tc>
      </w:tr>
      <w:tr w:rsidR="004B45E5" w:rsidRPr="005C1498" w14:paraId="7106F3E0" w14:textId="77777777" w:rsidTr="00A64E33">
        <w:trPr>
          <w:trHeight w:val="20"/>
          <w:tblHeader/>
        </w:trPr>
        <w:tc>
          <w:tcPr>
            <w:tcW w:w="788" w:type="dxa"/>
            <w:noWrap/>
            <w:vAlign w:val="center"/>
            <w:hideMark/>
          </w:tcPr>
          <w:p w14:paraId="30CB3F9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25</w:t>
            </w:r>
          </w:p>
        </w:tc>
        <w:tc>
          <w:tcPr>
            <w:tcW w:w="985" w:type="dxa"/>
            <w:noWrap/>
            <w:vAlign w:val="center"/>
            <w:hideMark/>
          </w:tcPr>
          <w:p w14:paraId="005382A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GBCW</w:t>
            </w:r>
          </w:p>
        </w:tc>
        <w:tc>
          <w:tcPr>
            <w:tcW w:w="1199" w:type="dxa"/>
            <w:noWrap/>
            <w:vAlign w:val="center"/>
            <w:hideMark/>
          </w:tcPr>
          <w:p w14:paraId="1EC7679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Gulf of Biscay coastal waters</w:t>
            </w:r>
          </w:p>
        </w:tc>
        <w:tc>
          <w:tcPr>
            <w:tcW w:w="992" w:type="dxa"/>
            <w:noWrap/>
            <w:vAlign w:val="center"/>
            <w:hideMark/>
          </w:tcPr>
          <w:p w14:paraId="62DD73B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w:t>
            </w:r>
          </w:p>
        </w:tc>
        <w:tc>
          <w:tcPr>
            <w:tcW w:w="851" w:type="dxa"/>
            <w:gridSpan w:val="2"/>
            <w:noWrap/>
            <w:vAlign w:val="center"/>
            <w:hideMark/>
          </w:tcPr>
          <w:p w14:paraId="64ADA26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11.8</w:t>
            </w:r>
          </w:p>
        </w:tc>
        <w:tc>
          <w:tcPr>
            <w:tcW w:w="851" w:type="dxa"/>
            <w:noWrap/>
            <w:vAlign w:val="center"/>
            <w:hideMark/>
          </w:tcPr>
          <w:p w14:paraId="743D131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0.75</w:t>
            </w:r>
          </w:p>
        </w:tc>
        <w:tc>
          <w:tcPr>
            <w:tcW w:w="709" w:type="dxa"/>
            <w:noWrap/>
            <w:vAlign w:val="center"/>
            <w:hideMark/>
          </w:tcPr>
          <w:p w14:paraId="6612AEAD"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5C401C7"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B8534D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2.7</w:t>
            </w:r>
          </w:p>
        </w:tc>
        <w:tc>
          <w:tcPr>
            <w:tcW w:w="992" w:type="dxa"/>
            <w:gridSpan w:val="2"/>
            <w:noWrap/>
            <w:vAlign w:val="center"/>
            <w:hideMark/>
          </w:tcPr>
          <w:p w14:paraId="404803C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5C5B8A5" w14:textId="77777777" w:rsidR="004B45E5" w:rsidRPr="005C1498" w:rsidRDefault="004B45E5" w:rsidP="00A64E33">
            <w:pPr>
              <w:spacing w:before="0" w:after="0"/>
              <w:rPr>
                <w:rFonts w:cs="Calibri"/>
                <w:color w:val="000000"/>
                <w:sz w:val="18"/>
                <w:szCs w:val="18"/>
                <w:lang w:eastAsia="en-GB"/>
              </w:rPr>
            </w:pPr>
          </w:p>
        </w:tc>
        <w:tc>
          <w:tcPr>
            <w:tcW w:w="4388" w:type="dxa"/>
            <w:gridSpan w:val="2"/>
            <w:noWrap/>
            <w:vAlign w:val="center"/>
            <w:hideMark/>
          </w:tcPr>
          <w:p w14:paraId="2D49532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4A5F5C23" w14:textId="77777777" w:rsidTr="00A64E33">
        <w:trPr>
          <w:trHeight w:val="20"/>
          <w:tblHeader/>
        </w:trPr>
        <w:tc>
          <w:tcPr>
            <w:tcW w:w="788" w:type="dxa"/>
            <w:noWrap/>
            <w:vAlign w:val="center"/>
            <w:hideMark/>
          </w:tcPr>
          <w:p w14:paraId="32C6BEE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26</w:t>
            </w:r>
          </w:p>
        </w:tc>
        <w:tc>
          <w:tcPr>
            <w:tcW w:w="985" w:type="dxa"/>
            <w:noWrap/>
            <w:vAlign w:val="center"/>
            <w:hideMark/>
          </w:tcPr>
          <w:p w14:paraId="0D9583C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GBSW</w:t>
            </w:r>
          </w:p>
        </w:tc>
        <w:tc>
          <w:tcPr>
            <w:tcW w:w="1199" w:type="dxa"/>
            <w:noWrap/>
            <w:vAlign w:val="center"/>
            <w:hideMark/>
          </w:tcPr>
          <w:p w14:paraId="3BEDFC9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Gulf of Biscay shelf waters</w:t>
            </w:r>
          </w:p>
        </w:tc>
        <w:tc>
          <w:tcPr>
            <w:tcW w:w="992" w:type="dxa"/>
            <w:noWrap/>
            <w:vAlign w:val="center"/>
            <w:hideMark/>
          </w:tcPr>
          <w:p w14:paraId="33FFA0F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w:t>
            </w:r>
          </w:p>
        </w:tc>
        <w:tc>
          <w:tcPr>
            <w:tcW w:w="851" w:type="dxa"/>
            <w:gridSpan w:val="2"/>
            <w:noWrap/>
            <w:vAlign w:val="center"/>
            <w:hideMark/>
          </w:tcPr>
          <w:p w14:paraId="70CE1BF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8.7</w:t>
            </w:r>
          </w:p>
        </w:tc>
        <w:tc>
          <w:tcPr>
            <w:tcW w:w="851" w:type="dxa"/>
            <w:noWrap/>
            <w:vAlign w:val="center"/>
            <w:hideMark/>
          </w:tcPr>
          <w:p w14:paraId="2E13811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0.69</w:t>
            </w:r>
          </w:p>
        </w:tc>
        <w:tc>
          <w:tcPr>
            <w:tcW w:w="709" w:type="dxa"/>
            <w:noWrap/>
            <w:vAlign w:val="center"/>
            <w:hideMark/>
          </w:tcPr>
          <w:p w14:paraId="3D4CF9CC"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D17CCC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5185EBD"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2.0</w:t>
            </w:r>
          </w:p>
        </w:tc>
        <w:tc>
          <w:tcPr>
            <w:tcW w:w="992" w:type="dxa"/>
            <w:gridSpan w:val="2"/>
            <w:noWrap/>
            <w:vAlign w:val="center"/>
            <w:hideMark/>
          </w:tcPr>
          <w:p w14:paraId="32F74E1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47B31CD"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5326BD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Chl a: too low compared to adjacent area (gradient). Correction applied to HS1 values (0.863 becomes 2.02). Computed with ICG-EMO data. Ref: ICG-Eut(1) 2022 p03_france_thresholdtests</w:t>
            </w:r>
          </w:p>
        </w:tc>
      </w:tr>
      <w:tr w:rsidR="004B45E5" w:rsidRPr="005C1498" w14:paraId="6B2C23CA" w14:textId="77777777" w:rsidTr="00A64E33">
        <w:trPr>
          <w:trHeight w:val="20"/>
          <w:tblHeader/>
        </w:trPr>
        <w:tc>
          <w:tcPr>
            <w:tcW w:w="788" w:type="dxa"/>
            <w:noWrap/>
            <w:vAlign w:val="center"/>
            <w:hideMark/>
          </w:tcPr>
          <w:p w14:paraId="475E866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27</w:t>
            </w:r>
          </w:p>
        </w:tc>
        <w:tc>
          <w:tcPr>
            <w:tcW w:w="985" w:type="dxa"/>
            <w:noWrap/>
            <w:vAlign w:val="center"/>
            <w:hideMark/>
          </w:tcPr>
          <w:p w14:paraId="1057EA0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GDPM</w:t>
            </w:r>
          </w:p>
        </w:tc>
        <w:tc>
          <w:tcPr>
            <w:tcW w:w="1199" w:type="dxa"/>
            <w:noWrap/>
            <w:vAlign w:val="center"/>
            <w:hideMark/>
          </w:tcPr>
          <w:p w14:paraId="17B9CDA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Gironde plume</w:t>
            </w:r>
          </w:p>
        </w:tc>
        <w:tc>
          <w:tcPr>
            <w:tcW w:w="992" w:type="dxa"/>
            <w:noWrap/>
            <w:vAlign w:val="center"/>
            <w:hideMark/>
          </w:tcPr>
          <w:p w14:paraId="4E12977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w:t>
            </w:r>
          </w:p>
        </w:tc>
        <w:tc>
          <w:tcPr>
            <w:tcW w:w="851" w:type="dxa"/>
            <w:gridSpan w:val="2"/>
            <w:noWrap/>
            <w:vAlign w:val="center"/>
            <w:hideMark/>
          </w:tcPr>
          <w:p w14:paraId="3A48B0D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12.7</w:t>
            </w:r>
          </w:p>
        </w:tc>
        <w:tc>
          <w:tcPr>
            <w:tcW w:w="851" w:type="dxa"/>
            <w:noWrap/>
            <w:vAlign w:val="center"/>
            <w:hideMark/>
          </w:tcPr>
          <w:p w14:paraId="11B57D2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0.68</w:t>
            </w:r>
          </w:p>
        </w:tc>
        <w:tc>
          <w:tcPr>
            <w:tcW w:w="709" w:type="dxa"/>
            <w:noWrap/>
            <w:vAlign w:val="center"/>
            <w:hideMark/>
          </w:tcPr>
          <w:p w14:paraId="7A8E1DF9"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3920C222"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8C462C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5.4</w:t>
            </w:r>
          </w:p>
        </w:tc>
        <w:tc>
          <w:tcPr>
            <w:tcW w:w="992" w:type="dxa"/>
            <w:gridSpan w:val="2"/>
            <w:noWrap/>
            <w:vAlign w:val="center"/>
            <w:hideMark/>
          </w:tcPr>
          <w:p w14:paraId="610D35C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2D48E1F"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3F5D270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p w14:paraId="73AE5935" w14:textId="77777777" w:rsidR="004B45E5" w:rsidRPr="005C1498" w:rsidRDefault="004B45E5" w:rsidP="00A64E33">
            <w:pPr>
              <w:spacing w:before="0" w:after="0"/>
              <w:rPr>
                <w:rFonts w:cs="Calibri"/>
                <w:color w:val="000000"/>
                <w:sz w:val="18"/>
                <w:szCs w:val="18"/>
                <w:lang w:eastAsia="en-GB"/>
              </w:rPr>
            </w:pPr>
          </w:p>
          <w:p w14:paraId="02A12C29" w14:textId="77777777" w:rsidR="004B45E5" w:rsidRPr="005C1498" w:rsidRDefault="004B45E5" w:rsidP="00A64E33">
            <w:pPr>
              <w:spacing w:before="0" w:after="0"/>
              <w:rPr>
                <w:rFonts w:cs="Calibri"/>
                <w:color w:val="000000"/>
                <w:sz w:val="18"/>
                <w:szCs w:val="18"/>
                <w:lang w:eastAsia="en-GB"/>
              </w:rPr>
            </w:pPr>
          </w:p>
          <w:p w14:paraId="7C27D591" w14:textId="77777777" w:rsidR="004B45E5" w:rsidRPr="005C1498" w:rsidRDefault="004B45E5" w:rsidP="00A64E33">
            <w:pPr>
              <w:spacing w:before="0" w:after="0"/>
              <w:rPr>
                <w:rFonts w:cs="Calibri"/>
                <w:color w:val="000000"/>
                <w:sz w:val="18"/>
                <w:szCs w:val="18"/>
                <w:lang w:eastAsia="en-GB"/>
              </w:rPr>
            </w:pPr>
          </w:p>
          <w:p w14:paraId="1F39101E" w14:textId="77777777" w:rsidR="004B45E5" w:rsidRPr="005C1498" w:rsidRDefault="004B45E5" w:rsidP="00A64E33">
            <w:pPr>
              <w:spacing w:before="0" w:after="0"/>
              <w:rPr>
                <w:rFonts w:cs="Calibri"/>
                <w:color w:val="000000"/>
                <w:sz w:val="18"/>
                <w:szCs w:val="18"/>
                <w:lang w:eastAsia="en-GB"/>
              </w:rPr>
            </w:pPr>
          </w:p>
        </w:tc>
      </w:tr>
      <w:tr w:rsidR="004B45E5" w:rsidRPr="005C1498" w14:paraId="3BE4146E" w14:textId="77777777" w:rsidTr="00A64E33">
        <w:trPr>
          <w:trHeight w:val="20"/>
          <w:tblHeader/>
        </w:trPr>
        <w:tc>
          <w:tcPr>
            <w:tcW w:w="788" w:type="dxa"/>
            <w:noWrap/>
            <w:vAlign w:val="center"/>
            <w:hideMark/>
          </w:tcPr>
          <w:p w14:paraId="00139F8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28</w:t>
            </w:r>
          </w:p>
        </w:tc>
        <w:tc>
          <w:tcPr>
            <w:tcW w:w="985" w:type="dxa"/>
            <w:noWrap/>
            <w:vAlign w:val="center"/>
            <w:hideMark/>
          </w:tcPr>
          <w:p w14:paraId="0BDB0E8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HPM</w:t>
            </w:r>
          </w:p>
        </w:tc>
        <w:tc>
          <w:tcPr>
            <w:tcW w:w="1199" w:type="dxa"/>
            <w:noWrap/>
            <w:vAlign w:val="center"/>
            <w:hideMark/>
          </w:tcPr>
          <w:p w14:paraId="6DCA064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Humber plume</w:t>
            </w:r>
          </w:p>
        </w:tc>
        <w:tc>
          <w:tcPr>
            <w:tcW w:w="992" w:type="dxa"/>
            <w:noWrap/>
            <w:vAlign w:val="center"/>
            <w:hideMark/>
          </w:tcPr>
          <w:p w14:paraId="7A5F84C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3D7512AB"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26.3</w:t>
            </w:r>
          </w:p>
        </w:tc>
        <w:tc>
          <w:tcPr>
            <w:tcW w:w="851" w:type="dxa"/>
            <w:noWrap/>
            <w:vAlign w:val="center"/>
            <w:hideMark/>
          </w:tcPr>
          <w:p w14:paraId="4F59FE44"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1.16</w:t>
            </w:r>
          </w:p>
        </w:tc>
        <w:tc>
          <w:tcPr>
            <w:tcW w:w="709" w:type="dxa"/>
            <w:noWrap/>
            <w:vAlign w:val="center"/>
            <w:hideMark/>
          </w:tcPr>
          <w:p w14:paraId="4A7C4FDE"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1E10D756"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721B000"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10.6</w:t>
            </w:r>
          </w:p>
        </w:tc>
        <w:tc>
          <w:tcPr>
            <w:tcW w:w="992" w:type="dxa"/>
            <w:gridSpan w:val="2"/>
            <w:noWrap/>
            <w:vAlign w:val="center"/>
            <w:hideMark/>
          </w:tcPr>
          <w:p w14:paraId="3269947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17726ADC"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B7A3F88" w14:textId="48F02D1F" w:rsidR="004B45E5" w:rsidRPr="005C1498" w:rsidRDefault="00A64E33" w:rsidP="00A64E33">
            <w:pPr>
              <w:spacing w:before="0" w:after="0"/>
              <w:rPr>
                <w:rFonts w:cs="Calibri"/>
                <w:color w:val="000000"/>
                <w:sz w:val="18"/>
                <w:szCs w:val="18"/>
                <w:lang w:eastAsia="en-GB"/>
              </w:rPr>
            </w:pPr>
            <w:r>
              <w:rPr>
                <w:rFonts w:cs="Calibri"/>
                <w:color w:val="000000"/>
                <w:sz w:val="18"/>
                <w:szCs w:val="18"/>
                <w:lang w:eastAsia="en-GB"/>
              </w:rPr>
              <w:t>C</w:t>
            </w:r>
            <w:r w:rsidR="004B45E5" w:rsidRPr="005C1498">
              <w:rPr>
                <w:rFonts w:cs="Calibri"/>
                <w:color w:val="000000"/>
                <w:sz w:val="18"/>
                <w:szCs w:val="18"/>
                <w:lang w:eastAsia="en-GB"/>
              </w:rPr>
              <w:t xml:space="preserve">orrection factor based on relative method. The UK broadly accepts the thresholds from the weighted ensemble modelling as they have a scientific evidence base. This evidence base stems from the agreed assumption of setting the best /high condition as year 1900. The nutrient reduction scenarios as defined by the e-hype project. The ensemble modelling used the best available modelling which then produced estimates of the best condition.  There are a few specific regions, the plume areas, where the weighted modelling work produces very different estimates from the relative method.  Furthermore, for the Thames, Humber and Liverpool Bay regions the relative method produces thresholds which are more consistent with similar type environments, along the Netherlands and German coasts. In these regions the relative method is used. In all other regions the weighted ensemble method is accepted. For the UK there is no distinction between the HS1 or HS2 scenarios, therefore which ever has the greatest scientific evidence should be used. The use of 50% as a suitable anthropogenic impact (AD),  is accepted on the basis of reaching consensus with contracting parties. The UK would like to see more discussion and implementation of a process that calculates AD based on the natural variability from in-situ and modelled data. </w:t>
            </w:r>
          </w:p>
        </w:tc>
      </w:tr>
      <w:tr w:rsidR="004B45E5" w:rsidRPr="005C1498" w14:paraId="6BFF9741" w14:textId="77777777" w:rsidTr="00A64E33">
        <w:trPr>
          <w:trHeight w:val="20"/>
          <w:tblHeader/>
        </w:trPr>
        <w:tc>
          <w:tcPr>
            <w:tcW w:w="788" w:type="dxa"/>
            <w:noWrap/>
            <w:vAlign w:val="center"/>
            <w:hideMark/>
          </w:tcPr>
          <w:p w14:paraId="7747B9E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29</w:t>
            </w:r>
          </w:p>
        </w:tc>
        <w:tc>
          <w:tcPr>
            <w:tcW w:w="985" w:type="dxa"/>
            <w:noWrap/>
            <w:vAlign w:val="center"/>
            <w:hideMark/>
          </w:tcPr>
          <w:p w14:paraId="15B4465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IRS</w:t>
            </w:r>
          </w:p>
        </w:tc>
        <w:tc>
          <w:tcPr>
            <w:tcW w:w="1199" w:type="dxa"/>
            <w:noWrap/>
            <w:vAlign w:val="center"/>
            <w:hideMark/>
          </w:tcPr>
          <w:p w14:paraId="3FFC171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Irish Sea</w:t>
            </w:r>
          </w:p>
        </w:tc>
        <w:tc>
          <w:tcPr>
            <w:tcW w:w="992" w:type="dxa"/>
            <w:noWrap/>
            <w:vAlign w:val="center"/>
            <w:hideMark/>
          </w:tcPr>
          <w:p w14:paraId="450F3EE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IE, UK</w:t>
            </w:r>
          </w:p>
        </w:tc>
        <w:tc>
          <w:tcPr>
            <w:tcW w:w="851" w:type="dxa"/>
            <w:gridSpan w:val="2"/>
            <w:noWrap/>
            <w:vAlign w:val="center"/>
            <w:hideMark/>
          </w:tcPr>
          <w:p w14:paraId="74EDD4F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9.9</w:t>
            </w:r>
          </w:p>
        </w:tc>
        <w:tc>
          <w:tcPr>
            <w:tcW w:w="851" w:type="dxa"/>
            <w:noWrap/>
            <w:vAlign w:val="center"/>
            <w:hideMark/>
          </w:tcPr>
          <w:p w14:paraId="630F59B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0.78</w:t>
            </w:r>
          </w:p>
        </w:tc>
        <w:tc>
          <w:tcPr>
            <w:tcW w:w="709" w:type="dxa"/>
            <w:noWrap/>
            <w:vAlign w:val="center"/>
            <w:hideMark/>
          </w:tcPr>
          <w:p w14:paraId="5EF1FA54"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041D467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225879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2.0</w:t>
            </w:r>
          </w:p>
        </w:tc>
        <w:tc>
          <w:tcPr>
            <w:tcW w:w="992" w:type="dxa"/>
            <w:gridSpan w:val="2"/>
            <w:noWrap/>
            <w:vAlign w:val="center"/>
            <w:hideMark/>
          </w:tcPr>
          <w:p w14:paraId="24D0955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0FCDA87"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F585D4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27E3D9C1" w14:textId="77777777" w:rsidTr="00A64E33">
        <w:trPr>
          <w:trHeight w:val="20"/>
          <w:tblHeader/>
        </w:trPr>
        <w:tc>
          <w:tcPr>
            <w:tcW w:w="788" w:type="dxa"/>
            <w:noWrap/>
            <w:vAlign w:val="center"/>
            <w:hideMark/>
          </w:tcPr>
          <w:p w14:paraId="475A7B5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30</w:t>
            </w:r>
          </w:p>
        </w:tc>
        <w:tc>
          <w:tcPr>
            <w:tcW w:w="985" w:type="dxa"/>
            <w:noWrap/>
            <w:vAlign w:val="center"/>
            <w:hideMark/>
          </w:tcPr>
          <w:p w14:paraId="753BAE9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IS1</w:t>
            </w:r>
          </w:p>
        </w:tc>
        <w:tc>
          <w:tcPr>
            <w:tcW w:w="1199" w:type="dxa"/>
            <w:noWrap/>
            <w:vAlign w:val="center"/>
            <w:hideMark/>
          </w:tcPr>
          <w:p w14:paraId="0DA506B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Intermittently Stratified 1</w:t>
            </w:r>
          </w:p>
        </w:tc>
        <w:tc>
          <w:tcPr>
            <w:tcW w:w="992" w:type="dxa"/>
            <w:noWrap/>
            <w:vAlign w:val="center"/>
            <w:hideMark/>
          </w:tcPr>
          <w:p w14:paraId="0EFE33E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491AE87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13.7</w:t>
            </w:r>
          </w:p>
        </w:tc>
        <w:tc>
          <w:tcPr>
            <w:tcW w:w="851" w:type="dxa"/>
            <w:noWrap/>
            <w:vAlign w:val="center"/>
            <w:hideMark/>
          </w:tcPr>
          <w:p w14:paraId="2854B6C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0.90</w:t>
            </w:r>
          </w:p>
        </w:tc>
        <w:tc>
          <w:tcPr>
            <w:tcW w:w="709" w:type="dxa"/>
            <w:noWrap/>
            <w:vAlign w:val="center"/>
            <w:hideMark/>
          </w:tcPr>
          <w:p w14:paraId="54F4EE2C"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5361EDD1"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6EED50FA"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1.8</w:t>
            </w:r>
          </w:p>
        </w:tc>
        <w:tc>
          <w:tcPr>
            <w:tcW w:w="992" w:type="dxa"/>
            <w:gridSpan w:val="2"/>
            <w:noWrap/>
            <w:vAlign w:val="center"/>
            <w:hideMark/>
          </w:tcPr>
          <w:p w14:paraId="21486FC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2F5AB0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5AEA45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Chl a changed from 1.65 to 1.8 as per ASS</w:t>
            </w:r>
          </w:p>
        </w:tc>
      </w:tr>
      <w:tr w:rsidR="004B45E5" w:rsidRPr="005C1498" w14:paraId="6EEE087C" w14:textId="77777777" w:rsidTr="00A64E33">
        <w:trPr>
          <w:trHeight w:val="20"/>
          <w:tblHeader/>
        </w:trPr>
        <w:tc>
          <w:tcPr>
            <w:tcW w:w="788" w:type="dxa"/>
            <w:noWrap/>
            <w:vAlign w:val="center"/>
            <w:hideMark/>
          </w:tcPr>
          <w:p w14:paraId="6B25786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31</w:t>
            </w:r>
          </w:p>
        </w:tc>
        <w:tc>
          <w:tcPr>
            <w:tcW w:w="985" w:type="dxa"/>
            <w:noWrap/>
            <w:vAlign w:val="center"/>
            <w:hideMark/>
          </w:tcPr>
          <w:p w14:paraId="17892FE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IS2</w:t>
            </w:r>
          </w:p>
        </w:tc>
        <w:tc>
          <w:tcPr>
            <w:tcW w:w="1199" w:type="dxa"/>
            <w:noWrap/>
            <w:vAlign w:val="center"/>
            <w:hideMark/>
          </w:tcPr>
          <w:p w14:paraId="0500AAE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Intermittently Stratified 2</w:t>
            </w:r>
          </w:p>
        </w:tc>
        <w:tc>
          <w:tcPr>
            <w:tcW w:w="992" w:type="dxa"/>
            <w:noWrap/>
            <w:vAlign w:val="center"/>
            <w:hideMark/>
          </w:tcPr>
          <w:p w14:paraId="05AA54C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IE, UK</w:t>
            </w:r>
          </w:p>
        </w:tc>
        <w:tc>
          <w:tcPr>
            <w:tcW w:w="851" w:type="dxa"/>
            <w:gridSpan w:val="2"/>
            <w:noWrap/>
            <w:vAlign w:val="center"/>
            <w:hideMark/>
          </w:tcPr>
          <w:p w14:paraId="728290AF"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11.3</w:t>
            </w:r>
          </w:p>
        </w:tc>
        <w:tc>
          <w:tcPr>
            <w:tcW w:w="851" w:type="dxa"/>
            <w:noWrap/>
            <w:vAlign w:val="center"/>
            <w:hideMark/>
          </w:tcPr>
          <w:p w14:paraId="15F56D3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0.86</w:t>
            </w:r>
          </w:p>
        </w:tc>
        <w:tc>
          <w:tcPr>
            <w:tcW w:w="709" w:type="dxa"/>
            <w:noWrap/>
            <w:vAlign w:val="center"/>
            <w:hideMark/>
          </w:tcPr>
          <w:p w14:paraId="036C3A64"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6A08CC84"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6E9ADB0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1.7</w:t>
            </w:r>
          </w:p>
        </w:tc>
        <w:tc>
          <w:tcPr>
            <w:tcW w:w="992" w:type="dxa"/>
            <w:gridSpan w:val="2"/>
            <w:noWrap/>
            <w:vAlign w:val="center"/>
            <w:hideMark/>
          </w:tcPr>
          <w:p w14:paraId="45D0F3F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C2CC19E"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C0CB7A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103CF702" w14:textId="77777777" w:rsidTr="00A64E33">
        <w:trPr>
          <w:trHeight w:val="20"/>
          <w:tblHeader/>
        </w:trPr>
        <w:tc>
          <w:tcPr>
            <w:tcW w:w="788" w:type="dxa"/>
            <w:noWrap/>
            <w:vAlign w:val="center"/>
            <w:hideMark/>
          </w:tcPr>
          <w:p w14:paraId="3CC86B3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32</w:t>
            </w:r>
          </w:p>
        </w:tc>
        <w:tc>
          <w:tcPr>
            <w:tcW w:w="985" w:type="dxa"/>
            <w:noWrap/>
            <w:vAlign w:val="center"/>
            <w:hideMark/>
          </w:tcPr>
          <w:p w14:paraId="6FC5113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KC</w:t>
            </w:r>
          </w:p>
        </w:tc>
        <w:tc>
          <w:tcPr>
            <w:tcW w:w="1199" w:type="dxa"/>
            <w:noWrap/>
            <w:vAlign w:val="center"/>
            <w:hideMark/>
          </w:tcPr>
          <w:p w14:paraId="7633343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Kattegat Coastal</w:t>
            </w:r>
          </w:p>
        </w:tc>
        <w:tc>
          <w:tcPr>
            <w:tcW w:w="992" w:type="dxa"/>
            <w:noWrap/>
            <w:vAlign w:val="center"/>
            <w:hideMark/>
          </w:tcPr>
          <w:p w14:paraId="256700E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DK, SE</w:t>
            </w:r>
          </w:p>
        </w:tc>
        <w:tc>
          <w:tcPr>
            <w:tcW w:w="851" w:type="dxa"/>
            <w:gridSpan w:val="2"/>
            <w:noWrap/>
            <w:vAlign w:val="center"/>
            <w:hideMark/>
          </w:tcPr>
          <w:p w14:paraId="7B9AF03D"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4.5</w:t>
            </w:r>
          </w:p>
        </w:tc>
        <w:tc>
          <w:tcPr>
            <w:tcW w:w="851" w:type="dxa"/>
            <w:noWrap/>
            <w:vAlign w:val="center"/>
            <w:hideMark/>
          </w:tcPr>
          <w:p w14:paraId="01FF4F32"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0.45</w:t>
            </w:r>
          </w:p>
        </w:tc>
        <w:tc>
          <w:tcPr>
            <w:tcW w:w="709" w:type="dxa"/>
            <w:noWrap/>
            <w:vAlign w:val="center"/>
            <w:hideMark/>
          </w:tcPr>
          <w:p w14:paraId="3A8DEE8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14.6</w:t>
            </w:r>
          </w:p>
        </w:tc>
        <w:tc>
          <w:tcPr>
            <w:tcW w:w="709" w:type="dxa"/>
            <w:noWrap/>
            <w:vAlign w:val="center"/>
            <w:hideMark/>
          </w:tcPr>
          <w:p w14:paraId="7204A82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0.82</w:t>
            </w:r>
          </w:p>
        </w:tc>
        <w:tc>
          <w:tcPr>
            <w:tcW w:w="1134" w:type="dxa"/>
            <w:gridSpan w:val="2"/>
            <w:noWrap/>
            <w:vAlign w:val="center"/>
            <w:hideMark/>
          </w:tcPr>
          <w:p w14:paraId="37B4D636"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1.2</w:t>
            </w:r>
          </w:p>
        </w:tc>
        <w:tc>
          <w:tcPr>
            <w:tcW w:w="992" w:type="dxa"/>
            <w:gridSpan w:val="2"/>
            <w:noWrap/>
            <w:vAlign w:val="center"/>
            <w:hideMark/>
          </w:tcPr>
          <w:p w14:paraId="2F8AA5D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509FDB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8.5</w:t>
            </w:r>
          </w:p>
        </w:tc>
        <w:tc>
          <w:tcPr>
            <w:tcW w:w="4388" w:type="dxa"/>
            <w:gridSpan w:val="2"/>
            <w:vAlign w:val="center"/>
            <w:hideMark/>
          </w:tcPr>
          <w:p w14:paraId="1B57BEB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correction factor applied to HS2 TV (DIN: 0.6*7.55; DIP: 0.7*0.64; Chl a: 0.5*2.37). Reasoning: DIN: Kattegat is close to boundary of model domain and conditions are strongly influenced by imposed boundary conditions. HELCOM TARGREV (data driven) suggests 4.1 µM. SE regulations propose 3.5 in the south and 5.6 µM in the North. A factor of 0.6 takes us closer to these. Also ensures reasonable coastal - offshore gradients considering the WFD. Unlikely that either Kattegat coastal or deep are in good status for DIN at present. DIP: TARGREV proposed 0,49 µM. Current SE regulations use 0.6 µM (value from 1990s). Given the large scale anoxia and resultant high P concentrations in Baltic outflows it seems unlikely that we have good status for P here. Proposed factor gives plausible gradients to coastal waters and is close to TARGREV value. Chl a: We note boundary issues with EMO modelling in the Kattegat + concerns about the light climate modelling concentrating algal production to the near surface, which likely results in an overestimate of chlorophyll concentrations. TARGREV proposed 1.22 µg/l threshold in the Kattegat. SE regulations suggest 1.5 µg/l. The proposed factors adjust the thresholds to this zone. It ensures plausible gradients to WFD areas and thresholds. Ref: HASEC 22/10/03 Add.2-Rev.2.  Awaiting confirmation from Sweden regarding TN, TP and Secchi values. </w:t>
            </w:r>
          </w:p>
        </w:tc>
      </w:tr>
      <w:tr w:rsidR="004B45E5" w:rsidRPr="005C1498" w14:paraId="7B46E4D3" w14:textId="77777777" w:rsidTr="00A64E33">
        <w:trPr>
          <w:trHeight w:val="20"/>
          <w:tblHeader/>
        </w:trPr>
        <w:tc>
          <w:tcPr>
            <w:tcW w:w="788" w:type="dxa"/>
            <w:noWrap/>
            <w:vAlign w:val="center"/>
            <w:hideMark/>
          </w:tcPr>
          <w:p w14:paraId="7E2034B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33</w:t>
            </w:r>
          </w:p>
        </w:tc>
        <w:tc>
          <w:tcPr>
            <w:tcW w:w="985" w:type="dxa"/>
            <w:noWrap/>
            <w:vAlign w:val="center"/>
            <w:hideMark/>
          </w:tcPr>
          <w:p w14:paraId="3492E01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KD</w:t>
            </w:r>
          </w:p>
        </w:tc>
        <w:tc>
          <w:tcPr>
            <w:tcW w:w="1199" w:type="dxa"/>
            <w:noWrap/>
            <w:vAlign w:val="center"/>
            <w:hideMark/>
          </w:tcPr>
          <w:p w14:paraId="01AABDA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Kattegat Deep</w:t>
            </w:r>
          </w:p>
        </w:tc>
        <w:tc>
          <w:tcPr>
            <w:tcW w:w="992" w:type="dxa"/>
            <w:noWrap/>
            <w:vAlign w:val="center"/>
            <w:hideMark/>
          </w:tcPr>
          <w:p w14:paraId="0E39679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DK, SE</w:t>
            </w:r>
          </w:p>
        </w:tc>
        <w:tc>
          <w:tcPr>
            <w:tcW w:w="851" w:type="dxa"/>
            <w:gridSpan w:val="2"/>
            <w:noWrap/>
            <w:vAlign w:val="center"/>
            <w:hideMark/>
          </w:tcPr>
          <w:p w14:paraId="4B48A643"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4</w:t>
            </w:r>
          </w:p>
        </w:tc>
        <w:tc>
          <w:tcPr>
            <w:tcW w:w="851" w:type="dxa"/>
            <w:noWrap/>
            <w:vAlign w:val="center"/>
            <w:hideMark/>
          </w:tcPr>
          <w:p w14:paraId="3D1F39F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0.48</w:t>
            </w:r>
          </w:p>
        </w:tc>
        <w:tc>
          <w:tcPr>
            <w:tcW w:w="709" w:type="dxa"/>
            <w:noWrap/>
            <w:vAlign w:val="center"/>
            <w:hideMark/>
          </w:tcPr>
          <w:p w14:paraId="71FFD2E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14.4</w:t>
            </w:r>
          </w:p>
        </w:tc>
        <w:tc>
          <w:tcPr>
            <w:tcW w:w="709" w:type="dxa"/>
            <w:noWrap/>
            <w:vAlign w:val="center"/>
            <w:hideMark/>
          </w:tcPr>
          <w:p w14:paraId="7E4BED9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0.78</w:t>
            </w:r>
          </w:p>
        </w:tc>
        <w:tc>
          <w:tcPr>
            <w:tcW w:w="1134" w:type="dxa"/>
            <w:gridSpan w:val="2"/>
            <w:noWrap/>
            <w:vAlign w:val="center"/>
            <w:hideMark/>
          </w:tcPr>
          <w:p w14:paraId="41E7BBA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1.4</w:t>
            </w:r>
          </w:p>
        </w:tc>
        <w:tc>
          <w:tcPr>
            <w:tcW w:w="992" w:type="dxa"/>
            <w:gridSpan w:val="2"/>
            <w:noWrap/>
            <w:vAlign w:val="center"/>
            <w:hideMark/>
          </w:tcPr>
          <w:p w14:paraId="72172692"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w:t>
            </w:r>
          </w:p>
        </w:tc>
        <w:tc>
          <w:tcPr>
            <w:tcW w:w="714" w:type="dxa"/>
            <w:noWrap/>
            <w:vAlign w:val="center"/>
            <w:hideMark/>
          </w:tcPr>
          <w:p w14:paraId="7D2FA99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w:t>
            </w:r>
          </w:p>
        </w:tc>
        <w:tc>
          <w:tcPr>
            <w:tcW w:w="4388" w:type="dxa"/>
            <w:gridSpan w:val="2"/>
            <w:vAlign w:val="center"/>
            <w:hideMark/>
          </w:tcPr>
          <w:p w14:paraId="288B18E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0.6*6.64; DIP: 0.7*0.69; Chl a: 0.5*2.76). Reasoning: DIN: Note that Kattegat is close to boundary of the model domain and conditions are strongly influenced by imposed boundary conditions. HELCOM TARGREV (data driven) suggests 4.1 µM. SE regulations propose 3.5 in the south and 5.6 µM in the North.  A factor of 0.6 takes us closer to these. Also ensures reasonable coastal - offshore gradients considering the WFD. Unlikely that either Kattegat coastal or deep are in good status for DIN at present. DIP: TARGREV proposed 0,49 µM. Current SE regulations use 0.6 µM (value from 1990s). Given the large-scale anoxia and resultant high P concentrations in Baltic outflows it seems unlikely that we have good status for P here). Proposed factor gives plausible gradients to coastal waters and is close to TARGREV value. Chl a: to prevent EQR values &gt;1 (better than reference conditions) which appears particularly unlikely in the Kattegat, where hypoxia regularly occurs. Factor arrives at the same level as HELCOM target values. Ref: HASEC 22/10/03 Add.2-Rev.2. Awaiting confirmation from Sweden regarding TN, TP and Secchi values.</w:t>
            </w:r>
          </w:p>
        </w:tc>
      </w:tr>
      <w:tr w:rsidR="004B45E5" w:rsidRPr="005C1498" w14:paraId="04C37DE5" w14:textId="77777777" w:rsidTr="00A64E33">
        <w:trPr>
          <w:trHeight w:val="20"/>
          <w:tblHeader/>
        </w:trPr>
        <w:tc>
          <w:tcPr>
            <w:tcW w:w="788" w:type="dxa"/>
            <w:noWrap/>
            <w:vAlign w:val="center"/>
            <w:hideMark/>
          </w:tcPr>
          <w:p w14:paraId="69C5787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34</w:t>
            </w:r>
          </w:p>
        </w:tc>
        <w:tc>
          <w:tcPr>
            <w:tcW w:w="985" w:type="dxa"/>
            <w:noWrap/>
            <w:vAlign w:val="center"/>
            <w:hideMark/>
          </w:tcPr>
          <w:p w14:paraId="57ABA3A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LBPM</w:t>
            </w:r>
          </w:p>
        </w:tc>
        <w:tc>
          <w:tcPr>
            <w:tcW w:w="1199" w:type="dxa"/>
            <w:noWrap/>
            <w:vAlign w:val="center"/>
            <w:hideMark/>
          </w:tcPr>
          <w:p w14:paraId="6EB32F5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Liverpool Bay plume</w:t>
            </w:r>
          </w:p>
        </w:tc>
        <w:tc>
          <w:tcPr>
            <w:tcW w:w="992" w:type="dxa"/>
            <w:noWrap/>
            <w:vAlign w:val="center"/>
            <w:hideMark/>
          </w:tcPr>
          <w:p w14:paraId="6B2CE4D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3454E9A6"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22.2</w:t>
            </w:r>
          </w:p>
        </w:tc>
        <w:tc>
          <w:tcPr>
            <w:tcW w:w="851" w:type="dxa"/>
            <w:noWrap/>
            <w:vAlign w:val="center"/>
            <w:hideMark/>
          </w:tcPr>
          <w:p w14:paraId="3894466B"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1.35</w:t>
            </w:r>
          </w:p>
        </w:tc>
        <w:tc>
          <w:tcPr>
            <w:tcW w:w="709" w:type="dxa"/>
            <w:noWrap/>
            <w:vAlign w:val="center"/>
            <w:hideMark/>
          </w:tcPr>
          <w:p w14:paraId="2B5E4ACB"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5B681201"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42879C6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9.0</w:t>
            </w:r>
          </w:p>
        </w:tc>
        <w:tc>
          <w:tcPr>
            <w:tcW w:w="992" w:type="dxa"/>
            <w:gridSpan w:val="2"/>
            <w:noWrap/>
            <w:vAlign w:val="center"/>
            <w:hideMark/>
          </w:tcPr>
          <w:p w14:paraId="67883F2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0EAF721"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0117AFE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correction factor based on relative method. The UK broadly accepts the thresholds from the weighted ensemble modelling as they have a scientific evidence base . This evidence base stems from the agreed assumption of setting the best /high condition as yeaar 1900. The nutrient reduction scenarios as defined by the e-hype project . The ensemble modelling used the best avialable modelling which then produced estimates of the best condition.  There are a few specific regions, the plume areas, where the weighted modelling work produces very different estimates from the relative method.  Furthermore, for the Thames, Humber and Liverpool  Bay regions the relative method produce thresholds which are more consistent with similar type environments, along the Netherlands and German coasts. In these regions the relative method is used. In all other regions the weighted ensemble method is accepted. For the UK there is no distinction between the HS1 or HS2 scenarios, therefore which ever has the greatest scientific evidence should be used. The use of 50% as a suitable anthropogenic impact (AD),  is accepted on the basis of reaching consensus with contracting parties. The UK would like to see more discussion and implementation of a process that calculates AD based on the natural variability from in-situ and modelled data. </w:t>
            </w:r>
          </w:p>
        </w:tc>
      </w:tr>
      <w:tr w:rsidR="004B45E5" w:rsidRPr="005C1498" w14:paraId="075AE232" w14:textId="77777777" w:rsidTr="00A64E33">
        <w:trPr>
          <w:trHeight w:val="20"/>
          <w:tblHeader/>
        </w:trPr>
        <w:tc>
          <w:tcPr>
            <w:tcW w:w="788" w:type="dxa"/>
            <w:noWrap/>
            <w:vAlign w:val="center"/>
            <w:hideMark/>
          </w:tcPr>
          <w:p w14:paraId="5AC1794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35</w:t>
            </w:r>
          </w:p>
        </w:tc>
        <w:tc>
          <w:tcPr>
            <w:tcW w:w="985" w:type="dxa"/>
            <w:noWrap/>
            <w:vAlign w:val="center"/>
            <w:hideMark/>
          </w:tcPr>
          <w:p w14:paraId="4B56A23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LPM</w:t>
            </w:r>
          </w:p>
        </w:tc>
        <w:tc>
          <w:tcPr>
            <w:tcW w:w="1199" w:type="dxa"/>
            <w:noWrap/>
            <w:vAlign w:val="center"/>
            <w:hideMark/>
          </w:tcPr>
          <w:p w14:paraId="559B125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Loire plume</w:t>
            </w:r>
          </w:p>
        </w:tc>
        <w:tc>
          <w:tcPr>
            <w:tcW w:w="992" w:type="dxa"/>
            <w:noWrap/>
            <w:vAlign w:val="center"/>
            <w:hideMark/>
          </w:tcPr>
          <w:p w14:paraId="391C84E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w:t>
            </w:r>
          </w:p>
        </w:tc>
        <w:tc>
          <w:tcPr>
            <w:tcW w:w="851" w:type="dxa"/>
            <w:gridSpan w:val="2"/>
            <w:noWrap/>
            <w:vAlign w:val="center"/>
            <w:hideMark/>
          </w:tcPr>
          <w:p w14:paraId="16245DB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19.3</w:t>
            </w:r>
          </w:p>
        </w:tc>
        <w:tc>
          <w:tcPr>
            <w:tcW w:w="851" w:type="dxa"/>
            <w:noWrap/>
            <w:vAlign w:val="center"/>
            <w:hideMark/>
          </w:tcPr>
          <w:p w14:paraId="0C2B818F"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0.79</w:t>
            </w:r>
          </w:p>
        </w:tc>
        <w:tc>
          <w:tcPr>
            <w:tcW w:w="709" w:type="dxa"/>
            <w:noWrap/>
            <w:vAlign w:val="center"/>
            <w:hideMark/>
          </w:tcPr>
          <w:p w14:paraId="7C160324"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383851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1796D8A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3.3</w:t>
            </w:r>
          </w:p>
        </w:tc>
        <w:tc>
          <w:tcPr>
            <w:tcW w:w="992" w:type="dxa"/>
            <w:gridSpan w:val="2"/>
            <w:noWrap/>
            <w:vAlign w:val="center"/>
            <w:hideMark/>
          </w:tcPr>
          <w:p w14:paraId="1101F87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13A52AB2"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4263BD1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3F6EC0BF" w14:textId="77777777" w:rsidTr="00A64E33">
        <w:trPr>
          <w:trHeight w:val="20"/>
          <w:tblHeader/>
        </w:trPr>
        <w:tc>
          <w:tcPr>
            <w:tcW w:w="788" w:type="dxa"/>
            <w:noWrap/>
            <w:vAlign w:val="center"/>
            <w:hideMark/>
          </w:tcPr>
          <w:p w14:paraId="74C85DB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36</w:t>
            </w:r>
          </w:p>
        </w:tc>
        <w:tc>
          <w:tcPr>
            <w:tcW w:w="985" w:type="dxa"/>
            <w:noWrap/>
            <w:vAlign w:val="center"/>
            <w:hideMark/>
          </w:tcPr>
          <w:p w14:paraId="45BFD39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MPM</w:t>
            </w:r>
          </w:p>
        </w:tc>
        <w:tc>
          <w:tcPr>
            <w:tcW w:w="1199" w:type="dxa"/>
            <w:noWrap/>
            <w:vAlign w:val="center"/>
            <w:hideMark/>
          </w:tcPr>
          <w:p w14:paraId="6B2595A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Meuse plume</w:t>
            </w:r>
          </w:p>
        </w:tc>
        <w:tc>
          <w:tcPr>
            <w:tcW w:w="992" w:type="dxa"/>
            <w:noWrap/>
            <w:vAlign w:val="center"/>
            <w:hideMark/>
          </w:tcPr>
          <w:p w14:paraId="1BEC332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NL</w:t>
            </w:r>
          </w:p>
        </w:tc>
        <w:tc>
          <w:tcPr>
            <w:tcW w:w="851" w:type="dxa"/>
            <w:gridSpan w:val="2"/>
            <w:noWrap/>
            <w:vAlign w:val="center"/>
            <w:hideMark/>
          </w:tcPr>
          <w:p w14:paraId="4F72BA87"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40.7</w:t>
            </w:r>
          </w:p>
        </w:tc>
        <w:tc>
          <w:tcPr>
            <w:tcW w:w="851" w:type="dxa"/>
            <w:noWrap/>
            <w:vAlign w:val="center"/>
            <w:hideMark/>
          </w:tcPr>
          <w:p w14:paraId="7F6AADB2"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1.35</w:t>
            </w:r>
          </w:p>
        </w:tc>
        <w:tc>
          <w:tcPr>
            <w:tcW w:w="709" w:type="dxa"/>
            <w:noWrap/>
            <w:vAlign w:val="center"/>
            <w:hideMark/>
          </w:tcPr>
          <w:p w14:paraId="3A969201"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3D6C1272"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60C7055"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8.0</w:t>
            </w:r>
          </w:p>
        </w:tc>
        <w:tc>
          <w:tcPr>
            <w:tcW w:w="992" w:type="dxa"/>
            <w:gridSpan w:val="2"/>
            <w:noWrap/>
            <w:vAlign w:val="center"/>
            <w:hideMark/>
          </w:tcPr>
          <w:p w14:paraId="563E73A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4E884FF"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742F99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ICG-EMO HS1 thresholds. HS2 DIP reference values too low, comparable to pristine state rather than concentrations around 1900. Ref: ICG-Eut 21/5/2 Add.5 </w:t>
            </w:r>
          </w:p>
        </w:tc>
      </w:tr>
      <w:tr w:rsidR="004B45E5" w:rsidRPr="005C1498" w14:paraId="78B20922" w14:textId="77777777" w:rsidTr="00A64E33">
        <w:trPr>
          <w:trHeight w:val="20"/>
          <w:tblHeader/>
        </w:trPr>
        <w:tc>
          <w:tcPr>
            <w:tcW w:w="788" w:type="dxa"/>
            <w:noWrap/>
            <w:vAlign w:val="center"/>
            <w:hideMark/>
          </w:tcPr>
          <w:p w14:paraId="16E5288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37</w:t>
            </w:r>
          </w:p>
        </w:tc>
        <w:tc>
          <w:tcPr>
            <w:tcW w:w="985" w:type="dxa"/>
            <w:noWrap/>
            <w:vAlign w:val="center"/>
            <w:hideMark/>
          </w:tcPr>
          <w:p w14:paraId="7050349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NAAC1A</w:t>
            </w:r>
          </w:p>
        </w:tc>
        <w:tc>
          <w:tcPr>
            <w:tcW w:w="1199" w:type="dxa"/>
            <w:noWrap/>
            <w:vAlign w:val="center"/>
            <w:hideMark/>
          </w:tcPr>
          <w:p w14:paraId="4FFE0FC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NOR-NorC1(D5)A</w:t>
            </w:r>
          </w:p>
        </w:tc>
        <w:tc>
          <w:tcPr>
            <w:tcW w:w="992" w:type="dxa"/>
            <w:noWrap/>
            <w:vAlign w:val="center"/>
            <w:hideMark/>
          </w:tcPr>
          <w:p w14:paraId="60B0CCA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79A8818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22.0</w:t>
            </w:r>
          </w:p>
        </w:tc>
        <w:tc>
          <w:tcPr>
            <w:tcW w:w="851" w:type="dxa"/>
            <w:noWrap/>
            <w:vAlign w:val="center"/>
            <w:hideMark/>
          </w:tcPr>
          <w:p w14:paraId="507D135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1.00</w:t>
            </w:r>
          </w:p>
        </w:tc>
        <w:tc>
          <w:tcPr>
            <w:tcW w:w="709" w:type="dxa"/>
            <w:noWrap/>
            <w:vAlign w:val="center"/>
            <w:hideMark/>
          </w:tcPr>
          <w:p w14:paraId="695BFCF2"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0903B1ED"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6DCD74B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13.5</w:t>
            </w:r>
          </w:p>
        </w:tc>
        <w:tc>
          <w:tcPr>
            <w:tcW w:w="992" w:type="dxa"/>
            <w:gridSpan w:val="2"/>
            <w:noWrap/>
            <w:vAlign w:val="center"/>
            <w:hideMark/>
          </w:tcPr>
          <w:p w14:paraId="7E02687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D6F7A9F"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8BFFF4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7713E59B" w14:textId="77777777" w:rsidTr="00A64E33">
        <w:trPr>
          <w:trHeight w:val="20"/>
          <w:tblHeader/>
        </w:trPr>
        <w:tc>
          <w:tcPr>
            <w:tcW w:w="788" w:type="dxa"/>
            <w:noWrap/>
            <w:vAlign w:val="center"/>
            <w:hideMark/>
          </w:tcPr>
          <w:p w14:paraId="6115476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38</w:t>
            </w:r>
          </w:p>
        </w:tc>
        <w:tc>
          <w:tcPr>
            <w:tcW w:w="985" w:type="dxa"/>
            <w:noWrap/>
            <w:vAlign w:val="center"/>
            <w:hideMark/>
          </w:tcPr>
          <w:p w14:paraId="0860089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NAAC1B</w:t>
            </w:r>
          </w:p>
        </w:tc>
        <w:tc>
          <w:tcPr>
            <w:tcW w:w="1199" w:type="dxa"/>
            <w:noWrap/>
            <w:vAlign w:val="center"/>
            <w:hideMark/>
          </w:tcPr>
          <w:p w14:paraId="6737479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NOR-NorC1(D5)B</w:t>
            </w:r>
          </w:p>
        </w:tc>
        <w:tc>
          <w:tcPr>
            <w:tcW w:w="992" w:type="dxa"/>
            <w:noWrap/>
            <w:vAlign w:val="center"/>
            <w:hideMark/>
          </w:tcPr>
          <w:p w14:paraId="4EC2AD3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1D7D1C9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22.0</w:t>
            </w:r>
          </w:p>
        </w:tc>
        <w:tc>
          <w:tcPr>
            <w:tcW w:w="851" w:type="dxa"/>
            <w:noWrap/>
            <w:vAlign w:val="center"/>
            <w:hideMark/>
          </w:tcPr>
          <w:p w14:paraId="63BF548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1.00</w:t>
            </w:r>
          </w:p>
        </w:tc>
        <w:tc>
          <w:tcPr>
            <w:tcW w:w="709" w:type="dxa"/>
            <w:noWrap/>
            <w:vAlign w:val="center"/>
            <w:hideMark/>
          </w:tcPr>
          <w:p w14:paraId="3E1AA04D"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1E847AF9"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B6E637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13.5</w:t>
            </w:r>
          </w:p>
        </w:tc>
        <w:tc>
          <w:tcPr>
            <w:tcW w:w="992" w:type="dxa"/>
            <w:gridSpan w:val="2"/>
            <w:noWrap/>
            <w:vAlign w:val="center"/>
            <w:hideMark/>
          </w:tcPr>
          <w:p w14:paraId="34EBCC1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50156BC"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F6955F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4703AA37" w14:textId="77777777" w:rsidTr="00A64E33">
        <w:trPr>
          <w:trHeight w:val="20"/>
          <w:tblHeader/>
        </w:trPr>
        <w:tc>
          <w:tcPr>
            <w:tcW w:w="788" w:type="dxa"/>
            <w:noWrap/>
            <w:vAlign w:val="center"/>
            <w:hideMark/>
          </w:tcPr>
          <w:p w14:paraId="515C555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39</w:t>
            </w:r>
          </w:p>
        </w:tc>
        <w:tc>
          <w:tcPr>
            <w:tcW w:w="985" w:type="dxa"/>
            <w:noWrap/>
            <w:vAlign w:val="center"/>
            <w:hideMark/>
          </w:tcPr>
          <w:p w14:paraId="5E42789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NAAC1C</w:t>
            </w:r>
          </w:p>
        </w:tc>
        <w:tc>
          <w:tcPr>
            <w:tcW w:w="1199" w:type="dxa"/>
            <w:noWrap/>
            <w:vAlign w:val="center"/>
            <w:hideMark/>
          </w:tcPr>
          <w:p w14:paraId="371A1DF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NOR-NorC1(D5)C</w:t>
            </w:r>
          </w:p>
        </w:tc>
        <w:tc>
          <w:tcPr>
            <w:tcW w:w="992" w:type="dxa"/>
            <w:noWrap/>
            <w:vAlign w:val="center"/>
            <w:hideMark/>
          </w:tcPr>
          <w:p w14:paraId="7FFC5B0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0F3D14A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22.0</w:t>
            </w:r>
          </w:p>
        </w:tc>
        <w:tc>
          <w:tcPr>
            <w:tcW w:w="851" w:type="dxa"/>
            <w:noWrap/>
            <w:vAlign w:val="center"/>
            <w:hideMark/>
          </w:tcPr>
          <w:p w14:paraId="354D2C5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1.00</w:t>
            </w:r>
          </w:p>
        </w:tc>
        <w:tc>
          <w:tcPr>
            <w:tcW w:w="709" w:type="dxa"/>
            <w:noWrap/>
            <w:vAlign w:val="center"/>
            <w:hideMark/>
          </w:tcPr>
          <w:p w14:paraId="6CAB0D39"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9273B11"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111E2A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13.5</w:t>
            </w:r>
          </w:p>
        </w:tc>
        <w:tc>
          <w:tcPr>
            <w:tcW w:w="992" w:type="dxa"/>
            <w:gridSpan w:val="2"/>
            <w:noWrap/>
            <w:vAlign w:val="center"/>
            <w:hideMark/>
          </w:tcPr>
          <w:p w14:paraId="5630F4A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F26E910"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02C7D35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3C39294C" w14:textId="77777777" w:rsidTr="00A64E33">
        <w:trPr>
          <w:trHeight w:val="20"/>
          <w:tblHeader/>
        </w:trPr>
        <w:tc>
          <w:tcPr>
            <w:tcW w:w="788" w:type="dxa"/>
            <w:noWrap/>
            <w:vAlign w:val="center"/>
            <w:hideMark/>
          </w:tcPr>
          <w:p w14:paraId="72A5D24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40</w:t>
            </w:r>
          </w:p>
        </w:tc>
        <w:tc>
          <w:tcPr>
            <w:tcW w:w="985" w:type="dxa"/>
            <w:noWrap/>
            <w:vAlign w:val="center"/>
            <w:hideMark/>
          </w:tcPr>
          <w:p w14:paraId="5E7FE30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NAAC1D</w:t>
            </w:r>
          </w:p>
        </w:tc>
        <w:tc>
          <w:tcPr>
            <w:tcW w:w="1199" w:type="dxa"/>
            <w:noWrap/>
            <w:vAlign w:val="center"/>
            <w:hideMark/>
          </w:tcPr>
          <w:p w14:paraId="6B354E1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NOR-NorC1(D5)D</w:t>
            </w:r>
          </w:p>
        </w:tc>
        <w:tc>
          <w:tcPr>
            <w:tcW w:w="992" w:type="dxa"/>
            <w:noWrap/>
            <w:vAlign w:val="center"/>
            <w:hideMark/>
          </w:tcPr>
          <w:p w14:paraId="7701E4A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1EADD74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22.0</w:t>
            </w:r>
          </w:p>
        </w:tc>
        <w:tc>
          <w:tcPr>
            <w:tcW w:w="851" w:type="dxa"/>
            <w:noWrap/>
            <w:vAlign w:val="center"/>
            <w:hideMark/>
          </w:tcPr>
          <w:p w14:paraId="0E2874F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1.00</w:t>
            </w:r>
          </w:p>
        </w:tc>
        <w:tc>
          <w:tcPr>
            <w:tcW w:w="709" w:type="dxa"/>
            <w:noWrap/>
            <w:vAlign w:val="center"/>
            <w:hideMark/>
          </w:tcPr>
          <w:p w14:paraId="411C0E15"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6C551A1C"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17D7A640"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13.5</w:t>
            </w:r>
          </w:p>
        </w:tc>
        <w:tc>
          <w:tcPr>
            <w:tcW w:w="992" w:type="dxa"/>
            <w:gridSpan w:val="2"/>
            <w:noWrap/>
            <w:vAlign w:val="center"/>
            <w:hideMark/>
          </w:tcPr>
          <w:p w14:paraId="4711A55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0AFFD385"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362468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3B152207" w14:textId="77777777" w:rsidTr="00A64E33">
        <w:trPr>
          <w:trHeight w:val="20"/>
          <w:tblHeader/>
        </w:trPr>
        <w:tc>
          <w:tcPr>
            <w:tcW w:w="788" w:type="dxa"/>
            <w:noWrap/>
            <w:vAlign w:val="center"/>
            <w:hideMark/>
          </w:tcPr>
          <w:p w14:paraId="77F22A8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41</w:t>
            </w:r>
          </w:p>
        </w:tc>
        <w:tc>
          <w:tcPr>
            <w:tcW w:w="985" w:type="dxa"/>
            <w:noWrap/>
            <w:vAlign w:val="center"/>
            <w:hideMark/>
          </w:tcPr>
          <w:p w14:paraId="2056D97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NAAC2</w:t>
            </w:r>
          </w:p>
        </w:tc>
        <w:tc>
          <w:tcPr>
            <w:tcW w:w="1199" w:type="dxa"/>
            <w:noWrap/>
            <w:vAlign w:val="center"/>
            <w:hideMark/>
          </w:tcPr>
          <w:p w14:paraId="3EE22C8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NOR-NorC2(D5)</w:t>
            </w:r>
          </w:p>
        </w:tc>
        <w:tc>
          <w:tcPr>
            <w:tcW w:w="992" w:type="dxa"/>
            <w:noWrap/>
            <w:vAlign w:val="center"/>
            <w:hideMark/>
          </w:tcPr>
          <w:p w14:paraId="05D2557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7126633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15.5</w:t>
            </w:r>
          </w:p>
        </w:tc>
        <w:tc>
          <w:tcPr>
            <w:tcW w:w="851" w:type="dxa"/>
            <w:noWrap/>
            <w:vAlign w:val="center"/>
            <w:hideMark/>
          </w:tcPr>
          <w:p w14:paraId="68B927C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0.97</w:t>
            </w:r>
          </w:p>
        </w:tc>
        <w:tc>
          <w:tcPr>
            <w:tcW w:w="709" w:type="dxa"/>
            <w:noWrap/>
            <w:vAlign w:val="center"/>
            <w:hideMark/>
          </w:tcPr>
          <w:p w14:paraId="223794E6"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957F759"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4EB8E93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992" w:type="dxa"/>
            <w:gridSpan w:val="2"/>
            <w:noWrap/>
            <w:vAlign w:val="center"/>
            <w:hideMark/>
          </w:tcPr>
          <w:p w14:paraId="26D80C0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4951ED43"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67080E2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3F2F66E3" w14:textId="77777777" w:rsidTr="00A64E33">
        <w:trPr>
          <w:trHeight w:val="20"/>
          <w:tblHeader/>
        </w:trPr>
        <w:tc>
          <w:tcPr>
            <w:tcW w:w="788" w:type="dxa"/>
            <w:noWrap/>
            <w:vAlign w:val="center"/>
            <w:hideMark/>
          </w:tcPr>
          <w:p w14:paraId="34C7312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42</w:t>
            </w:r>
          </w:p>
        </w:tc>
        <w:tc>
          <w:tcPr>
            <w:tcW w:w="985" w:type="dxa"/>
            <w:noWrap/>
            <w:vAlign w:val="center"/>
            <w:hideMark/>
          </w:tcPr>
          <w:p w14:paraId="58B63B8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NAAC3</w:t>
            </w:r>
          </w:p>
        </w:tc>
        <w:tc>
          <w:tcPr>
            <w:tcW w:w="1199" w:type="dxa"/>
            <w:noWrap/>
            <w:vAlign w:val="center"/>
            <w:hideMark/>
          </w:tcPr>
          <w:p w14:paraId="62167C0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NOR-NorC3(D5)</w:t>
            </w:r>
          </w:p>
        </w:tc>
        <w:tc>
          <w:tcPr>
            <w:tcW w:w="992" w:type="dxa"/>
            <w:noWrap/>
            <w:vAlign w:val="center"/>
            <w:hideMark/>
          </w:tcPr>
          <w:p w14:paraId="13A0745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0D9C84C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15.5</w:t>
            </w:r>
          </w:p>
        </w:tc>
        <w:tc>
          <w:tcPr>
            <w:tcW w:w="851" w:type="dxa"/>
            <w:noWrap/>
            <w:vAlign w:val="center"/>
            <w:hideMark/>
          </w:tcPr>
          <w:p w14:paraId="489F79B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0.97</w:t>
            </w:r>
          </w:p>
        </w:tc>
        <w:tc>
          <w:tcPr>
            <w:tcW w:w="709" w:type="dxa"/>
            <w:noWrap/>
            <w:vAlign w:val="center"/>
            <w:hideMark/>
          </w:tcPr>
          <w:p w14:paraId="290D9276"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08B8940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C14B91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12.0</w:t>
            </w:r>
          </w:p>
        </w:tc>
        <w:tc>
          <w:tcPr>
            <w:tcW w:w="992" w:type="dxa"/>
            <w:gridSpan w:val="2"/>
            <w:noWrap/>
            <w:vAlign w:val="center"/>
            <w:hideMark/>
          </w:tcPr>
          <w:p w14:paraId="320DD00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6F224C9"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27A0C1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433DBBD7" w14:textId="77777777" w:rsidTr="00A64E33">
        <w:trPr>
          <w:trHeight w:val="20"/>
          <w:tblHeader/>
        </w:trPr>
        <w:tc>
          <w:tcPr>
            <w:tcW w:w="788" w:type="dxa"/>
            <w:noWrap/>
            <w:vAlign w:val="center"/>
            <w:hideMark/>
          </w:tcPr>
          <w:p w14:paraId="188AEEB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43</w:t>
            </w:r>
          </w:p>
        </w:tc>
        <w:tc>
          <w:tcPr>
            <w:tcW w:w="985" w:type="dxa"/>
            <w:noWrap/>
            <w:vAlign w:val="center"/>
            <w:hideMark/>
          </w:tcPr>
          <w:p w14:paraId="24F439D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NAAO1</w:t>
            </w:r>
          </w:p>
        </w:tc>
        <w:tc>
          <w:tcPr>
            <w:tcW w:w="1199" w:type="dxa"/>
            <w:noWrap/>
            <w:vAlign w:val="center"/>
            <w:hideMark/>
          </w:tcPr>
          <w:p w14:paraId="485CE89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NOR-NorO1(D5)</w:t>
            </w:r>
          </w:p>
        </w:tc>
        <w:tc>
          <w:tcPr>
            <w:tcW w:w="992" w:type="dxa"/>
            <w:noWrap/>
            <w:vAlign w:val="center"/>
            <w:hideMark/>
          </w:tcPr>
          <w:p w14:paraId="2F54CF9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63AD882F"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9.4</w:t>
            </w:r>
          </w:p>
        </w:tc>
        <w:tc>
          <w:tcPr>
            <w:tcW w:w="851" w:type="dxa"/>
            <w:noWrap/>
            <w:vAlign w:val="center"/>
            <w:hideMark/>
          </w:tcPr>
          <w:p w14:paraId="134E5E3A"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408180CE" w14:textId="77777777" w:rsidR="004B45E5" w:rsidRPr="005C1498" w:rsidRDefault="004B45E5" w:rsidP="00A64E33">
            <w:pPr>
              <w:spacing w:before="0" w:after="0"/>
              <w:rPr>
                <w:sz w:val="18"/>
                <w:szCs w:val="18"/>
                <w:lang w:eastAsia="en-GB"/>
              </w:rPr>
            </w:pPr>
          </w:p>
        </w:tc>
        <w:tc>
          <w:tcPr>
            <w:tcW w:w="709" w:type="dxa"/>
            <w:noWrap/>
            <w:vAlign w:val="center"/>
            <w:hideMark/>
          </w:tcPr>
          <w:p w14:paraId="43373F58"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985EB0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6.0</w:t>
            </w:r>
          </w:p>
        </w:tc>
        <w:tc>
          <w:tcPr>
            <w:tcW w:w="992" w:type="dxa"/>
            <w:gridSpan w:val="2"/>
            <w:noWrap/>
            <w:vAlign w:val="center"/>
            <w:hideMark/>
          </w:tcPr>
          <w:p w14:paraId="619595F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42A76107"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A420EC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1F85C712" w14:textId="77777777" w:rsidTr="00A64E33">
        <w:trPr>
          <w:trHeight w:val="20"/>
          <w:tblHeader/>
        </w:trPr>
        <w:tc>
          <w:tcPr>
            <w:tcW w:w="788" w:type="dxa"/>
            <w:noWrap/>
            <w:vAlign w:val="center"/>
            <w:hideMark/>
          </w:tcPr>
          <w:p w14:paraId="325BEEE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44</w:t>
            </w:r>
          </w:p>
        </w:tc>
        <w:tc>
          <w:tcPr>
            <w:tcW w:w="985" w:type="dxa"/>
            <w:noWrap/>
            <w:vAlign w:val="center"/>
            <w:hideMark/>
          </w:tcPr>
          <w:p w14:paraId="0BE854C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NAAP2</w:t>
            </w:r>
          </w:p>
        </w:tc>
        <w:tc>
          <w:tcPr>
            <w:tcW w:w="1199" w:type="dxa"/>
            <w:noWrap/>
            <w:vAlign w:val="center"/>
            <w:hideMark/>
          </w:tcPr>
          <w:p w14:paraId="6B08453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NOR-NorP2(D5)</w:t>
            </w:r>
          </w:p>
        </w:tc>
        <w:tc>
          <w:tcPr>
            <w:tcW w:w="992" w:type="dxa"/>
            <w:noWrap/>
            <w:vAlign w:val="center"/>
            <w:hideMark/>
          </w:tcPr>
          <w:p w14:paraId="3754CF76" w14:textId="77777777" w:rsidR="004B45E5" w:rsidRPr="005C1498" w:rsidRDefault="004B45E5" w:rsidP="00A64E33">
            <w:pPr>
              <w:spacing w:before="0" w:after="0"/>
              <w:rPr>
                <w:rFonts w:cs="Calibri"/>
                <w:sz w:val="18"/>
                <w:szCs w:val="18"/>
                <w:lang w:eastAsia="en-GB"/>
              </w:rPr>
            </w:pPr>
            <w:r w:rsidRPr="005C1498">
              <w:rPr>
                <w:rFonts w:cs="Calibri"/>
                <w:sz w:val="18"/>
                <w:szCs w:val="18"/>
                <w:lang w:eastAsia="en-GB"/>
              </w:rPr>
              <w:t>ES</w:t>
            </w:r>
          </w:p>
        </w:tc>
        <w:tc>
          <w:tcPr>
            <w:tcW w:w="851" w:type="dxa"/>
            <w:gridSpan w:val="2"/>
            <w:noWrap/>
            <w:vAlign w:val="center"/>
            <w:hideMark/>
          </w:tcPr>
          <w:p w14:paraId="4BA7B26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15.0</w:t>
            </w:r>
          </w:p>
        </w:tc>
        <w:tc>
          <w:tcPr>
            <w:tcW w:w="851" w:type="dxa"/>
            <w:noWrap/>
            <w:vAlign w:val="center"/>
            <w:hideMark/>
          </w:tcPr>
          <w:p w14:paraId="7B74707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0.70</w:t>
            </w:r>
          </w:p>
        </w:tc>
        <w:tc>
          <w:tcPr>
            <w:tcW w:w="709" w:type="dxa"/>
            <w:noWrap/>
            <w:vAlign w:val="center"/>
            <w:hideMark/>
          </w:tcPr>
          <w:p w14:paraId="3D0B448C"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74517510"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404EE9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7.7</w:t>
            </w:r>
          </w:p>
        </w:tc>
        <w:tc>
          <w:tcPr>
            <w:tcW w:w="992" w:type="dxa"/>
            <w:gridSpan w:val="2"/>
            <w:noWrap/>
            <w:vAlign w:val="center"/>
            <w:hideMark/>
          </w:tcPr>
          <w:p w14:paraId="7C41A90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DFFAA0B"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42B631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58C5A93B" w14:textId="77777777" w:rsidTr="00A64E33">
        <w:trPr>
          <w:trHeight w:val="20"/>
          <w:tblHeader/>
        </w:trPr>
        <w:tc>
          <w:tcPr>
            <w:tcW w:w="788" w:type="dxa"/>
            <w:noWrap/>
            <w:vAlign w:val="center"/>
            <w:hideMark/>
          </w:tcPr>
          <w:p w14:paraId="6A32C33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45</w:t>
            </w:r>
          </w:p>
        </w:tc>
        <w:tc>
          <w:tcPr>
            <w:tcW w:w="985" w:type="dxa"/>
            <w:noWrap/>
            <w:vAlign w:val="center"/>
            <w:hideMark/>
          </w:tcPr>
          <w:p w14:paraId="387838B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NAAPF</w:t>
            </w:r>
          </w:p>
        </w:tc>
        <w:tc>
          <w:tcPr>
            <w:tcW w:w="1199" w:type="dxa"/>
            <w:noWrap/>
            <w:vAlign w:val="center"/>
            <w:hideMark/>
          </w:tcPr>
          <w:p w14:paraId="7724007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Noratlantic Area NOR-Plataforma</w:t>
            </w:r>
          </w:p>
        </w:tc>
        <w:tc>
          <w:tcPr>
            <w:tcW w:w="992" w:type="dxa"/>
            <w:noWrap/>
            <w:vAlign w:val="center"/>
            <w:hideMark/>
          </w:tcPr>
          <w:p w14:paraId="3B31F1F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061BDDB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9.4</w:t>
            </w:r>
          </w:p>
        </w:tc>
        <w:tc>
          <w:tcPr>
            <w:tcW w:w="851" w:type="dxa"/>
            <w:noWrap/>
            <w:vAlign w:val="center"/>
            <w:hideMark/>
          </w:tcPr>
          <w:p w14:paraId="761527D7"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24A66110" w14:textId="77777777" w:rsidR="004B45E5" w:rsidRPr="005C1498" w:rsidRDefault="004B45E5" w:rsidP="00A64E33">
            <w:pPr>
              <w:spacing w:before="0" w:after="0"/>
              <w:rPr>
                <w:sz w:val="18"/>
                <w:szCs w:val="18"/>
                <w:lang w:eastAsia="en-GB"/>
              </w:rPr>
            </w:pPr>
          </w:p>
        </w:tc>
        <w:tc>
          <w:tcPr>
            <w:tcW w:w="709" w:type="dxa"/>
            <w:noWrap/>
            <w:vAlign w:val="center"/>
            <w:hideMark/>
          </w:tcPr>
          <w:p w14:paraId="1DE66354"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A7D500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6.0</w:t>
            </w:r>
          </w:p>
        </w:tc>
        <w:tc>
          <w:tcPr>
            <w:tcW w:w="992" w:type="dxa"/>
            <w:gridSpan w:val="2"/>
            <w:noWrap/>
            <w:vAlign w:val="center"/>
            <w:hideMark/>
          </w:tcPr>
          <w:p w14:paraId="2474E7F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3F33E5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5AAE95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62CEE8D3" w14:textId="77777777" w:rsidTr="00A64E33">
        <w:trPr>
          <w:trHeight w:val="20"/>
          <w:tblHeader/>
        </w:trPr>
        <w:tc>
          <w:tcPr>
            <w:tcW w:w="788" w:type="dxa"/>
            <w:noWrap/>
            <w:vAlign w:val="center"/>
            <w:hideMark/>
          </w:tcPr>
          <w:p w14:paraId="31FA305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46</w:t>
            </w:r>
          </w:p>
        </w:tc>
        <w:tc>
          <w:tcPr>
            <w:tcW w:w="985" w:type="dxa"/>
            <w:noWrap/>
            <w:vAlign w:val="center"/>
            <w:hideMark/>
          </w:tcPr>
          <w:p w14:paraId="661DA01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NNS</w:t>
            </w:r>
          </w:p>
        </w:tc>
        <w:tc>
          <w:tcPr>
            <w:tcW w:w="1199" w:type="dxa"/>
            <w:noWrap/>
            <w:vAlign w:val="center"/>
            <w:hideMark/>
          </w:tcPr>
          <w:p w14:paraId="1993A9C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Northern North Sea</w:t>
            </w:r>
          </w:p>
        </w:tc>
        <w:tc>
          <w:tcPr>
            <w:tcW w:w="992" w:type="dxa"/>
            <w:noWrap/>
            <w:vAlign w:val="center"/>
            <w:hideMark/>
          </w:tcPr>
          <w:p w14:paraId="50E5618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 DK, NO, DE</w:t>
            </w:r>
          </w:p>
        </w:tc>
        <w:tc>
          <w:tcPr>
            <w:tcW w:w="851" w:type="dxa"/>
            <w:gridSpan w:val="2"/>
            <w:noWrap/>
            <w:vAlign w:val="center"/>
            <w:hideMark/>
          </w:tcPr>
          <w:p w14:paraId="0ADB6C43"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10.3</w:t>
            </w:r>
          </w:p>
        </w:tc>
        <w:tc>
          <w:tcPr>
            <w:tcW w:w="851" w:type="dxa"/>
            <w:noWrap/>
            <w:vAlign w:val="center"/>
            <w:hideMark/>
          </w:tcPr>
          <w:p w14:paraId="1ED4EF41"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0.71</w:t>
            </w:r>
          </w:p>
        </w:tc>
        <w:tc>
          <w:tcPr>
            <w:tcW w:w="709" w:type="dxa"/>
            <w:noWrap/>
            <w:vAlign w:val="center"/>
            <w:hideMark/>
          </w:tcPr>
          <w:p w14:paraId="69EB4AD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w:t>
            </w:r>
          </w:p>
        </w:tc>
        <w:tc>
          <w:tcPr>
            <w:tcW w:w="709" w:type="dxa"/>
            <w:noWrap/>
            <w:vAlign w:val="center"/>
            <w:hideMark/>
          </w:tcPr>
          <w:p w14:paraId="02A2AC6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w:t>
            </w:r>
          </w:p>
        </w:tc>
        <w:tc>
          <w:tcPr>
            <w:tcW w:w="1134" w:type="dxa"/>
            <w:gridSpan w:val="2"/>
            <w:noWrap/>
            <w:vAlign w:val="center"/>
            <w:hideMark/>
          </w:tcPr>
          <w:p w14:paraId="35BC3818"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1.1</w:t>
            </w:r>
          </w:p>
        </w:tc>
        <w:tc>
          <w:tcPr>
            <w:tcW w:w="992" w:type="dxa"/>
            <w:gridSpan w:val="2"/>
            <w:noWrap/>
            <w:vAlign w:val="center"/>
            <w:hideMark/>
          </w:tcPr>
          <w:p w14:paraId="10C0BA4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w:t>
            </w:r>
          </w:p>
        </w:tc>
        <w:tc>
          <w:tcPr>
            <w:tcW w:w="714" w:type="dxa"/>
            <w:noWrap/>
            <w:vAlign w:val="center"/>
            <w:hideMark/>
          </w:tcPr>
          <w:p w14:paraId="4CB7F4B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w:t>
            </w:r>
          </w:p>
        </w:tc>
        <w:tc>
          <w:tcPr>
            <w:tcW w:w="4388" w:type="dxa"/>
            <w:gridSpan w:val="2"/>
            <w:vAlign w:val="center"/>
            <w:hideMark/>
          </w:tcPr>
          <w:p w14:paraId="4832E02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correction factor applied to HS2 TV (DIN: 0.9*10.91; DIP: 0.8*0.89; Chl a: 0.7*1.58). Reasoning: to prevent EQR values &gt;1 (better than reference conditions). Ref: HASEC 22/10/03 Add.2-Rev.2. </w:t>
            </w:r>
          </w:p>
        </w:tc>
      </w:tr>
      <w:tr w:rsidR="004B45E5" w:rsidRPr="005C1498" w14:paraId="592B0AC5" w14:textId="77777777" w:rsidTr="00A64E33">
        <w:trPr>
          <w:trHeight w:val="20"/>
          <w:tblHeader/>
        </w:trPr>
        <w:tc>
          <w:tcPr>
            <w:tcW w:w="788" w:type="dxa"/>
            <w:noWrap/>
            <w:vAlign w:val="center"/>
            <w:hideMark/>
          </w:tcPr>
          <w:p w14:paraId="3EFC9D19" w14:textId="77777777" w:rsidR="004B45E5" w:rsidRPr="005C1498" w:rsidRDefault="004B45E5" w:rsidP="00A64E33">
            <w:pPr>
              <w:spacing w:before="0" w:after="0"/>
              <w:jc w:val="right"/>
              <w:rPr>
                <w:rFonts w:cs="Calibri"/>
                <w:sz w:val="18"/>
                <w:szCs w:val="18"/>
                <w:lang w:eastAsia="en-GB"/>
              </w:rPr>
            </w:pPr>
            <w:r w:rsidRPr="005C1498">
              <w:rPr>
                <w:rFonts w:cs="Calibri"/>
                <w:sz w:val="18"/>
                <w:szCs w:val="18"/>
                <w:lang w:eastAsia="en-GB"/>
              </w:rPr>
              <w:t>47</w:t>
            </w:r>
          </w:p>
        </w:tc>
        <w:tc>
          <w:tcPr>
            <w:tcW w:w="985" w:type="dxa"/>
            <w:noWrap/>
            <w:vAlign w:val="center"/>
            <w:hideMark/>
          </w:tcPr>
          <w:p w14:paraId="7C238C7D" w14:textId="77777777" w:rsidR="004B45E5" w:rsidRPr="005C1498" w:rsidRDefault="004B45E5" w:rsidP="00A64E33">
            <w:pPr>
              <w:spacing w:before="0" w:after="0"/>
              <w:rPr>
                <w:rFonts w:cs="Calibri"/>
                <w:sz w:val="18"/>
                <w:szCs w:val="18"/>
                <w:lang w:eastAsia="en-GB"/>
              </w:rPr>
            </w:pPr>
            <w:r w:rsidRPr="005C1498">
              <w:rPr>
                <w:rFonts w:cs="Calibri"/>
                <w:sz w:val="18"/>
                <w:szCs w:val="18"/>
                <w:lang w:eastAsia="en-GB"/>
              </w:rPr>
              <w:t>NT</w:t>
            </w:r>
          </w:p>
        </w:tc>
        <w:tc>
          <w:tcPr>
            <w:tcW w:w="1199" w:type="dxa"/>
            <w:noWrap/>
            <w:vAlign w:val="center"/>
            <w:hideMark/>
          </w:tcPr>
          <w:p w14:paraId="7AD19164" w14:textId="77777777" w:rsidR="004B45E5" w:rsidRPr="005C1498" w:rsidRDefault="004B45E5" w:rsidP="00A64E33">
            <w:pPr>
              <w:spacing w:before="0" w:after="0"/>
              <w:rPr>
                <w:rFonts w:cs="Calibri"/>
                <w:sz w:val="18"/>
                <w:szCs w:val="18"/>
                <w:lang w:eastAsia="en-GB"/>
              </w:rPr>
            </w:pPr>
            <w:r w:rsidRPr="005C1498">
              <w:rPr>
                <w:rFonts w:cs="Calibri"/>
                <w:sz w:val="18"/>
                <w:szCs w:val="18"/>
                <w:lang w:eastAsia="en-GB"/>
              </w:rPr>
              <w:t>Norwegian Trench</w:t>
            </w:r>
          </w:p>
        </w:tc>
        <w:tc>
          <w:tcPr>
            <w:tcW w:w="992" w:type="dxa"/>
            <w:noWrap/>
            <w:vAlign w:val="center"/>
            <w:hideMark/>
          </w:tcPr>
          <w:p w14:paraId="54C39E7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NO, SE, DK</w:t>
            </w:r>
          </w:p>
        </w:tc>
        <w:tc>
          <w:tcPr>
            <w:tcW w:w="851" w:type="dxa"/>
            <w:gridSpan w:val="2"/>
            <w:noWrap/>
            <w:vAlign w:val="center"/>
            <w:hideMark/>
          </w:tcPr>
          <w:p w14:paraId="6FA22B4A" w14:textId="77777777" w:rsidR="004B45E5" w:rsidRPr="005C1498" w:rsidRDefault="004B45E5" w:rsidP="00A64E33">
            <w:pPr>
              <w:spacing w:before="0" w:after="0"/>
              <w:rPr>
                <w:rFonts w:cs="Calibri"/>
                <w:b/>
                <w:bCs/>
                <w:color w:val="000000"/>
                <w:sz w:val="18"/>
                <w:szCs w:val="18"/>
                <w:lang w:eastAsia="en-GB"/>
              </w:rPr>
            </w:pPr>
            <w:r w:rsidRPr="005C1498">
              <w:rPr>
                <w:rFonts w:cs="Calibri"/>
                <w:b/>
                <w:bCs/>
                <w:color w:val="000000"/>
                <w:sz w:val="18"/>
                <w:szCs w:val="18"/>
                <w:lang w:eastAsia="en-GB"/>
              </w:rPr>
              <w:t>6.55</w:t>
            </w:r>
          </w:p>
        </w:tc>
        <w:tc>
          <w:tcPr>
            <w:tcW w:w="851" w:type="dxa"/>
            <w:noWrap/>
            <w:vAlign w:val="center"/>
            <w:hideMark/>
          </w:tcPr>
          <w:p w14:paraId="3B63B8B5" w14:textId="77777777" w:rsidR="004B45E5" w:rsidRPr="005C1498" w:rsidRDefault="004B45E5" w:rsidP="00A64E33">
            <w:pPr>
              <w:spacing w:before="0" w:after="0"/>
              <w:rPr>
                <w:rFonts w:cs="Calibri"/>
                <w:b/>
                <w:bCs/>
                <w:color w:val="000000"/>
                <w:sz w:val="18"/>
                <w:szCs w:val="18"/>
                <w:lang w:eastAsia="en-GB"/>
              </w:rPr>
            </w:pPr>
            <w:r w:rsidRPr="005C1498">
              <w:rPr>
                <w:rFonts w:cs="Calibri"/>
                <w:b/>
                <w:bCs/>
                <w:color w:val="000000"/>
                <w:sz w:val="18"/>
                <w:szCs w:val="18"/>
                <w:lang w:eastAsia="en-GB"/>
              </w:rPr>
              <w:t>0.60</w:t>
            </w:r>
          </w:p>
        </w:tc>
        <w:tc>
          <w:tcPr>
            <w:tcW w:w="709" w:type="dxa"/>
            <w:noWrap/>
            <w:vAlign w:val="center"/>
            <w:hideMark/>
          </w:tcPr>
          <w:p w14:paraId="7BB1D749" w14:textId="77777777" w:rsidR="004B45E5" w:rsidRPr="005C1498" w:rsidRDefault="004B45E5" w:rsidP="00A64E33">
            <w:pPr>
              <w:spacing w:before="0" w:after="0"/>
              <w:rPr>
                <w:rFonts w:cs="Calibri"/>
                <w:b/>
                <w:bCs/>
                <w:color w:val="000000"/>
                <w:sz w:val="18"/>
                <w:szCs w:val="18"/>
                <w:lang w:eastAsia="en-GB"/>
              </w:rPr>
            </w:pPr>
          </w:p>
        </w:tc>
        <w:tc>
          <w:tcPr>
            <w:tcW w:w="709" w:type="dxa"/>
            <w:noWrap/>
            <w:vAlign w:val="center"/>
            <w:hideMark/>
          </w:tcPr>
          <w:p w14:paraId="709CFC0F"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17EC50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1.68</w:t>
            </w:r>
          </w:p>
        </w:tc>
        <w:tc>
          <w:tcPr>
            <w:tcW w:w="992" w:type="dxa"/>
            <w:gridSpan w:val="2"/>
            <w:noWrap/>
            <w:vAlign w:val="center"/>
            <w:hideMark/>
          </w:tcPr>
          <w:p w14:paraId="075AA2C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B24377D" w14:textId="77777777" w:rsidR="004B45E5" w:rsidRPr="005C1498" w:rsidRDefault="004B45E5" w:rsidP="00A64E33">
            <w:pPr>
              <w:spacing w:before="0" w:after="0"/>
              <w:rPr>
                <w:rFonts w:cs="Calibri"/>
                <w:color w:val="000000"/>
                <w:sz w:val="18"/>
                <w:szCs w:val="18"/>
                <w:lang w:eastAsia="en-GB"/>
              </w:rPr>
            </w:pPr>
          </w:p>
        </w:tc>
        <w:tc>
          <w:tcPr>
            <w:tcW w:w="4388" w:type="dxa"/>
            <w:gridSpan w:val="2"/>
            <w:shd w:val="clear" w:color="000000" w:fill="FFFFFF"/>
            <w:vAlign w:val="center"/>
            <w:hideMark/>
          </w:tcPr>
          <w:p w14:paraId="777185E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correction factor applied to HS2 DIN and DIP TV (DIN: 0.6*10.91; DIP: 0.7*0.86). Reasoning: to prevent EQR values &gt;1 (better than reference conditions). Ref: HASEC 22/10/03 Add.2-Rev.2.  </w:t>
            </w:r>
          </w:p>
        </w:tc>
      </w:tr>
      <w:tr w:rsidR="004B45E5" w:rsidRPr="005C1498" w14:paraId="056EA210" w14:textId="77777777" w:rsidTr="00A64E33">
        <w:trPr>
          <w:trHeight w:val="20"/>
          <w:tblHeader/>
        </w:trPr>
        <w:tc>
          <w:tcPr>
            <w:tcW w:w="788" w:type="dxa"/>
            <w:noWrap/>
            <w:vAlign w:val="center"/>
            <w:hideMark/>
          </w:tcPr>
          <w:p w14:paraId="6348FA3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48</w:t>
            </w:r>
          </w:p>
        </w:tc>
        <w:tc>
          <w:tcPr>
            <w:tcW w:w="985" w:type="dxa"/>
            <w:noWrap/>
            <w:vAlign w:val="center"/>
            <w:hideMark/>
          </w:tcPr>
          <w:p w14:paraId="01B3D0D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OWAO</w:t>
            </w:r>
          </w:p>
        </w:tc>
        <w:tc>
          <w:tcPr>
            <w:tcW w:w="1199" w:type="dxa"/>
            <w:noWrap/>
            <w:vAlign w:val="center"/>
            <w:hideMark/>
          </w:tcPr>
          <w:p w14:paraId="6A60BA0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Ocean Waters AO (D5)</w:t>
            </w:r>
          </w:p>
        </w:tc>
        <w:tc>
          <w:tcPr>
            <w:tcW w:w="992" w:type="dxa"/>
            <w:noWrap/>
            <w:vAlign w:val="center"/>
            <w:hideMark/>
          </w:tcPr>
          <w:p w14:paraId="1BCD6F2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PT</w:t>
            </w:r>
          </w:p>
        </w:tc>
        <w:tc>
          <w:tcPr>
            <w:tcW w:w="851" w:type="dxa"/>
            <w:gridSpan w:val="2"/>
            <w:noWrap/>
            <w:vAlign w:val="center"/>
            <w:hideMark/>
          </w:tcPr>
          <w:p w14:paraId="332EA02F"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10.5</w:t>
            </w:r>
          </w:p>
        </w:tc>
        <w:tc>
          <w:tcPr>
            <w:tcW w:w="851" w:type="dxa"/>
            <w:noWrap/>
            <w:vAlign w:val="center"/>
            <w:hideMark/>
          </w:tcPr>
          <w:p w14:paraId="1EC40391"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0.60</w:t>
            </w:r>
          </w:p>
        </w:tc>
        <w:tc>
          <w:tcPr>
            <w:tcW w:w="709" w:type="dxa"/>
            <w:noWrap/>
            <w:vAlign w:val="center"/>
            <w:hideMark/>
          </w:tcPr>
          <w:p w14:paraId="60C99901" w14:textId="77777777" w:rsidR="004B45E5" w:rsidRPr="005C1498" w:rsidRDefault="004B45E5" w:rsidP="00A64E33">
            <w:pPr>
              <w:spacing w:before="0" w:after="0"/>
              <w:jc w:val="right"/>
              <w:rPr>
                <w:rFonts w:cs="Calibri"/>
                <w:b/>
                <w:bCs/>
                <w:sz w:val="18"/>
                <w:szCs w:val="18"/>
                <w:lang w:eastAsia="en-GB"/>
              </w:rPr>
            </w:pPr>
          </w:p>
        </w:tc>
        <w:tc>
          <w:tcPr>
            <w:tcW w:w="709" w:type="dxa"/>
            <w:noWrap/>
            <w:vAlign w:val="center"/>
            <w:hideMark/>
          </w:tcPr>
          <w:p w14:paraId="30FFB892"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D588085"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2.3</w:t>
            </w:r>
          </w:p>
        </w:tc>
        <w:tc>
          <w:tcPr>
            <w:tcW w:w="992" w:type="dxa"/>
            <w:gridSpan w:val="2"/>
            <w:noWrap/>
            <w:vAlign w:val="center"/>
            <w:hideMark/>
          </w:tcPr>
          <w:p w14:paraId="2747531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64BA552"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4F12205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 One of the main reasons why there is no data in these areas is because of their depths greater than 1000m in more than 75% of this area (OWAO).</w:t>
            </w:r>
          </w:p>
        </w:tc>
      </w:tr>
      <w:tr w:rsidR="004B45E5" w:rsidRPr="005C1498" w14:paraId="680674D8" w14:textId="77777777" w:rsidTr="00A64E33">
        <w:trPr>
          <w:trHeight w:val="20"/>
          <w:tblHeader/>
        </w:trPr>
        <w:tc>
          <w:tcPr>
            <w:tcW w:w="788" w:type="dxa"/>
            <w:noWrap/>
            <w:vAlign w:val="center"/>
            <w:hideMark/>
          </w:tcPr>
          <w:p w14:paraId="004C031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49</w:t>
            </w:r>
          </w:p>
        </w:tc>
        <w:tc>
          <w:tcPr>
            <w:tcW w:w="985" w:type="dxa"/>
            <w:noWrap/>
            <w:vAlign w:val="center"/>
            <w:hideMark/>
          </w:tcPr>
          <w:p w14:paraId="7F1FB44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OWBO</w:t>
            </w:r>
          </w:p>
        </w:tc>
        <w:tc>
          <w:tcPr>
            <w:tcW w:w="1199" w:type="dxa"/>
            <w:noWrap/>
            <w:vAlign w:val="center"/>
            <w:hideMark/>
          </w:tcPr>
          <w:p w14:paraId="7E537AE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Ocean Waters BO (D5)</w:t>
            </w:r>
          </w:p>
        </w:tc>
        <w:tc>
          <w:tcPr>
            <w:tcW w:w="992" w:type="dxa"/>
            <w:noWrap/>
            <w:vAlign w:val="center"/>
            <w:hideMark/>
          </w:tcPr>
          <w:p w14:paraId="639EF53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PT</w:t>
            </w:r>
          </w:p>
        </w:tc>
        <w:tc>
          <w:tcPr>
            <w:tcW w:w="851" w:type="dxa"/>
            <w:gridSpan w:val="2"/>
            <w:noWrap/>
            <w:vAlign w:val="center"/>
            <w:hideMark/>
          </w:tcPr>
          <w:p w14:paraId="64321E36"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10.0</w:t>
            </w:r>
          </w:p>
        </w:tc>
        <w:tc>
          <w:tcPr>
            <w:tcW w:w="851" w:type="dxa"/>
            <w:noWrap/>
            <w:vAlign w:val="center"/>
            <w:hideMark/>
          </w:tcPr>
          <w:p w14:paraId="71BDF8A6"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0.60</w:t>
            </w:r>
          </w:p>
        </w:tc>
        <w:tc>
          <w:tcPr>
            <w:tcW w:w="709" w:type="dxa"/>
            <w:noWrap/>
            <w:vAlign w:val="center"/>
            <w:hideMark/>
          </w:tcPr>
          <w:p w14:paraId="1FF8DBE3" w14:textId="77777777" w:rsidR="004B45E5" w:rsidRPr="005C1498" w:rsidRDefault="004B45E5" w:rsidP="00A64E33">
            <w:pPr>
              <w:spacing w:before="0" w:after="0"/>
              <w:jc w:val="right"/>
              <w:rPr>
                <w:rFonts w:cs="Calibri"/>
                <w:b/>
                <w:bCs/>
                <w:sz w:val="18"/>
                <w:szCs w:val="18"/>
                <w:lang w:eastAsia="en-GB"/>
              </w:rPr>
            </w:pPr>
          </w:p>
        </w:tc>
        <w:tc>
          <w:tcPr>
            <w:tcW w:w="709" w:type="dxa"/>
            <w:noWrap/>
            <w:vAlign w:val="center"/>
            <w:hideMark/>
          </w:tcPr>
          <w:p w14:paraId="29185661"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5B68295"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2.0</w:t>
            </w:r>
          </w:p>
        </w:tc>
        <w:tc>
          <w:tcPr>
            <w:tcW w:w="992" w:type="dxa"/>
            <w:gridSpan w:val="2"/>
            <w:noWrap/>
            <w:vAlign w:val="center"/>
            <w:hideMark/>
          </w:tcPr>
          <w:p w14:paraId="65BC629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071E7015"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35BE7E7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 One of the main reasons why there is no data in these areas is because of their depths greater than 1000m in more than 90% of this area (OWBO).</w:t>
            </w:r>
          </w:p>
        </w:tc>
      </w:tr>
      <w:tr w:rsidR="004B45E5" w:rsidRPr="005C1498" w14:paraId="52456D54" w14:textId="77777777" w:rsidTr="00A64E33">
        <w:trPr>
          <w:trHeight w:val="20"/>
          <w:tblHeader/>
        </w:trPr>
        <w:tc>
          <w:tcPr>
            <w:tcW w:w="788" w:type="dxa"/>
            <w:noWrap/>
            <w:vAlign w:val="center"/>
            <w:hideMark/>
          </w:tcPr>
          <w:p w14:paraId="5ABD659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50</w:t>
            </w:r>
          </w:p>
        </w:tc>
        <w:tc>
          <w:tcPr>
            <w:tcW w:w="985" w:type="dxa"/>
            <w:noWrap/>
            <w:vAlign w:val="center"/>
            <w:hideMark/>
          </w:tcPr>
          <w:p w14:paraId="2EEF845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OWCO</w:t>
            </w:r>
          </w:p>
        </w:tc>
        <w:tc>
          <w:tcPr>
            <w:tcW w:w="1199" w:type="dxa"/>
            <w:noWrap/>
            <w:vAlign w:val="center"/>
            <w:hideMark/>
          </w:tcPr>
          <w:p w14:paraId="35B4A45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Ocean Waters CO (D5)</w:t>
            </w:r>
          </w:p>
        </w:tc>
        <w:tc>
          <w:tcPr>
            <w:tcW w:w="992" w:type="dxa"/>
            <w:noWrap/>
            <w:vAlign w:val="center"/>
            <w:hideMark/>
          </w:tcPr>
          <w:p w14:paraId="6E119A4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PT</w:t>
            </w:r>
          </w:p>
        </w:tc>
        <w:tc>
          <w:tcPr>
            <w:tcW w:w="851" w:type="dxa"/>
            <w:gridSpan w:val="2"/>
            <w:noWrap/>
            <w:vAlign w:val="center"/>
            <w:hideMark/>
          </w:tcPr>
          <w:p w14:paraId="3458C5F3"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10.0</w:t>
            </w:r>
          </w:p>
        </w:tc>
        <w:tc>
          <w:tcPr>
            <w:tcW w:w="851" w:type="dxa"/>
            <w:noWrap/>
            <w:vAlign w:val="center"/>
            <w:hideMark/>
          </w:tcPr>
          <w:p w14:paraId="4CAED69D"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0.50</w:t>
            </w:r>
          </w:p>
        </w:tc>
        <w:tc>
          <w:tcPr>
            <w:tcW w:w="709" w:type="dxa"/>
            <w:noWrap/>
            <w:vAlign w:val="center"/>
            <w:hideMark/>
          </w:tcPr>
          <w:p w14:paraId="6A6C2EFB" w14:textId="77777777" w:rsidR="004B45E5" w:rsidRPr="005C1498" w:rsidRDefault="004B45E5" w:rsidP="00A64E33">
            <w:pPr>
              <w:spacing w:before="0" w:after="0"/>
              <w:jc w:val="right"/>
              <w:rPr>
                <w:rFonts w:cs="Calibri"/>
                <w:b/>
                <w:bCs/>
                <w:sz w:val="18"/>
                <w:szCs w:val="18"/>
                <w:lang w:eastAsia="en-GB"/>
              </w:rPr>
            </w:pPr>
          </w:p>
        </w:tc>
        <w:tc>
          <w:tcPr>
            <w:tcW w:w="709" w:type="dxa"/>
            <w:noWrap/>
            <w:vAlign w:val="center"/>
            <w:hideMark/>
          </w:tcPr>
          <w:p w14:paraId="53534D3E"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DC7193E"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1.5</w:t>
            </w:r>
          </w:p>
        </w:tc>
        <w:tc>
          <w:tcPr>
            <w:tcW w:w="992" w:type="dxa"/>
            <w:gridSpan w:val="2"/>
            <w:noWrap/>
            <w:vAlign w:val="center"/>
            <w:hideMark/>
          </w:tcPr>
          <w:p w14:paraId="1A20319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601A83E8"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4433B4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 One of the main reasons why there is no data in these areas is because of their depths greater than 1000m in more than 75% of this area (OWCO).</w:t>
            </w:r>
          </w:p>
        </w:tc>
      </w:tr>
      <w:tr w:rsidR="004B45E5" w:rsidRPr="005C1498" w14:paraId="2D429E23" w14:textId="77777777" w:rsidTr="00A64E33">
        <w:trPr>
          <w:trHeight w:val="20"/>
          <w:tblHeader/>
        </w:trPr>
        <w:tc>
          <w:tcPr>
            <w:tcW w:w="788" w:type="dxa"/>
            <w:noWrap/>
            <w:vAlign w:val="center"/>
            <w:hideMark/>
          </w:tcPr>
          <w:p w14:paraId="4C80103F"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51</w:t>
            </w:r>
          </w:p>
        </w:tc>
        <w:tc>
          <w:tcPr>
            <w:tcW w:w="985" w:type="dxa"/>
            <w:noWrap/>
            <w:vAlign w:val="center"/>
            <w:hideMark/>
          </w:tcPr>
          <w:p w14:paraId="67FC2DD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RHPM</w:t>
            </w:r>
          </w:p>
        </w:tc>
        <w:tc>
          <w:tcPr>
            <w:tcW w:w="1199" w:type="dxa"/>
            <w:noWrap/>
            <w:vAlign w:val="center"/>
            <w:hideMark/>
          </w:tcPr>
          <w:p w14:paraId="5077224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Rhine plume</w:t>
            </w:r>
          </w:p>
        </w:tc>
        <w:tc>
          <w:tcPr>
            <w:tcW w:w="992" w:type="dxa"/>
            <w:noWrap/>
            <w:vAlign w:val="center"/>
            <w:hideMark/>
          </w:tcPr>
          <w:p w14:paraId="056A550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NL</w:t>
            </w:r>
          </w:p>
        </w:tc>
        <w:tc>
          <w:tcPr>
            <w:tcW w:w="851" w:type="dxa"/>
            <w:gridSpan w:val="2"/>
            <w:noWrap/>
            <w:vAlign w:val="center"/>
            <w:hideMark/>
          </w:tcPr>
          <w:p w14:paraId="5B4CF4F0"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29.7</w:t>
            </w:r>
          </w:p>
        </w:tc>
        <w:tc>
          <w:tcPr>
            <w:tcW w:w="851" w:type="dxa"/>
            <w:noWrap/>
            <w:vAlign w:val="center"/>
            <w:hideMark/>
          </w:tcPr>
          <w:p w14:paraId="325D7DA5"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1.15</w:t>
            </w:r>
          </w:p>
        </w:tc>
        <w:tc>
          <w:tcPr>
            <w:tcW w:w="709" w:type="dxa"/>
            <w:noWrap/>
            <w:vAlign w:val="center"/>
            <w:hideMark/>
          </w:tcPr>
          <w:p w14:paraId="47A9F058"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5D762BC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197B040F"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6.8</w:t>
            </w:r>
          </w:p>
        </w:tc>
        <w:tc>
          <w:tcPr>
            <w:tcW w:w="992" w:type="dxa"/>
            <w:gridSpan w:val="2"/>
            <w:noWrap/>
            <w:vAlign w:val="center"/>
            <w:hideMark/>
          </w:tcPr>
          <w:p w14:paraId="1F5769D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7847EB9"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30FE77B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ICG-EMO HS1 thresholds. HS2 DIP reference values too low, comparable to pristine state rather than concentrations around 1900. Ref: ICG-Eut 21/5/2 Add.5 </w:t>
            </w:r>
          </w:p>
        </w:tc>
      </w:tr>
      <w:tr w:rsidR="004B45E5" w:rsidRPr="005C1498" w14:paraId="323E2D35" w14:textId="77777777" w:rsidTr="00A64E33">
        <w:trPr>
          <w:trHeight w:val="20"/>
          <w:tblHeader/>
        </w:trPr>
        <w:tc>
          <w:tcPr>
            <w:tcW w:w="788" w:type="dxa"/>
            <w:noWrap/>
            <w:vAlign w:val="center"/>
            <w:hideMark/>
          </w:tcPr>
          <w:p w14:paraId="6FB9809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52</w:t>
            </w:r>
          </w:p>
        </w:tc>
        <w:tc>
          <w:tcPr>
            <w:tcW w:w="985" w:type="dxa"/>
            <w:noWrap/>
            <w:vAlign w:val="center"/>
            <w:hideMark/>
          </w:tcPr>
          <w:p w14:paraId="3A867BC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SAAC1</w:t>
            </w:r>
          </w:p>
        </w:tc>
        <w:tc>
          <w:tcPr>
            <w:tcW w:w="1199" w:type="dxa"/>
            <w:noWrap/>
            <w:vAlign w:val="center"/>
            <w:hideMark/>
          </w:tcPr>
          <w:p w14:paraId="5446EB7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Sudatlantic Area SUD-C1(D5)</w:t>
            </w:r>
          </w:p>
        </w:tc>
        <w:tc>
          <w:tcPr>
            <w:tcW w:w="992" w:type="dxa"/>
            <w:noWrap/>
            <w:vAlign w:val="center"/>
            <w:hideMark/>
          </w:tcPr>
          <w:p w14:paraId="3FC4F9B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02ACE37C"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21.9</w:t>
            </w:r>
          </w:p>
        </w:tc>
        <w:tc>
          <w:tcPr>
            <w:tcW w:w="851" w:type="dxa"/>
            <w:noWrap/>
            <w:vAlign w:val="center"/>
            <w:hideMark/>
          </w:tcPr>
          <w:p w14:paraId="3D9FC525"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355ADFA8" w14:textId="77777777" w:rsidR="004B45E5" w:rsidRPr="005C1498" w:rsidRDefault="004B45E5" w:rsidP="00A64E33">
            <w:pPr>
              <w:spacing w:before="0" w:after="0"/>
              <w:rPr>
                <w:sz w:val="18"/>
                <w:szCs w:val="18"/>
                <w:lang w:eastAsia="en-GB"/>
              </w:rPr>
            </w:pPr>
          </w:p>
        </w:tc>
        <w:tc>
          <w:tcPr>
            <w:tcW w:w="709" w:type="dxa"/>
            <w:noWrap/>
            <w:vAlign w:val="center"/>
            <w:hideMark/>
          </w:tcPr>
          <w:p w14:paraId="7A42F7E2"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62CA0B8"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15.1</w:t>
            </w:r>
          </w:p>
        </w:tc>
        <w:tc>
          <w:tcPr>
            <w:tcW w:w="992" w:type="dxa"/>
            <w:gridSpan w:val="2"/>
            <w:noWrap/>
            <w:vAlign w:val="center"/>
            <w:hideMark/>
          </w:tcPr>
          <w:p w14:paraId="291EAA5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187A341C"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232DE1D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10AA2059" w14:textId="77777777" w:rsidTr="00A64E33">
        <w:trPr>
          <w:trHeight w:val="20"/>
          <w:tblHeader/>
        </w:trPr>
        <w:tc>
          <w:tcPr>
            <w:tcW w:w="788" w:type="dxa"/>
            <w:noWrap/>
            <w:vAlign w:val="center"/>
            <w:hideMark/>
          </w:tcPr>
          <w:p w14:paraId="165908E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53</w:t>
            </w:r>
          </w:p>
        </w:tc>
        <w:tc>
          <w:tcPr>
            <w:tcW w:w="985" w:type="dxa"/>
            <w:noWrap/>
            <w:vAlign w:val="center"/>
            <w:hideMark/>
          </w:tcPr>
          <w:p w14:paraId="70B70D5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SAAC2</w:t>
            </w:r>
          </w:p>
        </w:tc>
        <w:tc>
          <w:tcPr>
            <w:tcW w:w="1199" w:type="dxa"/>
            <w:noWrap/>
            <w:vAlign w:val="center"/>
            <w:hideMark/>
          </w:tcPr>
          <w:p w14:paraId="3987756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Sudatlantic Area SUD-C2(D5)</w:t>
            </w:r>
          </w:p>
        </w:tc>
        <w:tc>
          <w:tcPr>
            <w:tcW w:w="992" w:type="dxa"/>
            <w:noWrap/>
            <w:vAlign w:val="center"/>
            <w:hideMark/>
          </w:tcPr>
          <w:p w14:paraId="1CAFF69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2594CB17"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28.9</w:t>
            </w:r>
          </w:p>
        </w:tc>
        <w:tc>
          <w:tcPr>
            <w:tcW w:w="851" w:type="dxa"/>
            <w:noWrap/>
            <w:vAlign w:val="center"/>
            <w:hideMark/>
          </w:tcPr>
          <w:p w14:paraId="583FF3F7"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287F36EE" w14:textId="77777777" w:rsidR="004B45E5" w:rsidRPr="005C1498" w:rsidRDefault="004B45E5" w:rsidP="00A64E33">
            <w:pPr>
              <w:spacing w:before="0" w:after="0"/>
              <w:rPr>
                <w:sz w:val="18"/>
                <w:szCs w:val="18"/>
                <w:lang w:eastAsia="en-GB"/>
              </w:rPr>
            </w:pPr>
          </w:p>
        </w:tc>
        <w:tc>
          <w:tcPr>
            <w:tcW w:w="709" w:type="dxa"/>
            <w:noWrap/>
            <w:vAlign w:val="center"/>
            <w:hideMark/>
          </w:tcPr>
          <w:p w14:paraId="336B0707"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BF964B8"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20.3</w:t>
            </w:r>
          </w:p>
        </w:tc>
        <w:tc>
          <w:tcPr>
            <w:tcW w:w="992" w:type="dxa"/>
            <w:gridSpan w:val="2"/>
            <w:noWrap/>
            <w:vAlign w:val="center"/>
            <w:hideMark/>
          </w:tcPr>
          <w:p w14:paraId="1999C42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B06054C"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106103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7F6B81DE" w14:textId="77777777" w:rsidTr="00A64E33">
        <w:trPr>
          <w:trHeight w:val="20"/>
          <w:tblHeader/>
        </w:trPr>
        <w:tc>
          <w:tcPr>
            <w:tcW w:w="788" w:type="dxa"/>
            <w:noWrap/>
            <w:vAlign w:val="center"/>
            <w:hideMark/>
          </w:tcPr>
          <w:p w14:paraId="04CA57E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54</w:t>
            </w:r>
          </w:p>
        </w:tc>
        <w:tc>
          <w:tcPr>
            <w:tcW w:w="985" w:type="dxa"/>
            <w:noWrap/>
            <w:vAlign w:val="center"/>
            <w:hideMark/>
          </w:tcPr>
          <w:p w14:paraId="619AD9B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SAAOC</w:t>
            </w:r>
          </w:p>
        </w:tc>
        <w:tc>
          <w:tcPr>
            <w:tcW w:w="1199" w:type="dxa"/>
            <w:noWrap/>
            <w:vAlign w:val="center"/>
            <w:hideMark/>
          </w:tcPr>
          <w:p w14:paraId="0C9FF09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Sudatlantic Area SUD-OCEAN(D5)</w:t>
            </w:r>
          </w:p>
        </w:tc>
        <w:tc>
          <w:tcPr>
            <w:tcW w:w="992" w:type="dxa"/>
            <w:noWrap/>
            <w:vAlign w:val="center"/>
            <w:hideMark/>
          </w:tcPr>
          <w:p w14:paraId="6EDCBA6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24E7BF16"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3.4</w:t>
            </w:r>
          </w:p>
        </w:tc>
        <w:tc>
          <w:tcPr>
            <w:tcW w:w="851" w:type="dxa"/>
            <w:noWrap/>
            <w:vAlign w:val="center"/>
            <w:hideMark/>
          </w:tcPr>
          <w:p w14:paraId="699A755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0.40</w:t>
            </w:r>
          </w:p>
        </w:tc>
        <w:tc>
          <w:tcPr>
            <w:tcW w:w="709" w:type="dxa"/>
            <w:noWrap/>
            <w:vAlign w:val="center"/>
            <w:hideMark/>
          </w:tcPr>
          <w:p w14:paraId="6594C6AC"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1796B18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B25DB0B"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1.4</w:t>
            </w:r>
          </w:p>
        </w:tc>
        <w:tc>
          <w:tcPr>
            <w:tcW w:w="992" w:type="dxa"/>
            <w:gridSpan w:val="2"/>
            <w:noWrap/>
            <w:vAlign w:val="center"/>
            <w:hideMark/>
          </w:tcPr>
          <w:p w14:paraId="4650FBA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BD31A86"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CAD4CE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56C36FCD" w14:textId="77777777" w:rsidTr="00A64E33">
        <w:trPr>
          <w:trHeight w:val="20"/>
          <w:tblHeader/>
        </w:trPr>
        <w:tc>
          <w:tcPr>
            <w:tcW w:w="788" w:type="dxa"/>
            <w:noWrap/>
            <w:vAlign w:val="center"/>
            <w:hideMark/>
          </w:tcPr>
          <w:p w14:paraId="5A6226F2"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55</w:t>
            </w:r>
          </w:p>
        </w:tc>
        <w:tc>
          <w:tcPr>
            <w:tcW w:w="985" w:type="dxa"/>
            <w:noWrap/>
            <w:vAlign w:val="center"/>
            <w:hideMark/>
          </w:tcPr>
          <w:p w14:paraId="027CF12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SAAP1</w:t>
            </w:r>
          </w:p>
        </w:tc>
        <w:tc>
          <w:tcPr>
            <w:tcW w:w="1199" w:type="dxa"/>
            <w:noWrap/>
            <w:vAlign w:val="center"/>
            <w:hideMark/>
          </w:tcPr>
          <w:p w14:paraId="0E3C137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Sudatlantic Area SUD-P1(D5)</w:t>
            </w:r>
          </w:p>
        </w:tc>
        <w:tc>
          <w:tcPr>
            <w:tcW w:w="992" w:type="dxa"/>
            <w:noWrap/>
            <w:vAlign w:val="center"/>
            <w:hideMark/>
          </w:tcPr>
          <w:p w14:paraId="31C3EC8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445643F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4.8</w:t>
            </w:r>
          </w:p>
        </w:tc>
        <w:tc>
          <w:tcPr>
            <w:tcW w:w="851" w:type="dxa"/>
            <w:noWrap/>
            <w:vAlign w:val="center"/>
            <w:hideMark/>
          </w:tcPr>
          <w:p w14:paraId="3C7A7921"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0.60</w:t>
            </w:r>
          </w:p>
        </w:tc>
        <w:tc>
          <w:tcPr>
            <w:tcW w:w="709" w:type="dxa"/>
            <w:noWrap/>
            <w:vAlign w:val="center"/>
            <w:hideMark/>
          </w:tcPr>
          <w:p w14:paraId="4185C061"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43321777"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73BAFBFB"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3.9</w:t>
            </w:r>
          </w:p>
        </w:tc>
        <w:tc>
          <w:tcPr>
            <w:tcW w:w="992" w:type="dxa"/>
            <w:gridSpan w:val="2"/>
            <w:noWrap/>
            <w:vAlign w:val="center"/>
            <w:hideMark/>
          </w:tcPr>
          <w:p w14:paraId="6761BE8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BD6FBB7"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183579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02BF002C" w14:textId="77777777" w:rsidTr="00A64E33">
        <w:trPr>
          <w:trHeight w:val="20"/>
          <w:tblHeader/>
        </w:trPr>
        <w:tc>
          <w:tcPr>
            <w:tcW w:w="788" w:type="dxa"/>
            <w:noWrap/>
            <w:vAlign w:val="center"/>
            <w:hideMark/>
          </w:tcPr>
          <w:p w14:paraId="22A4FDB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56</w:t>
            </w:r>
          </w:p>
        </w:tc>
        <w:tc>
          <w:tcPr>
            <w:tcW w:w="985" w:type="dxa"/>
            <w:noWrap/>
            <w:vAlign w:val="center"/>
            <w:hideMark/>
          </w:tcPr>
          <w:p w14:paraId="2EA7159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SAAP2</w:t>
            </w:r>
          </w:p>
        </w:tc>
        <w:tc>
          <w:tcPr>
            <w:tcW w:w="1199" w:type="dxa"/>
            <w:noWrap/>
            <w:vAlign w:val="center"/>
            <w:hideMark/>
          </w:tcPr>
          <w:p w14:paraId="5AF3810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Sudatlantic Area SUD-P2(D5)</w:t>
            </w:r>
          </w:p>
        </w:tc>
        <w:tc>
          <w:tcPr>
            <w:tcW w:w="992" w:type="dxa"/>
            <w:noWrap/>
            <w:vAlign w:val="center"/>
            <w:hideMark/>
          </w:tcPr>
          <w:p w14:paraId="4AAA584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ES</w:t>
            </w:r>
          </w:p>
        </w:tc>
        <w:tc>
          <w:tcPr>
            <w:tcW w:w="851" w:type="dxa"/>
            <w:gridSpan w:val="2"/>
            <w:noWrap/>
            <w:vAlign w:val="center"/>
            <w:hideMark/>
          </w:tcPr>
          <w:p w14:paraId="0408F74F"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13.3</w:t>
            </w:r>
          </w:p>
        </w:tc>
        <w:tc>
          <w:tcPr>
            <w:tcW w:w="851" w:type="dxa"/>
            <w:noWrap/>
            <w:vAlign w:val="center"/>
            <w:hideMark/>
          </w:tcPr>
          <w:p w14:paraId="67043391"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1.40</w:t>
            </w:r>
          </w:p>
        </w:tc>
        <w:tc>
          <w:tcPr>
            <w:tcW w:w="709" w:type="dxa"/>
            <w:noWrap/>
            <w:vAlign w:val="center"/>
            <w:hideMark/>
          </w:tcPr>
          <w:p w14:paraId="273B1F6A"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2230E1E7"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48571DD4"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8.8</w:t>
            </w:r>
          </w:p>
        </w:tc>
        <w:tc>
          <w:tcPr>
            <w:tcW w:w="992" w:type="dxa"/>
            <w:gridSpan w:val="2"/>
            <w:noWrap/>
            <w:vAlign w:val="center"/>
            <w:hideMark/>
          </w:tcPr>
          <w:p w14:paraId="51202FB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5AD3A0A6"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03C6F55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National thresholds</w:t>
            </w:r>
          </w:p>
        </w:tc>
      </w:tr>
      <w:tr w:rsidR="004B45E5" w:rsidRPr="005C1498" w14:paraId="004BD46A" w14:textId="77777777" w:rsidTr="00A64E33">
        <w:trPr>
          <w:trHeight w:val="20"/>
          <w:tblHeader/>
        </w:trPr>
        <w:tc>
          <w:tcPr>
            <w:tcW w:w="788" w:type="dxa"/>
            <w:noWrap/>
            <w:vAlign w:val="center"/>
            <w:hideMark/>
          </w:tcPr>
          <w:p w14:paraId="74764B3C"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57</w:t>
            </w:r>
          </w:p>
        </w:tc>
        <w:tc>
          <w:tcPr>
            <w:tcW w:w="985" w:type="dxa"/>
            <w:noWrap/>
            <w:vAlign w:val="center"/>
            <w:hideMark/>
          </w:tcPr>
          <w:p w14:paraId="79311FE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SCHPM1</w:t>
            </w:r>
          </w:p>
        </w:tc>
        <w:tc>
          <w:tcPr>
            <w:tcW w:w="1199" w:type="dxa"/>
            <w:noWrap/>
            <w:vAlign w:val="center"/>
            <w:hideMark/>
          </w:tcPr>
          <w:p w14:paraId="6CA2C3D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Scheldt plume 1</w:t>
            </w:r>
          </w:p>
        </w:tc>
        <w:tc>
          <w:tcPr>
            <w:tcW w:w="992" w:type="dxa"/>
            <w:noWrap/>
            <w:vAlign w:val="center"/>
            <w:hideMark/>
          </w:tcPr>
          <w:p w14:paraId="3B406CA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BE, NL</w:t>
            </w:r>
          </w:p>
        </w:tc>
        <w:tc>
          <w:tcPr>
            <w:tcW w:w="851" w:type="dxa"/>
            <w:gridSpan w:val="2"/>
            <w:noWrap/>
            <w:vAlign w:val="center"/>
            <w:hideMark/>
          </w:tcPr>
          <w:p w14:paraId="3195BA4F"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25.9</w:t>
            </w:r>
          </w:p>
        </w:tc>
        <w:tc>
          <w:tcPr>
            <w:tcW w:w="851" w:type="dxa"/>
            <w:noWrap/>
            <w:vAlign w:val="center"/>
            <w:hideMark/>
          </w:tcPr>
          <w:p w14:paraId="58192889"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1.31</w:t>
            </w:r>
          </w:p>
        </w:tc>
        <w:tc>
          <w:tcPr>
            <w:tcW w:w="709" w:type="dxa"/>
            <w:noWrap/>
            <w:vAlign w:val="center"/>
            <w:hideMark/>
          </w:tcPr>
          <w:p w14:paraId="583506AE"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054E252B"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1F4A1F0"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5.0</w:t>
            </w:r>
          </w:p>
        </w:tc>
        <w:tc>
          <w:tcPr>
            <w:tcW w:w="992" w:type="dxa"/>
            <w:gridSpan w:val="2"/>
            <w:noWrap/>
            <w:vAlign w:val="center"/>
            <w:hideMark/>
          </w:tcPr>
          <w:p w14:paraId="40F53A5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1ACB363B"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00EC3221"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HS1 thresholds. HS2 DIP reference values too low, comparable to pristine state rather than concentrations around 1900. Ref: ICG-Eut 21/5/2 Add.5 Rev.1</w:t>
            </w:r>
          </w:p>
        </w:tc>
      </w:tr>
      <w:tr w:rsidR="004B45E5" w:rsidRPr="005C1498" w14:paraId="0D81BAEA" w14:textId="77777777" w:rsidTr="00A64E33">
        <w:trPr>
          <w:trHeight w:val="20"/>
          <w:tblHeader/>
        </w:trPr>
        <w:tc>
          <w:tcPr>
            <w:tcW w:w="788" w:type="dxa"/>
            <w:noWrap/>
            <w:vAlign w:val="center"/>
            <w:hideMark/>
          </w:tcPr>
          <w:p w14:paraId="7820915D"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58</w:t>
            </w:r>
          </w:p>
        </w:tc>
        <w:tc>
          <w:tcPr>
            <w:tcW w:w="985" w:type="dxa"/>
            <w:noWrap/>
            <w:vAlign w:val="center"/>
            <w:hideMark/>
          </w:tcPr>
          <w:p w14:paraId="1475A49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SCHPM2</w:t>
            </w:r>
          </w:p>
        </w:tc>
        <w:tc>
          <w:tcPr>
            <w:tcW w:w="1199" w:type="dxa"/>
            <w:noWrap/>
            <w:vAlign w:val="center"/>
            <w:hideMark/>
          </w:tcPr>
          <w:p w14:paraId="0038165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Scheldt plume 2</w:t>
            </w:r>
          </w:p>
        </w:tc>
        <w:tc>
          <w:tcPr>
            <w:tcW w:w="992" w:type="dxa"/>
            <w:noWrap/>
            <w:vAlign w:val="center"/>
            <w:hideMark/>
          </w:tcPr>
          <w:p w14:paraId="02BDC72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NL</w:t>
            </w:r>
          </w:p>
        </w:tc>
        <w:tc>
          <w:tcPr>
            <w:tcW w:w="851" w:type="dxa"/>
            <w:gridSpan w:val="2"/>
            <w:noWrap/>
            <w:vAlign w:val="center"/>
            <w:hideMark/>
          </w:tcPr>
          <w:p w14:paraId="458DB17B"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33.3</w:t>
            </w:r>
          </w:p>
        </w:tc>
        <w:tc>
          <w:tcPr>
            <w:tcW w:w="851" w:type="dxa"/>
            <w:noWrap/>
            <w:vAlign w:val="center"/>
            <w:hideMark/>
          </w:tcPr>
          <w:p w14:paraId="67DE9822"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1.02</w:t>
            </w:r>
          </w:p>
        </w:tc>
        <w:tc>
          <w:tcPr>
            <w:tcW w:w="709" w:type="dxa"/>
            <w:noWrap/>
            <w:vAlign w:val="center"/>
            <w:hideMark/>
          </w:tcPr>
          <w:p w14:paraId="617F2FCF"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675A01C5"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0302E026"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8.9</w:t>
            </w:r>
          </w:p>
        </w:tc>
        <w:tc>
          <w:tcPr>
            <w:tcW w:w="992" w:type="dxa"/>
            <w:gridSpan w:val="2"/>
            <w:noWrap/>
            <w:vAlign w:val="center"/>
            <w:hideMark/>
          </w:tcPr>
          <w:p w14:paraId="205DD5C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4ADE9061"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5755B15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ICG-EMO HS1 thresholds. HS2 DIP reference values too low, comparable to pristine state rather than concentrations around 1900. Ref: ICG-Eut 21/5/2 Add.5 </w:t>
            </w:r>
          </w:p>
        </w:tc>
      </w:tr>
      <w:tr w:rsidR="004B45E5" w:rsidRPr="005C1498" w14:paraId="47079304" w14:textId="77777777" w:rsidTr="00A64E33">
        <w:trPr>
          <w:trHeight w:val="20"/>
          <w:tblHeader/>
        </w:trPr>
        <w:tc>
          <w:tcPr>
            <w:tcW w:w="788" w:type="dxa"/>
            <w:noWrap/>
            <w:vAlign w:val="center"/>
            <w:hideMark/>
          </w:tcPr>
          <w:p w14:paraId="44EC6817"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59</w:t>
            </w:r>
          </w:p>
        </w:tc>
        <w:tc>
          <w:tcPr>
            <w:tcW w:w="985" w:type="dxa"/>
            <w:noWrap/>
            <w:vAlign w:val="center"/>
            <w:hideMark/>
          </w:tcPr>
          <w:p w14:paraId="3C622654"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SHPM</w:t>
            </w:r>
          </w:p>
        </w:tc>
        <w:tc>
          <w:tcPr>
            <w:tcW w:w="1199" w:type="dxa"/>
            <w:noWrap/>
            <w:vAlign w:val="center"/>
            <w:hideMark/>
          </w:tcPr>
          <w:p w14:paraId="1C65348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Shannon plume</w:t>
            </w:r>
          </w:p>
        </w:tc>
        <w:tc>
          <w:tcPr>
            <w:tcW w:w="992" w:type="dxa"/>
            <w:noWrap/>
            <w:vAlign w:val="center"/>
            <w:hideMark/>
          </w:tcPr>
          <w:p w14:paraId="719D6BA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IE</w:t>
            </w:r>
          </w:p>
        </w:tc>
        <w:tc>
          <w:tcPr>
            <w:tcW w:w="851" w:type="dxa"/>
            <w:gridSpan w:val="2"/>
            <w:noWrap/>
            <w:vAlign w:val="center"/>
            <w:hideMark/>
          </w:tcPr>
          <w:p w14:paraId="3F3881A6"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11.7</w:t>
            </w:r>
          </w:p>
        </w:tc>
        <w:tc>
          <w:tcPr>
            <w:tcW w:w="851" w:type="dxa"/>
            <w:noWrap/>
            <w:vAlign w:val="center"/>
            <w:hideMark/>
          </w:tcPr>
          <w:p w14:paraId="75D280F6"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0.84</w:t>
            </w:r>
          </w:p>
        </w:tc>
        <w:tc>
          <w:tcPr>
            <w:tcW w:w="709" w:type="dxa"/>
            <w:noWrap/>
            <w:vAlign w:val="center"/>
            <w:hideMark/>
          </w:tcPr>
          <w:p w14:paraId="27AA5E65" w14:textId="77777777" w:rsidR="004B45E5" w:rsidRPr="005C1498" w:rsidRDefault="004B45E5" w:rsidP="00A64E33">
            <w:pPr>
              <w:spacing w:before="0" w:after="0"/>
              <w:jc w:val="right"/>
              <w:rPr>
                <w:rFonts w:cs="Calibri"/>
                <w:b/>
                <w:bCs/>
                <w:sz w:val="18"/>
                <w:szCs w:val="18"/>
                <w:lang w:eastAsia="en-GB"/>
              </w:rPr>
            </w:pPr>
          </w:p>
        </w:tc>
        <w:tc>
          <w:tcPr>
            <w:tcW w:w="709" w:type="dxa"/>
            <w:noWrap/>
            <w:vAlign w:val="center"/>
            <w:hideMark/>
          </w:tcPr>
          <w:p w14:paraId="4DF41A70"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28A71B0C" w14:textId="77777777" w:rsidR="004B45E5" w:rsidRPr="005C1498" w:rsidRDefault="004B45E5" w:rsidP="00A64E33">
            <w:pPr>
              <w:spacing w:before="0" w:after="0"/>
              <w:jc w:val="right"/>
              <w:rPr>
                <w:rFonts w:cs="Calibri"/>
                <w:b/>
                <w:bCs/>
                <w:sz w:val="18"/>
                <w:szCs w:val="18"/>
                <w:lang w:eastAsia="en-GB"/>
              </w:rPr>
            </w:pPr>
            <w:r w:rsidRPr="005C1498">
              <w:rPr>
                <w:rFonts w:cs="Calibri"/>
                <w:b/>
                <w:bCs/>
                <w:sz w:val="18"/>
                <w:szCs w:val="18"/>
                <w:lang w:eastAsia="en-GB"/>
              </w:rPr>
              <w:t>1.8</w:t>
            </w:r>
          </w:p>
        </w:tc>
        <w:tc>
          <w:tcPr>
            <w:tcW w:w="992" w:type="dxa"/>
            <w:gridSpan w:val="2"/>
            <w:noWrap/>
            <w:vAlign w:val="center"/>
            <w:hideMark/>
          </w:tcPr>
          <w:p w14:paraId="2DC56577"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08D2525C"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07AE5BE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Values changed from Chl a 1.84, DIN 11.07, DIP 0.79 for consistency with adjacent waters, sensible gradient with WFD (and poor model coverage ASS, ATL)</w:t>
            </w:r>
          </w:p>
        </w:tc>
      </w:tr>
      <w:tr w:rsidR="004B45E5" w:rsidRPr="005C1498" w14:paraId="4B5770BB" w14:textId="77777777" w:rsidTr="00A64E33">
        <w:trPr>
          <w:trHeight w:val="20"/>
          <w:tblHeader/>
        </w:trPr>
        <w:tc>
          <w:tcPr>
            <w:tcW w:w="788" w:type="dxa"/>
            <w:noWrap/>
            <w:vAlign w:val="center"/>
            <w:hideMark/>
          </w:tcPr>
          <w:p w14:paraId="089FD6D9"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60</w:t>
            </w:r>
          </w:p>
        </w:tc>
        <w:tc>
          <w:tcPr>
            <w:tcW w:w="985" w:type="dxa"/>
            <w:noWrap/>
            <w:vAlign w:val="center"/>
            <w:hideMark/>
          </w:tcPr>
          <w:p w14:paraId="770206D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SK</w:t>
            </w:r>
          </w:p>
        </w:tc>
        <w:tc>
          <w:tcPr>
            <w:tcW w:w="1199" w:type="dxa"/>
            <w:noWrap/>
            <w:vAlign w:val="center"/>
            <w:hideMark/>
          </w:tcPr>
          <w:p w14:paraId="23CE49C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Skagerrak</w:t>
            </w:r>
          </w:p>
        </w:tc>
        <w:tc>
          <w:tcPr>
            <w:tcW w:w="992" w:type="dxa"/>
            <w:noWrap/>
            <w:vAlign w:val="center"/>
            <w:hideMark/>
          </w:tcPr>
          <w:p w14:paraId="3BF1ADD0"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DK, SE</w:t>
            </w:r>
          </w:p>
        </w:tc>
        <w:tc>
          <w:tcPr>
            <w:tcW w:w="851" w:type="dxa"/>
            <w:gridSpan w:val="2"/>
            <w:noWrap/>
            <w:vAlign w:val="center"/>
            <w:hideMark/>
          </w:tcPr>
          <w:p w14:paraId="41A5DFD3"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4.7</w:t>
            </w:r>
          </w:p>
        </w:tc>
        <w:tc>
          <w:tcPr>
            <w:tcW w:w="851" w:type="dxa"/>
            <w:noWrap/>
            <w:vAlign w:val="center"/>
            <w:hideMark/>
          </w:tcPr>
          <w:p w14:paraId="138884A3"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0.64</w:t>
            </w:r>
          </w:p>
        </w:tc>
        <w:tc>
          <w:tcPr>
            <w:tcW w:w="709" w:type="dxa"/>
            <w:noWrap/>
            <w:vAlign w:val="center"/>
            <w:hideMark/>
          </w:tcPr>
          <w:p w14:paraId="775512AA"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11.7</w:t>
            </w:r>
          </w:p>
        </w:tc>
        <w:tc>
          <w:tcPr>
            <w:tcW w:w="709" w:type="dxa"/>
            <w:noWrap/>
            <w:vAlign w:val="center"/>
            <w:hideMark/>
          </w:tcPr>
          <w:p w14:paraId="15B9FF7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0.81</w:t>
            </w:r>
          </w:p>
        </w:tc>
        <w:tc>
          <w:tcPr>
            <w:tcW w:w="1134" w:type="dxa"/>
            <w:gridSpan w:val="2"/>
            <w:noWrap/>
            <w:vAlign w:val="center"/>
            <w:hideMark/>
          </w:tcPr>
          <w:p w14:paraId="1B8A4DE0"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1.7</w:t>
            </w:r>
          </w:p>
        </w:tc>
        <w:tc>
          <w:tcPr>
            <w:tcW w:w="992" w:type="dxa"/>
            <w:gridSpan w:val="2"/>
            <w:noWrap/>
            <w:vAlign w:val="center"/>
            <w:hideMark/>
          </w:tcPr>
          <w:p w14:paraId="23DA557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0A0D1D22"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8.3</w:t>
            </w:r>
          </w:p>
        </w:tc>
        <w:tc>
          <w:tcPr>
            <w:tcW w:w="4388" w:type="dxa"/>
            <w:gridSpan w:val="2"/>
            <w:vAlign w:val="center"/>
            <w:hideMark/>
          </w:tcPr>
          <w:p w14:paraId="34235A9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correction factor applied to HS2 TV (DIN: 0.7*6.71; DIP: 0.9*0.71; Chl a: 0.9*1.93). Reasoning: DIN: This estimate gives a reasonable gradient between the Kattegat and outer North Sea waters. The existing threshold in Swedish regulations (9 µM) puts Skagerrak waters in equal to or better than reference condition for DIN, which is unlikely given the adjacent waterbodies and coastal water. DIP: Factor ensures a reasonable gradient between Kattegat and outer North Sea. A factor of 0.9 = almost complete acceptance of the EMO proposal. Chl a: The factor gives a minor adjustment to EMO values and gives a plausible gradient from Kattegat to offshore - noting the greater need for adjustment in the Norwegian trench to avoid "better than reference" conditions. Current SE regulations propose 1.8 µg/l, so this value is a minor adjustment. Ref: HASEC 22/10/03 Add.2-Rev.2. Awaiting confirmation from Sweden regarding TN, TP and Secchi values.</w:t>
            </w:r>
          </w:p>
        </w:tc>
      </w:tr>
      <w:tr w:rsidR="004B45E5" w:rsidRPr="005C1498" w14:paraId="0226FA1A" w14:textId="77777777" w:rsidTr="00A64E33">
        <w:trPr>
          <w:trHeight w:val="20"/>
          <w:tblHeader/>
        </w:trPr>
        <w:tc>
          <w:tcPr>
            <w:tcW w:w="788" w:type="dxa"/>
            <w:noWrap/>
            <w:vAlign w:val="center"/>
            <w:hideMark/>
          </w:tcPr>
          <w:p w14:paraId="748C84E8"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61</w:t>
            </w:r>
          </w:p>
        </w:tc>
        <w:tc>
          <w:tcPr>
            <w:tcW w:w="985" w:type="dxa"/>
            <w:noWrap/>
            <w:vAlign w:val="center"/>
            <w:hideMark/>
          </w:tcPr>
          <w:p w14:paraId="4DD3A35A"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SNS</w:t>
            </w:r>
          </w:p>
        </w:tc>
        <w:tc>
          <w:tcPr>
            <w:tcW w:w="1199" w:type="dxa"/>
            <w:noWrap/>
            <w:vAlign w:val="center"/>
            <w:hideMark/>
          </w:tcPr>
          <w:p w14:paraId="4B2EA34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Southern North Sea</w:t>
            </w:r>
          </w:p>
        </w:tc>
        <w:tc>
          <w:tcPr>
            <w:tcW w:w="992" w:type="dxa"/>
            <w:noWrap/>
            <w:vAlign w:val="center"/>
            <w:hideMark/>
          </w:tcPr>
          <w:p w14:paraId="573A2CF0" w14:textId="77777777" w:rsidR="004B45E5" w:rsidRPr="00FD68F1" w:rsidRDefault="004B45E5" w:rsidP="00A64E33">
            <w:pPr>
              <w:spacing w:before="0" w:after="0"/>
              <w:rPr>
                <w:rFonts w:cs="Calibri"/>
                <w:color w:val="000000"/>
                <w:sz w:val="18"/>
                <w:szCs w:val="18"/>
                <w:lang w:val="nl-NL" w:eastAsia="en-GB"/>
              </w:rPr>
            </w:pPr>
            <w:r w:rsidRPr="00FD68F1">
              <w:rPr>
                <w:rFonts w:cs="Calibri"/>
                <w:color w:val="000000"/>
                <w:sz w:val="18"/>
                <w:szCs w:val="18"/>
                <w:lang w:val="nl-NL" w:eastAsia="en-GB"/>
              </w:rPr>
              <w:t>FR, BE, DE, NL, UK</w:t>
            </w:r>
          </w:p>
        </w:tc>
        <w:tc>
          <w:tcPr>
            <w:tcW w:w="851" w:type="dxa"/>
            <w:gridSpan w:val="2"/>
            <w:noWrap/>
            <w:vAlign w:val="center"/>
            <w:hideMark/>
          </w:tcPr>
          <w:p w14:paraId="6DDAC6B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13.0</w:t>
            </w:r>
          </w:p>
        </w:tc>
        <w:tc>
          <w:tcPr>
            <w:tcW w:w="851" w:type="dxa"/>
            <w:noWrap/>
            <w:vAlign w:val="center"/>
            <w:hideMark/>
          </w:tcPr>
          <w:p w14:paraId="7D06E213"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0.70</w:t>
            </w:r>
          </w:p>
        </w:tc>
        <w:tc>
          <w:tcPr>
            <w:tcW w:w="709" w:type="dxa"/>
            <w:noWrap/>
            <w:vAlign w:val="center"/>
            <w:hideMark/>
          </w:tcPr>
          <w:p w14:paraId="0C1BF3B5"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27612386"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549C8B11"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3.8</w:t>
            </w:r>
          </w:p>
        </w:tc>
        <w:tc>
          <w:tcPr>
            <w:tcW w:w="992" w:type="dxa"/>
            <w:gridSpan w:val="2"/>
            <w:noWrap/>
            <w:vAlign w:val="center"/>
            <w:hideMark/>
          </w:tcPr>
          <w:p w14:paraId="148FFEA5"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7328AFE5"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7AF0C79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7DE756B7" w14:textId="77777777" w:rsidTr="00A64E33">
        <w:trPr>
          <w:trHeight w:val="20"/>
          <w:tblHeader/>
        </w:trPr>
        <w:tc>
          <w:tcPr>
            <w:tcW w:w="788" w:type="dxa"/>
            <w:noWrap/>
            <w:vAlign w:val="center"/>
            <w:hideMark/>
          </w:tcPr>
          <w:p w14:paraId="2C557B1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62</w:t>
            </w:r>
          </w:p>
        </w:tc>
        <w:tc>
          <w:tcPr>
            <w:tcW w:w="985" w:type="dxa"/>
            <w:noWrap/>
            <w:vAlign w:val="center"/>
            <w:hideMark/>
          </w:tcPr>
          <w:p w14:paraId="6660957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SPM</w:t>
            </w:r>
          </w:p>
        </w:tc>
        <w:tc>
          <w:tcPr>
            <w:tcW w:w="1199" w:type="dxa"/>
            <w:noWrap/>
            <w:vAlign w:val="center"/>
            <w:hideMark/>
          </w:tcPr>
          <w:p w14:paraId="22532B8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Seine plume</w:t>
            </w:r>
          </w:p>
        </w:tc>
        <w:tc>
          <w:tcPr>
            <w:tcW w:w="992" w:type="dxa"/>
            <w:noWrap/>
            <w:vAlign w:val="center"/>
            <w:hideMark/>
          </w:tcPr>
          <w:p w14:paraId="6BBAD64D"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FR</w:t>
            </w:r>
          </w:p>
        </w:tc>
        <w:tc>
          <w:tcPr>
            <w:tcW w:w="851" w:type="dxa"/>
            <w:gridSpan w:val="2"/>
            <w:noWrap/>
            <w:vAlign w:val="center"/>
            <w:hideMark/>
          </w:tcPr>
          <w:p w14:paraId="79BC4181"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27.3</w:t>
            </w:r>
          </w:p>
        </w:tc>
        <w:tc>
          <w:tcPr>
            <w:tcW w:w="851" w:type="dxa"/>
            <w:noWrap/>
            <w:vAlign w:val="center"/>
            <w:hideMark/>
          </w:tcPr>
          <w:p w14:paraId="4629E3A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0.91</w:t>
            </w:r>
          </w:p>
        </w:tc>
        <w:tc>
          <w:tcPr>
            <w:tcW w:w="709" w:type="dxa"/>
            <w:noWrap/>
            <w:vAlign w:val="center"/>
            <w:hideMark/>
          </w:tcPr>
          <w:p w14:paraId="501060C1"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1F5C9E16"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F2980E4"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5.1</w:t>
            </w:r>
          </w:p>
        </w:tc>
        <w:tc>
          <w:tcPr>
            <w:tcW w:w="992" w:type="dxa"/>
            <w:gridSpan w:val="2"/>
            <w:noWrap/>
            <w:vAlign w:val="center"/>
            <w:hideMark/>
          </w:tcPr>
          <w:p w14:paraId="36428EE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32723414"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6244A128"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DIN: too high compared to existing French thresholds (WFD CWM: 29 and 33; MSFD Inshore 24.65, MSFD Offshore 20.3). Correction applied to HS1 values (38.52 becomes 27.3). Computed (HS1) with ECOMARS3D data only. Ref: ICG-Eut(1) 2022 p03_france_thresholdtests</w:t>
            </w:r>
          </w:p>
        </w:tc>
      </w:tr>
      <w:tr w:rsidR="004B45E5" w:rsidRPr="005C1498" w14:paraId="1AFE5BB8" w14:textId="77777777" w:rsidTr="00A64E33">
        <w:trPr>
          <w:trHeight w:val="20"/>
          <w:tblHeader/>
        </w:trPr>
        <w:tc>
          <w:tcPr>
            <w:tcW w:w="788" w:type="dxa"/>
            <w:noWrap/>
            <w:vAlign w:val="center"/>
            <w:hideMark/>
          </w:tcPr>
          <w:p w14:paraId="2EF6ACDB"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63</w:t>
            </w:r>
          </w:p>
        </w:tc>
        <w:tc>
          <w:tcPr>
            <w:tcW w:w="985" w:type="dxa"/>
            <w:noWrap/>
            <w:vAlign w:val="center"/>
            <w:hideMark/>
          </w:tcPr>
          <w:p w14:paraId="4852297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SS</w:t>
            </w:r>
          </w:p>
        </w:tc>
        <w:tc>
          <w:tcPr>
            <w:tcW w:w="1199" w:type="dxa"/>
            <w:noWrap/>
            <w:vAlign w:val="center"/>
            <w:hideMark/>
          </w:tcPr>
          <w:p w14:paraId="130EC21C"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Scottish Sea</w:t>
            </w:r>
          </w:p>
        </w:tc>
        <w:tc>
          <w:tcPr>
            <w:tcW w:w="992" w:type="dxa"/>
            <w:noWrap/>
            <w:vAlign w:val="center"/>
            <w:hideMark/>
          </w:tcPr>
          <w:p w14:paraId="38395EE6"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0BFA7646"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9.7</w:t>
            </w:r>
          </w:p>
        </w:tc>
        <w:tc>
          <w:tcPr>
            <w:tcW w:w="851" w:type="dxa"/>
            <w:noWrap/>
            <w:vAlign w:val="center"/>
            <w:hideMark/>
          </w:tcPr>
          <w:p w14:paraId="2298114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0.80</w:t>
            </w:r>
          </w:p>
        </w:tc>
        <w:tc>
          <w:tcPr>
            <w:tcW w:w="709" w:type="dxa"/>
            <w:noWrap/>
            <w:vAlign w:val="center"/>
            <w:hideMark/>
          </w:tcPr>
          <w:p w14:paraId="3EDCA7D1" w14:textId="77777777" w:rsidR="004B45E5" w:rsidRPr="005C1498" w:rsidRDefault="004B45E5" w:rsidP="00A64E33">
            <w:pPr>
              <w:spacing w:before="0" w:after="0"/>
              <w:jc w:val="right"/>
              <w:rPr>
                <w:rFonts w:cs="Calibri"/>
                <w:color w:val="000000"/>
                <w:sz w:val="18"/>
                <w:szCs w:val="18"/>
                <w:lang w:eastAsia="en-GB"/>
              </w:rPr>
            </w:pPr>
          </w:p>
        </w:tc>
        <w:tc>
          <w:tcPr>
            <w:tcW w:w="709" w:type="dxa"/>
            <w:noWrap/>
            <w:vAlign w:val="center"/>
            <w:hideMark/>
          </w:tcPr>
          <w:p w14:paraId="321EC588"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618CCC9E"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t>1.5</w:t>
            </w:r>
          </w:p>
        </w:tc>
        <w:tc>
          <w:tcPr>
            <w:tcW w:w="992" w:type="dxa"/>
            <w:gridSpan w:val="2"/>
            <w:noWrap/>
            <w:vAlign w:val="center"/>
            <w:hideMark/>
          </w:tcPr>
          <w:p w14:paraId="7192BDE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58C7ECB"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19E901FF"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ICG-EMO HS2 thresholds</w:t>
            </w:r>
          </w:p>
        </w:tc>
      </w:tr>
      <w:tr w:rsidR="004B45E5" w:rsidRPr="005C1498" w14:paraId="32F9C379" w14:textId="77777777" w:rsidTr="00A64E33">
        <w:trPr>
          <w:trHeight w:val="20"/>
          <w:tblHeader/>
        </w:trPr>
        <w:tc>
          <w:tcPr>
            <w:tcW w:w="788" w:type="dxa"/>
            <w:noWrap/>
            <w:vAlign w:val="center"/>
            <w:hideMark/>
          </w:tcPr>
          <w:p w14:paraId="2B1171A5" w14:textId="77777777" w:rsidR="004B45E5" w:rsidRPr="005C1498" w:rsidRDefault="004B45E5" w:rsidP="00A64E33">
            <w:pPr>
              <w:spacing w:before="0" w:after="0"/>
              <w:jc w:val="right"/>
              <w:rPr>
                <w:rFonts w:cs="Calibri"/>
                <w:color w:val="000000"/>
                <w:sz w:val="18"/>
                <w:szCs w:val="18"/>
                <w:lang w:eastAsia="en-GB"/>
              </w:rPr>
            </w:pPr>
            <w:r w:rsidRPr="005C1498">
              <w:rPr>
                <w:rFonts w:cs="Calibri"/>
                <w:color w:val="000000"/>
                <w:sz w:val="18"/>
                <w:szCs w:val="18"/>
                <w:lang w:eastAsia="en-GB"/>
              </w:rPr>
              <w:lastRenderedPageBreak/>
              <w:t>64</w:t>
            </w:r>
          </w:p>
        </w:tc>
        <w:tc>
          <w:tcPr>
            <w:tcW w:w="985" w:type="dxa"/>
            <w:noWrap/>
            <w:vAlign w:val="center"/>
            <w:hideMark/>
          </w:tcPr>
          <w:p w14:paraId="57418B93"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THPM</w:t>
            </w:r>
          </w:p>
        </w:tc>
        <w:tc>
          <w:tcPr>
            <w:tcW w:w="1199" w:type="dxa"/>
            <w:noWrap/>
            <w:vAlign w:val="center"/>
            <w:hideMark/>
          </w:tcPr>
          <w:p w14:paraId="08946EEE"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Thames plume</w:t>
            </w:r>
          </w:p>
        </w:tc>
        <w:tc>
          <w:tcPr>
            <w:tcW w:w="992" w:type="dxa"/>
            <w:noWrap/>
            <w:vAlign w:val="center"/>
            <w:hideMark/>
          </w:tcPr>
          <w:p w14:paraId="417062D9"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UK</w:t>
            </w:r>
          </w:p>
        </w:tc>
        <w:tc>
          <w:tcPr>
            <w:tcW w:w="851" w:type="dxa"/>
            <w:gridSpan w:val="2"/>
            <w:noWrap/>
            <w:vAlign w:val="center"/>
            <w:hideMark/>
          </w:tcPr>
          <w:p w14:paraId="0F8CF620"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16.9</w:t>
            </w:r>
          </w:p>
        </w:tc>
        <w:tc>
          <w:tcPr>
            <w:tcW w:w="851" w:type="dxa"/>
            <w:noWrap/>
            <w:vAlign w:val="center"/>
            <w:hideMark/>
          </w:tcPr>
          <w:p w14:paraId="2DCAF48E"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1.04</w:t>
            </w:r>
          </w:p>
        </w:tc>
        <w:tc>
          <w:tcPr>
            <w:tcW w:w="709" w:type="dxa"/>
            <w:noWrap/>
            <w:vAlign w:val="center"/>
            <w:hideMark/>
          </w:tcPr>
          <w:p w14:paraId="5E14B7A3" w14:textId="77777777" w:rsidR="004B45E5" w:rsidRPr="005C1498" w:rsidRDefault="004B45E5" w:rsidP="00A64E33">
            <w:pPr>
              <w:spacing w:before="0" w:after="0"/>
              <w:jc w:val="right"/>
              <w:rPr>
                <w:rFonts w:cs="Calibri"/>
                <w:b/>
                <w:bCs/>
                <w:color w:val="000000"/>
                <w:sz w:val="18"/>
                <w:szCs w:val="18"/>
                <w:lang w:eastAsia="en-GB"/>
              </w:rPr>
            </w:pPr>
          </w:p>
        </w:tc>
        <w:tc>
          <w:tcPr>
            <w:tcW w:w="709" w:type="dxa"/>
            <w:noWrap/>
            <w:vAlign w:val="center"/>
            <w:hideMark/>
          </w:tcPr>
          <w:p w14:paraId="5BD5D010" w14:textId="77777777" w:rsidR="004B45E5" w:rsidRPr="005C1498" w:rsidRDefault="004B45E5" w:rsidP="00A64E33">
            <w:pPr>
              <w:spacing w:before="0" w:after="0"/>
              <w:rPr>
                <w:sz w:val="18"/>
                <w:szCs w:val="18"/>
                <w:lang w:eastAsia="en-GB"/>
              </w:rPr>
            </w:pPr>
          </w:p>
        </w:tc>
        <w:tc>
          <w:tcPr>
            <w:tcW w:w="1134" w:type="dxa"/>
            <w:gridSpan w:val="2"/>
            <w:noWrap/>
            <w:vAlign w:val="center"/>
            <w:hideMark/>
          </w:tcPr>
          <w:p w14:paraId="349BEC93" w14:textId="77777777" w:rsidR="004B45E5" w:rsidRPr="005C1498" w:rsidRDefault="004B45E5" w:rsidP="00A64E33">
            <w:pPr>
              <w:spacing w:before="0" w:after="0"/>
              <w:jc w:val="right"/>
              <w:rPr>
                <w:rFonts w:cs="Calibri"/>
                <w:b/>
                <w:bCs/>
                <w:color w:val="000000"/>
                <w:sz w:val="18"/>
                <w:szCs w:val="18"/>
                <w:lang w:eastAsia="en-GB"/>
              </w:rPr>
            </w:pPr>
            <w:r w:rsidRPr="005C1498">
              <w:rPr>
                <w:rFonts w:cs="Calibri"/>
                <w:b/>
                <w:bCs/>
                <w:color w:val="000000"/>
                <w:sz w:val="18"/>
                <w:szCs w:val="18"/>
                <w:lang w:eastAsia="en-GB"/>
              </w:rPr>
              <w:t>7.4</w:t>
            </w:r>
          </w:p>
        </w:tc>
        <w:tc>
          <w:tcPr>
            <w:tcW w:w="992" w:type="dxa"/>
            <w:gridSpan w:val="2"/>
            <w:noWrap/>
            <w:vAlign w:val="center"/>
            <w:hideMark/>
          </w:tcPr>
          <w:p w14:paraId="5CCF996B"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6.0</w:t>
            </w:r>
          </w:p>
        </w:tc>
        <w:tc>
          <w:tcPr>
            <w:tcW w:w="714" w:type="dxa"/>
            <w:noWrap/>
            <w:vAlign w:val="center"/>
            <w:hideMark/>
          </w:tcPr>
          <w:p w14:paraId="233D8BCB" w14:textId="77777777" w:rsidR="004B45E5" w:rsidRPr="005C1498" w:rsidRDefault="004B45E5" w:rsidP="00A64E33">
            <w:pPr>
              <w:spacing w:before="0" w:after="0"/>
              <w:rPr>
                <w:rFonts w:cs="Calibri"/>
                <w:color w:val="000000"/>
                <w:sz w:val="18"/>
                <w:szCs w:val="18"/>
                <w:lang w:eastAsia="en-GB"/>
              </w:rPr>
            </w:pPr>
          </w:p>
        </w:tc>
        <w:tc>
          <w:tcPr>
            <w:tcW w:w="4388" w:type="dxa"/>
            <w:gridSpan w:val="2"/>
            <w:vAlign w:val="center"/>
            <w:hideMark/>
          </w:tcPr>
          <w:p w14:paraId="0B28B022" w14:textId="77777777" w:rsidR="004B45E5" w:rsidRPr="005C1498" w:rsidRDefault="004B45E5" w:rsidP="00A64E33">
            <w:pPr>
              <w:spacing w:before="0" w:after="0"/>
              <w:rPr>
                <w:rFonts w:cs="Calibri"/>
                <w:color w:val="000000"/>
                <w:sz w:val="18"/>
                <w:szCs w:val="18"/>
                <w:lang w:eastAsia="en-GB"/>
              </w:rPr>
            </w:pPr>
            <w:r w:rsidRPr="005C1498">
              <w:rPr>
                <w:rFonts w:cs="Calibri"/>
                <w:color w:val="000000"/>
                <w:sz w:val="18"/>
                <w:szCs w:val="18"/>
                <w:lang w:eastAsia="en-GB"/>
              </w:rPr>
              <w:t xml:space="preserve">correction factor based on relative method. The UK broadly accepts the thresholds from the weighted ensemble modelling as they have a scientific evidence base. This evidence base stems from the agreed assumption of setting the best /high condition as year 1900. The nutrient reduction scenarios as defined by the e-hype project. The ensemble modelling used the best available modelling which then produced estimates of the best condition.  There are a few specific regions, the plume areas, where the weighted modelling work produces very different estimates from the relative method.  Furthermore, for the Thames, Humber and Liverpool Bay regions the relative method produce thresholds which are more consistent with similar type environments, along the Netherlands and German coasts. In these regions the relative method is used. In all other regions the weighted ensemble method is accepted. For the UK there is no distinction between the HS1 or HS2 scenarios, therefore which ever has the greatest scientific evidence should be used. The use of 50% as a suitable anthropogenic impact (AD),  is accepted on the basis of reaching consensus with contracting parties. The UK would like to see more discussion and implementation of a process that calculates AD based on the natural variability from in-situ and modelled data. </w:t>
            </w:r>
          </w:p>
        </w:tc>
      </w:tr>
    </w:tbl>
    <w:p w14:paraId="32CCB87F" w14:textId="77777777" w:rsidR="004B45E5" w:rsidRDefault="004B45E5" w:rsidP="004B45E5">
      <w:pPr>
        <w:sectPr w:rsidR="004B45E5" w:rsidSect="005C1498">
          <w:pgSz w:w="15840" w:h="12240" w:orient="landscape"/>
          <w:pgMar w:top="1179" w:right="1140" w:bottom="1281" w:left="1140" w:header="720" w:footer="720" w:gutter="0"/>
          <w:cols w:space="720"/>
          <w:titlePg/>
          <w:docGrid w:linePitch="360"/>
        </w:sectPr>
      </w:pPr>
    </w:p>
    <w:p w14:paraId="754DECF4" w14:textId="0238D4A8" w:rsidR="004B45E5" w:rsidRDefault="00B02126" w:rsidP="00B02126">
      <w:pPr>
        <w:pStyle w:val="Caption"/>
      </w:pPr>
      <w:bookmarkStart w:id="9" w:name="_Toc139460656"/>
      <w:r>
        <w:lastRenderedPageBreak/>
        <w:t xml:space="preserve">Supplementary Figure S </w:t>
      </w:r>
      <w:fldSimple w:instr=" SEQ Supplementary_Figure_S \* ARABIC ">
        <w:r w:rsidR="00A41E40">
          <w:rPr>
            <w:noProof/>
          </w:rPr>
          <w:t>1</w:t>
        </w:r>
      </w:fldSimple>
      <w:r w:rsidR="006F33B0" w:rsidRPr="00C86B34">
        <w:t>Annual assessment of individual parameters is based on annual measured values for each common indicator</w:t>
      </w:r>
      <w:r w:rsidR="004B45E5">
        <w:t>*</w:t>
      </w:r>
      <w:r w:rsidR="006F33B0" w:rsidRPr="00C86B34">
        <w:t>.</w:t>
      </w:r>
      <w:bookmarkEnd w:id="9"/>
      <w:r w:rsidR="006F33B0" w:rsidRPr="00C86B34">
        <w:t xml:space="preserve"> </w:t>
      </w:r>
    </w:p>
    <w:p w14:paraId="59F49C2C" w14:textId="49883B3C" w:rsidR="006F33B0" w:rsidRPr="00C86B34" w:rsidRDefault="004B45E5" w:rsidP="006F33B0">
      <w:pPr>
        <w:pStyle w:val="Caption"/>
      </w:pPr>
      <w:r>
        <w:t>*</w:t>
      </w:r>
      <w:r w:rsidR="006F33B0" w:rsidRPr="00C86B34">
        <w:t xml:space="preserve">Annual Ecological Quality Ratio values (EQR) are calculated from reference conditions and measured values. Final multi-year EQR is based on the ‘average of annual EQR values’. Calculation of the annual EQR is dependent on adequate data availability. All results will be converted to an EQR value scaled (EQRS) to a uniform range between 0-1 (worst case to best case). The EQR is calculated by dividing the reference value by the measured value for nutrients and chlorophyll and vice versa for oxygen and Secchi depth. The calculations for this are undertaken in COMPEAT in a stepwise manner </w:t>
      </w:r>
    </w:p>
    <w:p w14:paraId="1818252B" w14:textId="77777777" w:rsidR="006F33B0" w:rsidRDefault="006F33B0" w:rsidP="006F33B0">
      <w:pPr>
        <w:keepNext/>
        <w:rPr>
          <w:rFonts w:cs="Times New Roman"/>
          <w:b/>
          <w:szCs w:val="24"/>
        </w:rPr>
      </w:pPr>
      <w:r>
        <w:rPr>
          <w:rFonts w:asciiTheme="minorHAnsi" w:hAnsiTheme="minorHAnsi" w:cstheme="minorHAnsi"/>
          <w:bCs/>
          <w:i/>
          <w:iCs/>
          <w:noProof/>
        </w:rPr>
        <w:drawing>
          <wp:inline distT="0" distB="0" distL="0" distR="0" wp14:anchorId="62125CAA" wp14:editId="7579DEFD">
            <wp:extent cx="6128084" cy="3429111"/>
            <wp:effectExtent l="0" t="0" r="6350" b="0"/>
            <wp:docPr id="1017095968" name="Picture 101709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42852" cy="3437375"/>
                    </a:xfrm>
                    <a:prstGeom prst="rect">
                      <a:avLst/>
                    </a:prstGeom>
                    <a:noFill/>
                  </pic:spPr>
                </pic:pic>
              </a:graphicData>
            </a:graphic>
          </wp:inline>
        </w:drawing>
      </w:r>
    </w:p>
    <w:p w14:paraId="7156ACA6" w14:textId="77777777" w:rsidR="006F33B0" w:rsidRPr="002B4A57" w:rsidRDefault="006F33B0" w:rsidP="006F33B0">
      <w:pPr>
        <w:keepNext/>
        <w:rPr>
          <w:rFonts w:cs="Times New Roman"/>
          <w:b/>
          <w:szCs w:val="24"/>
        </w:rPr>
      </w:pPr>
    </w:p>
    <w:p w14:paraId="0E3F28EC" w14:textId="0A554A89" w:rsidR="00F12E7E" w:rsidRPr="004B45E5" w:rsidRDefault="006F33B0">
      <w:pPr>
        <w:spacing w:before="0" w:after="200" w:line="276" w:lineRule="auto"/>
        <w:rPr>
          <w:rFonts w:eastAsia="Cambria" w:cs="Times New Roman"/>
          <w:b/>
          <w:szCs w:val="24"/>
        </w:rPr>
      </w:pPr>
      <w:r>
        <w:br w:type="page"/>
      </w:r>
    </w:p>
    <w:p w14:paraId="5FE8239F" w14:textId="17AC0827" w:rsidR="00F12E7E" w:rsidRDefault="00B02126" w:rsidP="00B02126">
      <w:pPr>
        <w:pStyle w:val="Caption"/>
      </w:pPr>
      <w:bookmarkStart w:id="10" w:name="_Toc139460657"/>
      <w:r w:rsidRPr="00C81B10">
        <w:rPr>
          <w:rFonts w:asciiTheme="minorHAnsi" w:hAnsiTheme="minorHAnsi" w:cstheme="minorHAnsi"/>
          <w:i/>
          <w:noProof/>
        </w:rPr>
        <w:lastRenderedPageBreak/>
        <mc:AlternateContent>
          <mc:Choice Requires="wps">
            <w:drawing>
              <wp:anchor distT="45720" distB="45720" distL="114300" distR="114300" simplePos="0" relativeHeight="251676672" behindDoc="0" locked="0" layoutInCell="1" allowOverlap="1" wp14:anchorId="7AB341B3" wp14:editId="21F81918">
                <wp:simplePos x="0" y="0"/>
                <wp:positionH relativeFrom="column">
                  <wp:posOffset>-339348</wp:posOffset>
                </wp:positionH>
                <wp:positionV relativeFrom="paragraph">
                  <wp:posOffset>4709160</wp:posOffset>
                </wp:positionV>
                <wp:extent cx="7188200" cy="702945"/>
                <wp:effectExtent l="38100" t="0" r="0" b="400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702945"/>
                        </a:xfrm>
                        <a:prstGeom prst="downArrow">
                          <a:avLst/>
                        </a:prstGeom>
                        <a:solidFill>
                          <a:schemeClr val="accent1">
                            <a:lumMod val="20000"/>
                            <a:lumOff val="80000"/>
                          </a:schemeClr>
                        </a:solidFill>
                        <a:ln w="9525">
                          <a:solidFill>
                            <a:srgbClr val="000000"/>
                          </a:solidFill>
                          <a:miter lim="800000"/>
                          <a:headEnd/>
                          <a:tailEnd/>
                        </a:ln>
                      </wps:spPr>
                      <wps:txbx>
                        <w:txbxContent>
                          <w:p w14:paraId="57DE4B51" w14:textId="77777777" w:rsidR="00B01411" w:rsidRPr="004C4E26" w:rsidRDefault="00B01411" w:rsidP="00D7698C">
                            <w:pPr>
                              <w:jc w:val="center"/>
                              <w:rPr>
                                <w:rFonts w:asciiTheme="minorHAnsi" w:hAnsiTheme="minorHAnsi" w:cstheme="minorHAnsi"/>
                              </w:rPr>
                            </w:pPr>
                            <w:r>
                              <w:rPr>
                                <w:rFonts w:asciiTheme="minorHAnsi" w:hAnsiTheme="minorHAnsi" w:cstheme="minorHAnsi"/>
                              </w:rPr>
                              <w:t>C</w:t>
                            </w:r>
                            <w:r w:rsidRPr="004C4E26">
                              <w:rPr>
                                <w:rFonts w:asciiTheme="minorHAnsi" w:hAnsiTheme="minorHAnsi" w:cstheme="minorHAnsi"/>
                              </w:rPr>
                              <w:t>onfidence class boundaries for general temporal confidence for winter nutrients and chlorophyll in the growing season.</w:t>
                            </w:r>
                          </w:p>
                          <w:p w14:paraId="05FC5140" w14:textId="77777777" w:rsidR="00B01411" w:rsidRDefault="00B01411" w:rsidP="00D7698C">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341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Text Box 2" o:spid="_x0000_s1026" type="#_x0000_t67" style="position:absolute;margin-left:-26.7pt;margin-top:370.8pt;width:566pt;height:55.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" adj="10800" fillcolor="#dbe5f1 [660]">
                <v:textbox inset="0,0,0,0">
                  <w:txbxContent>
                    <w:p w14:paraId="57DE4B51" w14:textId="77777777" w:rsidR="00B01411" w:rsidRPr="004C4E26" w:rsidRDefault="00B01411" w:rsidP="00D7698C">
                      <w:pPr>
                        <w:jc w:val="center"/>
                        <w:rPr>
                          <w:rFonts w:asciiTheme="minorHAnsi" w:hAnsiTheme="minorHAnsi" w:cstheme="minorHAnsi"/>
                        </w:rPr>
                      </w:pPr>
                      <w:r>
                        <w:rPr>
                          <w:rFonts w:asciiTheme="minorHAnsi" w:hAnsiTheme="minorHAnsi" w:cstheme="minorHAnsi"/>
                        </w:rPr>
                        <w:t>C</w:t>
                      </w:r>
                      <w:r w:rsidRPr="004C4E26">
                        <w:rPr>
                          <w:rFonts w:asciiTheme="minorHAnsi" w:hAnsiTheme="minorHAnsi" w:cstheme="minorHAnsi"/>
                        </w:rPr>
                        <w:t>onfidence class boundaries for general temporal confidence for winter nutrients and chlorophyll in the growing season.</w:t>
                      </w:r>
                    </w:p>
                    <w:p w14:paraId="05FC5140" w14:textId="77777777" w:rsidR="00B01411" w:rsidRDefault="00B01411" w:rsidP="00D7698C">
                      <w:pPr>
                        <w:jc w:val="center"/>
                      </w:pPr>
                    </w:p>
                  </w:txbxContent>
                </v:textbox>
                <w10:wrap type="square"/>
              </v:shape>
            </w:pict>
          </mc:Fallback>
        </mc:AlternateContent>
      </w:r>
      <w:r w:rsidR="004B45E5" w:rsidRPr="00F12E7E">
        <w:rPr>
          <w:rFonts w:asciiTheme="minorHAnsi" w:hAnsiTheme="minorHAnsi" w:cstheme="minorHAnsi"/>
          <w:noProof/>
        </w:rPr>
        <mc:AlternateContent>
          <mc:Choice Requires="wps">
            <w:drawing>
              <wp:anchor distT="45720" distB="45720" distL="114300" distR="114300" simplePos="0" relativeHeight="251666432" behindDoc="0" locked="0" layoutInCell="1" allowOverlap="1" wp14:anchorId="20717062" wp14:editId="067826FD">
                <wp:simplePos x="0" y="0"/>
                <wp:positionH relativeFrom="column">
                  <wp:posOffset>-420370</wp:posOffset>
                </wp:positionH>
                <wp:positionV relativeFrom="paragraph">
                  <wp:posOffset>366123</wp:posOffset>
                </wp:positionV>
                <wp:extent cx="7075805" cy="1504950"/>
                <wp:effectExtent l="0" t="0" r="1079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1504950"/>
                        </a:xfrm>
                        <a:prstGeom prst="rect">
                          <a:avLst/>
                        </a:prstGeom>
                        <a:solidFill>
                          <a:srgbClr val="FFFFFF"/>
                        </a:solidFill>
                        <a:ln w="9525">
                          <a:solidFill>
                            <a:srgbClr val="000000"/>
                          </a:solidFill>
                          <a:miter lim="800000"/>
                          <a:headEnd/>
                          <a:tailEnd/>
                        </a:ln>
                      </wps:spPr>
                      <wps:txbx>
                        <w:txbxContent>
                          <w:p w14:paraId="3471D5FF" w14:textId="04C0F8F6" w:rsidR="00B01411" w:rsidRPr="004C4E26" w:rsidRDefault="00B01411" w:rsidP="00F12E7E">
                            <w:pPr>
                              <w:rPr>
                                <w:rFonts w:asciiTheme="minorHAnsi" w:hAnsiTheme="minorHAnsi" w:cstheme="minorHAnsi"/>
                              </w:rPr>
                            </w:pPr>
                            <w:r w:rsidRPr="004C4E26">
                              <w:rPr>
                                <w:rFonts w:asciiTheme="minorHAnsi" w:hAnsiTheme="minorHAnsi" w:cstheme="minorHAnsi"/>
                              </w:rPr>
                              <w:t>The aspect of temporal coverage of monitoring data considers the confidence of the parameter in terms of its year-to-year variation and the continuity of observations during the parameter-specific assessment seasons (winter, growing season). The general temporal confidence is assessed based on the number of annual observations during the assessment period, whereas for the specific temporal confidence the number of missing months in the respective assessment periods of the different parameters determines the classification. The different natural variability of winter nutrients and chlorophyll in the growing season, as well as the different length of the assessment season, is reflected in the confidence class boundaries with different requirements</w:t>
                            </w:r>
                          </w:p>
                          <w:p w14:paraId="4BA5BF5A" w14:textId="7E99BA1A" w:rsidR="00B01411" w:rsidRDefault="00B01411"/>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17062" id="_x0000_t202" coordsize="21600,21600" o:spt="202" path="m,l,21600r21600,l21600,xe">
                <v:stroke joinstyle="miter"/>
                <v:path gradientshapeok="t" o:connecttype="rect"/>
              </v:shapetype>
              <v:shape id="_x0000_s1027" type="#_x0000_t202" style="position:absolute;margin-left:-33.1pt;margin-top:28.85pt;width:557.15pt;height:11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">
                <v:textbox inset="1mm,0,1mm,0">
                  <w:txbxContent>
                    <w:p w14:paraId="3471D5FF" w14:textId="04C0F8F6" w:rsidR="00B01411" w:rsidRPr="004C4E26" w:rsidRDefault="00B01411" w:rsidP="00F12E7E">
                      <w:pPr>
                        <w:rPr>
                          <w:rFonts w:asciiTheme="minorHAnsi" w:hAnsiTheme="minorHAnsi" w:cstheme="minorHAnsi"/>
                        </w:rPr>
                      </w:pPr>
                      <w:r w:rsidRPr="004C4E26">
                        <w:rPr>
                          <w:rFonts w:asciiTheme="minorHAnsi" w:hAnsiTheme="minorHAnsi" w:cstheme="minorHAnsi"/>
                        </w:rPr>
                        <w:t>The aspect of temporal coverage of monitoring data considers the confidence of the parameter in terms of its year-to-year variation and the continuity of observations during the parameter-specific assessment seasons (winter, growing season). The general temporal confidence is assessed based on the number of annual observations during the assessment period, whereas for the specific temporal confidence the number of missing months in the respective assessment periods of the different parameters determines the classification. The different natural variability of winter nutrients and chlorophyll in the growing season, as well as the different length of the assessment season, is reflected in the confidence class boundaries with different requirements</w:t>
                      </w:r>
                    </w:p>
                    <w:p w14:paraId="4BA5BF5A" w14:textId="7E99BA1A" w:rsidR="00B01411" w:rsidRDefault="00B01411"/>
                  </w:txbxContent>
                </v:textbox>
                <w10:wrap type="square"/>
              </v:shape>
            </w:pict>
          </mc:Fallback>
        </mc:AlternateContent>
      </w:r>
      <w:r w:rsidR="0070330E" w:rsidRPr="00C81B10">
        <w:rPr>
          <w:rFonts w:asciiTheme="minorHAnsi" w:hAnsiTheme="minorHAnsi" w:cstheme="minorHAnsi"/>
          <w:i/>
          <w:noProof/>
        </w:rPr>
        <mc:AlternateContent>
          <mc:Choice Requires="wps">
            <w:drawing>
              <wp:anchor distT="45720" distB="45720" distL="114300" distR="114300" simplePos="0" relativeHeight="251668480" behindDoc="0" locked="0" layoutInCell="1" allowOverlap="1" wp14:anchorId="3B25E157" wp14:editId="3A8647B9">
                <wp:simplePos x="0" y="0"/>
                <wp:positionH relativeFrom="column">
                  <wp:posOffset>-775970</wp:posOffset>
                </wp:positionH>
                <wp:positionV relativeFrom="paragraph">
                  <wp:posOffset>1881944</wp:posOffset>
                </wp:positionV>
                <wp:extent cx="7272655" cy="661035"/>
                <wp:effectExtent l="38100" t="0" r="0" b="438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655" cy="661035"/>
                        </a:xfrm>
                        <a:prstGeom prst="downArrow">
                          <a:avLst/>
                        </a:prstGeom>
                        <a:solidFill>
                          <a:schemeClr val="accent1">
                            <a:lumMod val="20000"/>
                            <a:lumOff val="80000"/>
                          </a:schemeClr>
                        </a:solidFill>
                        <a:ln w="9525">
                          <a:solidFill>
                            <a:srgbClr val="000000"/>
                          </a:solidFill>
                          <a:miter lim="800000"/>
                          <a:headEnd/>
                          <a:tailEnd/>
                        </a:ln>
                      </wps:spPr>
                      <wps:txbx>
                        <w:txbxContent>
                          <w:p w14:paraId="547927B0" w14:textId="627417CF" w:rsidR="00B01411" w:rsidRPr="004C4E26" w:rsidRDefault="00B01411" w:rsidP="00D7698C">
                            <w:pPr>
                              <w:jc w:val="center"/>
                              <w:rPr>
                                <w:rFonts w:asciiTheme="minorHAnsi" w:hAnsiTheme="minorHAnsi" w:cstheme="minorHAnsi"/>
                              </w:rPr>
                            </w:pPr>
                            <w:r>
                              <w:rPr>
                                <w:rFonts w:asciiTheme="minorHAnsi" w:hAnsiTheme="minorHAnsi" w:cstheme="minorHAnsi"/>
                              </w:rPr>
                              <w:t>C</w:t>
                            </w:r>
                            <w:r w:rsidRPr="004C4E26">
                              <w:rPr>
                                <w:rFonts w:asciiTheme="minorHAnsi" w:hAnsiTheme="minorHAnsi" w:cstheme="minorHAnsi"/>
                              </w:rPr>
                              <w:t>onfidence class boundaries for general temporal confidence for winter nutrients and chlorophyll in the growing season.</w:t>
                            </w:r>
                          </w:p>
                          <w:p w14:paraId="6313B5FC" w14:textId="43F977E3" w:rsidR="00B01411" w:rsidRDefault="00B01411" w:rsidP="00D7698C">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5E157" id="_x0000_s1028" type="#_x0000_t67" style="position:absolute;margin-left:-61.1pt;margin-top:148.2pt;width:572.65pt;height:52.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" adj="10800" fillcolor="#dbe5f1 [660]">
                <v:textbox inset="0,0,0,0">
                  <w:txbxContent>
                    <w:p w14:paraId="547927B0" w14:textId="627417CF" w:rsidR="00B01411" w:rsidRPr="004C4E26" w:rsidRDefault="00B01411" w:rsidP="00D7698C">
                      <w:pPr>
                        <w:jc w:val="center"/>
                        <w:rPr>
                          <w:rFonts w:asciiTheme="minorHAnsi" w:hAnsiTheme="minorHAnsi" w:cstheme="minorHAnsi"/>
                        </w:rPr>
                      </w:pPr>
                      <w:r>
                        <w:rPr>
                          <w:rFonts w:asciiTheme="minorHAnsi" w:hAnsiTheme="minorHAnsi" w:cstheme="minorHAnsi"/>
                        </w:rPr>
                        <w:t>C</w:t>
                      </w:r>
                      <w:r w:rsidRPr="004C4E26">
                        <w:rPr>
                          <w:rFonts w:asciiTheme="minorHAnsi" w:hAnsiTheme="minorHAnsi" w:cstheme="minorHAnsi"/>
                        </w:rPr>
                        <w:t>onfidence class boundaries for general temporal confidence for winter nutrients and chlorophyll in the growing season.</w:t>
                      </w:r>
                    </w:p>
                    <w:p w14:paraId="6313B5FC" w14:textId="43F977E3" w:rsidR="00B01411" w:rsidRDefault="00B01411" w:rsidP="00D7698C">
                      <w:pPr>
                        <w:jc w:val="center"/>
                      </w:pPr>
                    </w:p>
                  </w:txbxContent>
                </v:textbox>
                <w10:wrap type="square"/>
              </v:shape>
            </w:pict>
          </mc:Fallback>
        </mc:AlternateContent>
      </w:r>
      <w:r w:rsidR="00C81B10">
        <w:rPr>
          <w:noProof/>
        </w:rPr>
        <mc:AlternateContent>
          <mc:Choice Requires="wps">
            <w:drawing>
              <wp:anchor distT="45720" distB="45720" distL="114300" distR="114300" simplePos="0" relativeHeight="251664384" behindDoc="0" locked="0" layoutInCell="1" allowOverlap="1" wp14:anchorId="7B98E440" wp14:editId="731FD098">
                <wp:simplePos x="0" y="0"/>
                <wp:positionH relativeFrom="column">
                  <wp:posOffset>1820203</wp:posOffset>
                </wp:positionH>
                <wp:positionV relativeFrom="paragraph">
                  <wp:posOffset>768350</wp:posOffset>
                </wp:positionV>
                <wp:extent cx="2360930" cy="1404620"/>
                <wp:effectExtent l="0" t="0" r="12065"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60000"/>
                            <a:lumOff val="40000"/>
                          </a:schemeClr>
                        </a:solidFill>
                        <a:ln w="9525">
                          <a:solidFill>
                            <a:srgbClr val="000000"/>
                          </a:solidFill>
                          <a:miter lim="800000"/>
                          <a:headEnd/>
                          <a:tailEnd/>
                        </a:ln>
                      </wps:spPr>
                      <wps:txbx>
                        <w:txbxContent>
                          <w:p w14:paraId="16234BFD" w14:textId="5869E5A7" w:rsidR="00B01411" w:rsidRDefault="00B01411">
                            <w:r>
                              <w:t>Temporal Confidence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98E440" id="_x0000_s1029" type="#_x0000_t202" style="position:absolute;margin-left:143.3pt;margin-top:60.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" fillcolor="#95b3d7 [1940]">
                <v:textbox style="mso-fit-shape-to-text:t">
                  <w:txbxContent>
                    <w:p w14:paraId="16234BFD" w14:textId="5869E5A7" w:rsidR="00B01411" w:rsidRDefault="00B01411">
                      <w:r>
                        <w:t>Temporal Confidence</w:t>
                      </w:r>
                    </w:p>
                  </w:txbxContent>
                </v:textbox>
                <w10:wrap type="square"/>
              </v:shape>
            </w:pict>
          </mc:Fallback>
        </mc:AlternateContent>
      </w:r>
      <w:r>
        <w:t xml:space="preserve">Supplementary Figure S </w:t>
      </w:r>
      <w:fldSimple w:instr=" SEQ Supplementary_Figure_S \* ARABIC ">
        <w:r w:rsidR="00A41E40">
          <w:rPr>
            <w:noProof/>
          </w:rPr>
          <w:t>2</w:t>
        </w:r>
      </w:fldSimple>
      <w:r>
        <w:t>:</w:t>
      </w:r>
      <w:r w:rsidR="00D7698C">
        <w:t>Assessment of temporal confidence</w:t>
      </w:r>
      <w:bookmarkEnd w:id="10"/>
      <w:r w:rsidR="00D7698C">
        <w:t xml:space="preserve"> </w:t>
      </w:r>
    </w:p>
    <w:tbl>
      <w:tblPr>
        <w:tblW w:w="10480" w:type="dxa"/>
        <w:tblCellMar>
          <w:left w:w="0" w:type="dxa"/>
          <w:right w:w="0" w:type="dxa"/>
        </w:tblCellMar>
        <w:tblLook w:val="04A0" w:firstRow="1" w:lastRow="0" w:firstColumn="1" w:lastColumn="0" w:noHBand="0" w:noVBand="1"/>
      </w:tblPr>
      <w:tblGrid>
        <w:gridCol w:w="1373"/>
        <w:gridCol w:w="4287"/>
        <w:gridCol w:w="4820"/>
      </w:tblGrid>
      <w:tr w:rsidR="00F12E7E" w:rsidRPr="004C4E26" w14:paraId="73C6CE96" w14:textId="77777777" w:rsidTr="00254D5B">
        <w:trPr>
          <w:trHeight w:val="20"/>
        </w:trPr>
        <w:tc>
          <w:tcPr>
            <w:tcW w:w="13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CDDEC89" w14:textId="59A279CD" w:rsidR="00F12E7E" w:rsidRPr="004C4E26" w:rsidRDefault="00F12E7E" w:rsidP="00F12E7E">
            <w:pPr>
              <w:rPr>
                <w:rFonts w:asciiTheme="minorHAnsi" w:hAnsiTheme="minorHAnsi" w:cstheme="minorHAnsi"/>
              </w:rPr>
            </w:pPr>
            <w:bookmarkStart w:id="11" w:name="_Hlk43131416"/>
            <w:r w:rsidRPr="004C4E26">
              <w:rPr>
                <w:rFonts w:asciiTheme="minorHAnsi" w:hAnsiTheme="minorHAnsi" w:cstheme="minorHAnsi"/>
                <w:b/>
                <w:bCs/>
              </w:rPr>
              <w:t>Score</w:t>
            </w:r>
          </w:p>
        </w:tc>
        <w:tc>
          <w:tcPr>
            <w:tcW w:w="428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8C7F873" w14:textId="25C6FC42" w:rsidR="00F12E7E" w:rsidRPr="004C4E26" w:rsidRDefault="00F12E7E" w:rsidP="00F12E7E">
            <w:pPr>
              <w:rPr>
                <w:rFonts w:asciiTheme="minorHAnsi" w:hAnsiTheme="minorHAnsi" w:cstheme="minorHAnsi"/>
              </w:rPr>
            </w:pPr>
            <w:r w:rsidRPr="004C4E26">
              <w:rPr>
                <w:rFonts w:asciiTheme="minorHAnsi" w:hAnsiTheme="minorHAnsi" w:cstheme="minorHAnsi"/>
                <w:b/>
                <w:bCs/>
              </w:rPr>
              <w:t>Evaluation criteria for general temporal confidence of winter nutrients (XII-II)</w:t>
            </w:r>
          </w:p>
        </w:tc>
        <w:tc>
          <w:tcPr>
            <w:tcW w:w="4820"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7A92FB7C" w14:textId="61F137E0" w:rsidR="00F12E7E" w:rsidRPr="004C4E26" w:rsidRDefault="00F12E7E" w:rsidP="00F12E7E">
            <w:pPr>
              <w:rPr>
                <w:rFonts w:asciiTheme="minorHAnsi" w:hAnsiTheme="minorHAnsi" w:cstheme="minorHAnsi"/>
                <w:b/>
                <w:bCs/>
              </w:rPr>
            </w:pPr>
            <w:r w:rsidRPr="004C4E26">
              <w:rPr>
                <w:rFonts w:asciiTheme="minorHAnsi" w:hAnsiTheme="minorHAnsi" w:cstheme="minorHAnsi"/>
                <w:b/>
                <w:bCs/>
              </w:rPr>
              <w:t>Evaluation criteria for general temporal confidence of chlorophyll (III-IX)</w:t>
            </w:r>
          </w:p>
        </w:tc>
      </w:tr>
      <w:tr w:rsidR="00F12E7E" w:rsidRPr="004C4E26" w14:paraId="4AD719F6" w14:textId="77777777" w:rsidTr="00254D5B">
        <w:trPr>
          <w:trHeight w:val="20"/>
        </w:trPr>
        <w:tc>
          <w:tcPr>
            <w:tcW w:w="13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CF04B27"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HIGH</w:t>
            </w:r>
          </w:p>
        </w:tc>
        <w:tc>
          <w:tcPr>
            <w:tcW w:w="428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97FD7FC" w14:textId="1C9EA0FB" w:rsidR="00F12E7E" w:rsidRPr="004C4E26" w:rsidRDefault="00F12E7E" w:rsidP="00F12E7E">
            <w:pPr>
              <w:rPr>
                <w:rFonts w:asciiTheme="minorHAnsi" w:hAnsiTheme="minorHAnsi" w:cstheme="minorHAnsi"/>
              </w:rPr>
            </w:pPr>
            <w:r w:rsidRPr="004C4E26">
              <w:rPr>
                <w:rFonts w:asciiTheme="minorHAnsi" w:hAnsiTheme="minorHAnsi" w:cstheme="minorHAnsi"/>
              </w:rPr>
              <w:t>&gt; 12 annual observations</w:t>
            </w:r>
          </w:p>
        </w:tc>
        <w:tc>
          <w:tcPr>
            <w:tcW w:w="4820" w:type="dxa"/>
            <w:tcBorders>
              <w:top w:val="single" w:sz="24" w:space="0" w:color="FFFFFF"/>
              <w:left w:val="single" w:sz="8" w:space="0" w:color="FFFFFF"/>
              <w:bottom w:val="single" w:sz="8" w:space="0" w:color="FFFFFF"/>
              <w:right w:val="single" w:sz="8" w:space="0" w:color="FFFFFF"/>
            </w:tcBorders>
            <w:shd w:val="clear" w:color="auto" w:fill="D0D8E8"/>
          </w:tcPr>
          <w:p w14:paraId="588D9698" w14:textId="699A6EBF" w:rsidR="00F12E7E" w:rsidRPr="004C4E26" w:rsidRDefault="00F12E7E" w:rsidP="00F12E7E">
            <w:pPr>
              <w:rPr>
                <w:rFonts w:asciiTheme="minorHAnsi" w:hAnsiTheme="minorHAnsi" w:cstheme="minorHAnsi"/>
              </w:rPr>
            </w:pPr>
            <w:r w:rsidRPr="004C4E26">
              <w:rPr>
                <w:rFonts w:asciiTheme="minorHAnsi" w:hAnsiTheme="minorHAnsi" w:cstheme="minorHAnsi"/>
              </w:rPr>
              <w:t>&gt; 26 annual observations</w:t>
            </w:r>
          </w:p>
        </w:tc>
      </w:tr>
      <w:tr w:rsidR="00F12E7E" w:rsidRPr="004C4E26" w14:paraId="561A7DDA" w14:textId="77777777" w:rsidTr="00254D5B">
        <w:trPr>
          <w:trHeight w:val="20"/>
        </w:trPr>
        <w:tc>
          <w:tcPr>
            <w:tcW w:w="13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90BDCEA"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MODERATE</w:t>
            </w:r>
          </w:p>
        </w:tc>
        <w:tc>
          <w:tcPr>
            <w:tcW w:w="428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726E217" w14:textId="62B09345" w:rsidR="00F12E7E" w:rsidRPr="004C4E26" w:rsidRDefault="00F12E7E" w:rsidP="00F12E7E">
            <w:pPr>
              <w:rPr>
                <w:rFonts w:asciiTheme="minorHAnsi" w:hAnsiTheme="minorHAnsi" w:cstheme="minorHAnsi"/>
              </w:rPr>
            </w:pPr>
            <w:r w:rsidRPr="004C4E26">
              <w:rPr>
                <w:rFonts w:asciiTheme="minorHAnsi" w:hAnsiTheme="minorHAnsi" w:cstheme="minorHAnsi"/>
              </w:rPr>
              <w:t>6-12 annual observations</w:t>
            </w:r>
          </w:p>
        </w:tc>
        <w:tc>
          <w:tcPr>
            <w:tcW w:w="4820" w:type="dxa"/>
            <w:tcBorders>
              <w:top w:val="single" w:sz="8" w:space="0" w:color="FFFFFF"/>
              <w:left w:val="single" w:sz="8" w:space="0" w:color="FFFFFF"/>
              <w:bottom w:val="single" w:sz="8" w:space="0" w:color="FFFFFF"/>
              <w:right w:val="single" w:sz="8" w:space="0" w:color="FFFFFF"/>
            </w:tcBorders>
            <w:shd w:val="clear" w:color="auto" w:fill="E9EDF4"/>
          </w:tcPr>
          <w:p w14:paraId="49BC411B" w14:textId="77777777" w:rsidR="00F12E7E" w:rsidRPr="004C4E26" w:rsidRDefault="00F12E7E" w:rsidP="00F12E7E">
            <w:pPr>
              <w:rPr>
                <w:rFonts w:asciiTheme="minorHAnsi" w:hAnsiTheme="minorHAnsi" w:cstheme="minorHAnsi"/>
              </w:rPr>
            </w:pPr>
            <w:r w:rsidRPr="004C4E26">
              <w:rPr>
                <w:rFonts w:asciiTheme="minorHAnsi" w:hAnsiTheme="minorHAnsi" w:cstheme="minorHAnsi"/>
              </w:rPr>
              <w:t>14-26 annual observations</w:t>
            </w:r>
          </w:p>
        </w:tc>
      </w:tr>
      <w:tr w:rsidR="00F12E7E" w:rsidRPr="004C4E26" w14:paraId="2613EA9C" w14:textId="77777777" w:rsidTr="00254D5B">
        <w:trPr>
          <w:trHeight w:val="20"/>
        </w:trPr>
        <w:tc>
          <w:tcPr>
            <w:tcW w:w="13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15AF441"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LOW</w:t>
            </w:r>
          </w:p>
        </w:tc>
        <w:tc>
          <w:tcPr>
            <w:tcW w:w="428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9593636" w14:textId="0EFCF5F1" w:rsidR="00F12E7E" w:rsidRPr="004C4E26" w:rsidRDefault="00F12E7E" w:rsidP="00F12E7E">
            <w:pPr>
              <w:rPr>
                <w:rFonts w:asciiTheme="minorHAnsi" w:hAnsiTheme="minorHAnsi" w:cstheme="minorHAnsi"/>
              </w:rPr>
            </w:pPr>
            <w:r w:rsidRPr="004C4E26">
              <w:rPr>
                <w:rFonts w:asciiTheme="minorHAnsi" w:hAnsiTheme="minorHAnsi" w:cstheme="minorHAnsi"/>
              </w:rPr>
              <w:t>&lt; 6 annual observations</w:t>
            </w:r>
          </w:p>
        </w:tc>
        <w:tc>
          <w:tcPr>
            <w:tcW w:w="4820" w:type="dxa"/>
            <w:tcBorders>
              <w:top w:val="single" w:sz="8" w:space="0" w:color="FFFFFF"/>
              <w:left w:val="single" w:sz="8" w:space="0" w:color="FFFFFF"/>
              <w:bottom w:val="single" w:sz="8" w:space="0" w:color="FFFFFF"/>
              <w:right w:val="single" w:sz="8" w:space="0" w:color="FFFFFF"/>
            </w:tcBorders>
            <w:shd w:val="clear" w:color="auto" w:fill="D0D8E8"/>
          </w:tcPr>
          <w:p w14:paraId="5E816BDD" w14:textId="77777777" w:rsidR="00F12E7E" w:rsidRPr="004C4E26" w:rsidRDefault="00F12E7E" w:rsidP="00F12E7E">
            <w:pPr>
              <w:rPr>
                <w:rFonts w:asciiTheme="minorHAnsi" w:hAnsiTheme="minorHAnsi" w:cstheme="minorHAnsi"/>
              </w:rPr>
            </w:pPr>
            <w:r w:rsidRPr="004C4E26">
              <w:rPr>
                <w:rFonts w:asciiTheme="minorHAnsi" w:hAnsiTheme="minorHAnsi" w:cstheme="minorHAnsi"/>
              </w:rPr>
              <w:t>&lt; 14 annual observations</w:t>
            </w:r>
          </w:p>
        </w:tc>
      </w:tr>
    </w:tbl>
    <w:bookmarkEnd w:id="11"/>
    <w:p w14:paraId="76C0A4CF" w14:textId="27DD0610" w:rsidR="004B45E5" w:rsidRPr="004B45E5" w:rsidRDefault="00254D5B" w:rsidP="004B45E5">
      <w:pPr>
        <w:rPr>
          <w:rFonts w:asciiTheme="minorHAnsi" w:hAnsiTheme="minorHAnsi" w:cstheme="minorHAnsi"/>
          <w:i/>
        </w:rPr>
      </w:pPr>
      <w:r w:rsidRPr="00254D5B">
        <w:rPr>
          <w:noProof/>
        </w:rPr>
        <w:drawing>
          <wp:inline distT="0" distB="0" distL="0" distR="0" wp14:anchorId="54562D02" wp14:editId="09097920">
            <wp:extent cx="5781822" cy="2598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2870" cy="2598979"/>
                    </a:xfrm>
                    <a:prstGeom prst="rect">
                      <a:avLst/>
                    </a:prstGeom>
                    <a:noFill/>
                    <a:ln>
                      <a:noFill/>
                    </a:ln>
                  </pic:spPr>
                </pic:pic>
              </a:graphicData>
            </a:graphic>
          </wp:inline>
        </w:drawing>
      </w:r>
      <w:r w:rsidR="00C81B10" w:rsidRPr="00C81B10">
        <w:rPr>
          <w:noProof/>
          <w:lang w:val="en-GB"/>
        </w:rPr>
        <mc:AlternateContent>
          <mc:Choice Requires="wps">
            <w:drawing>
              <wp:anchor distT="45720" distB="45720" distL="114300" distR="114300" simplePos="0" relativeHeight="251672576" behindDoc="0" locked="0" layoutInCell="1" allowOverlap="1" wp14:anchorId="1268571A" wp14:editId="483B0451">
                <wp:simplePos x="0" y="0"/>
                <wp:positionH relativeFrom="column">
                  <wp:posOffset>1833440</wp:posOffset>
                </wp:positionH>
                <wp:positionV relativeFrom="paragraph">
                  <wp:posOffset>267970</wp:posOffset>
                </wp:positionV>
                <wp:extent cx="2360930" cy="1404620"/>
                <wp:effectExtent l="0" t="0" r="12065"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60000"/>
                            <a:lumOff val="40000"/>
                          </a:schemeClr>
                        </a:solidFill>
                        <a:ln w="9525">
                          <a:solidFill>
                            <a:srgbClr val="000000"/>
                          </a:solidFill>
                          <a:miter lim="800000"/>
                          <a:headEnd/>
                          <a:tailEnd/>
                        </a:ln>
                      </wps:spPr>
                      <wps:txbx>
                        <w:txbxContent>
                          <w:p w14:paraId="7265B432" w14:textId="3CE6046B" w:rsidR="00B01411" w:rsidRDefault="00B01411" w:rsidP="00C81B10">
                            <w:r>
                              <w:t>Spatial Confidence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68571A" id="_x0000_s1030" type="#_x0000_t202" style="position:absolute;margin-left:144.35pt;margin-top:21.1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" fillcolor="#95b3d7 [1940]">
                <v:textbox style="mso-fit-shape-to-text:t">
                  <w:txbxContent>
                    <w:p w14:paraId="7265B432" w14:textId="3CE6046B" w:rsidR="00B01411" w:rsidRDefault="00B01411" w:rsidP="00C81B10">
                      <w:r>
                        <w:t>Spatial Confidence</w:t>
                      </w:r>
                    </w:p>
                  </w:txbxContent>
                </v:textbox>
                <w10:wrap type="square"/>
              </v:shape>
            </w:pict>
          </mc:Fallback>
        </mc:AlternateContent>
      </w:r>
      <w:bookmarkStart w:id="12" w:name="_Toc96528987"/>
      <w:bookmarkStart w:id="13" w:name="_Toc104905715"/>
      <w:r w:rsidR="0070330E">
        <w:t xml:space="preserve"> </w:t>
      </w:r>
    </w:p>
    <w:p w14:paraId="12A878EC" w14:textId="1E9DAF92" w:rsidR="00C81B10" w:rsidRDefault="00A41E40" w:rsidP="00A41E40">
      <w:pPr>
        <w:pStyle w:val="Caption"/>
        <w:rPr>
          <w:lang w:val="en-GB"/>
        </w:rPr>
      </w:pPr>
      <w:bookmarkStart w:id="14" w:name="_Toc139460658"/>
      <w:r>
        <w:lastRenderedPageBreak/>
        <w:t xml:space="preserve">Supplementary Figure S </w:t>
      </w:r>
      <w:fldSimple w:instr=" SEQ Supplementary_Figure_S \* ARABIC ">
        <w:r>
          <w:rPr>
            <w:noProof/>
          </w:rPr>
          <w:t>3</w:t>
        </w:r>
      </w:fldSimple>
      <w:r>
        <w:t xml:space="preserve">: </w:t>
      </w:r>
      <w:r w:rsidR="00C81B10">
        <w:t xml:space="preserve">Assessment of </w:t>
      </w:r>
      <w:r w:rsidR="00F12E7E" w:rsidRPr="004C4E26">
        <w:rPr>
          <w:lang w:val="en-GB"/>
        </w:rPr>
        <w:t>Spatial confidence</w:t>
      </w:r>
      <w:bookmarkEnd w:id="12"/>
      <w:bookmarkEnd w:id="13"/>
      <w:bookmarkEnd w:id="14"/>
    </w:p>
    <w:p w14:paraId="2F705173" w14:textId="4AB97A8A" w:rsidR="00C81B10" w:rsidRDefault="00C81B10" w:rsidP="00F12E7E">
      <w:pPr>
        <w:rPr>
          <w:lang w:val="en-GB"/>
        </w:rPr>
      </w:pPr>
      <w:r w:rsidRPr="00C81B10">
        <w:rPr>
          <w:noProof/>
          <w:lang w:val="en-GB"/>
        </w:rPr>
        <mc:AlternateContent>
          <mc:Choice Requires="wps">
            <w:drawing>
              <wp:anchor distT="45720" distB="45720" distL="114300" distR="114300" simplePos="0" relativeHeight="251674624" behindDoc="0" locked="0" layoutInCell="1" allowOverlap="1" wp14:anchorId="039A5180" wp14:editId="6BD8D7FF">
                <wp:simplePos x="0" y="0"/>
                <wp:positionH relativeFrom="column">
                  <wp:posOffset>-315253</wp:posOffset>
                </wp:positionH>
                <wp:positionV relativeFrom="paragraph">
                  <wp:posOffset>3380740</wp:posOffset>
                </wp:positionV>
                <wp:extent cx="6991350" cy="1097280"/>
                <wp:effectExtent l="38100" t="0" r="57150" b="457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097280"/>
                        </a:xfrm>
                        <a:prstGeom prst="downArrow">
                          <a:avLst/>
                        </a:prstGeom>
                        <a:solidFill>
                          <a:schemeClr val="accent1">
                            <a:lumMod val="60000"/>
                            <a:lumOff val="40000"/>
                          </a:schemeClr>
                        </a:solidFill>
                        <a:ln w="9525">
                          <a:solidFill>
                            <a:srgbClr val="000000"/>
                          </a:solidFill>
                          <a:miter lim="800000"/>
                          <a:headEnd/>
                          <a:tailEnd/>
                        </a:ln>
                      </wps:spPr>
                      <wps:txbx>
                        <w:txbxContent>
                          <w:p w14:paraId="310B2FB0" w14:textId="77777777" w:rsidR="00B01411" w:rsidRPr="004C4E26" w:rsidRDefault="00B01411" w:rsidP="00C81B10">
                            <w:pPr>
                              <w:rPr>
                                <w:rFonts w:asciiTheme="minorHAnsi" w:hAnsiTheme="minorHAnsi" w:cstheme="minorHAnsi"/>
                              </w:rPr>
                            </w:pPr>
                            <w:r>
                              <w:rPr>
                                <w:rFonts w:asciiTheme="minorHAnsi" w:hAnsiTheme="minorHAnsi" w:cstheme="minorHAnsi"/>
                              </w:rPr>
                              <w:t>C</w:t>
                            </w:r>
                            <w:r w:rsidRPr="004C4E26">
                              <w:rPr>
                                <w:rFonts w:asciiTheme="minorHAnsi" w:hAnsiTheme="minorHAnsi" w:cstheme="minorHAnsi"/>
                              </w:rPr>
                              <w:t xml:space="preserve">onfidence class boundaries for general temporal confidence for winter nutrients and chlorophyll in the growing season. </w:t>
                            </w:r>
                          </w:p>
                          <w:p w14:paraId="1531424A" w14:textId="77777777" w:rsidR="00B01411" w:rsidRDefault="00B01411" w:rsidP="00C81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A5180" id="_x0000_s1031" type="#_x0000_t67" style="position:absolute;margin-left:-24.8pt;margin-top:266.2pt;width:550.5pt;height:86.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" adj="10800" fillcolor="#95b3d7 [1940]">
                <v:textbox>
                  <w:txbxContent>
                    <w:p w14:paraId="310B2FB0" w14:textId="77777777" w:rsidR="00B01411" w:rsidRPr="004C4E26" w:rsidRDefault="00B01411" w:rsidP="00C81B10">
                      <w:pPr>
                        <w:rPr>
                          <w:rFonts w:asciiTheme="minorHAnsi" w:hAnsiTheme="minorHAnsi" w:cstheme="minorHAnsi"/>
                        </w:rPr>
                      </w:pPr>
                      <w:r>
                        <w:rPr>
                          <w:rFonts w:asciiTheme="minorHAnsi" w:hAnsiTheme="minorHAnsi" w:cstheme="minorHAnsi"/>
                        </w:rPr>
                        <w:t>C</w:t>
                      </w:r>
                      <w:r w:rsidRPr="004C4E26">
                        <w:rPr>
                          <w:rFonts w:asciiTheme="minorHAnsi" w:hAnsiTheme="minorHAnsi" w:cstheme="minorHAnsi"/>
                        </w:rPr>
                        <w:t xml:space="preserve">onfidence class boundaries for general temporal confidence for winter nutrients and chlorophyll in the growing season. </w:t>
                      </w:r>
                    </w:p>
                    <w:p w14:paraId="1531424A" w14:textId="77777777" w:rsidR="00B01411" w:rsidRDefault="00B01411" w:rsidP="00C81B10"/>
                  </w:txbxContent>
                </v:textbox>
                <w10:wrap type="square"/>
              </v:shape>
            </w:pict>
          </mc:Fallback>
        </mc:AlternateContent>
      </w:r>
      <w:r w:rsidRPr="00C81B10">
        <w:rPr>
          <w:noProof/>
          <w:lang w:val="en-GB"/>
        </w:rPr>
        <mc:AlternateContent>
          <mc:Choice Requires="wps">
            <w:drawing>
              <wp:anchor distT="45720" distB="45720" distL="114300" distR="114300" simplePos="0" relativeHeight="251673600" behindDoc="0" locked="0" layoutInCell="1" allowOverlap="1" wp14:anchorId="4EB79655" wp14:editId="3BF27C14">
                <wp:simplePos x="0" y="0"/>
                <wp:positionH relativeFrom="column">
                  <wp:posOffset>-68580</wp:posOffset>
                </wp:positionH>
                <wp:positionV relativeFrom="paragraph">
                  <wp:posOffset>429260</wp:posOffset>
                </wp:positionV>
                <wp:extent cx="6541135" cy="2954020"/>
                <wp:effectExtent l="0" t="0" r="12065"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954020"/>
                        </a:xfrm>
                        <a:prstGeom prst="rect">
                          <a:avLst/>
                        </a:prstGeom>
                        <a:solidFill>
                          <a:srgbClr val="FFFFFF"/>
                        </a:solidFill>
                        <a:ln w="9525">
                          <a:solidFill>
                            <a:srgbClr val="000000"/>
                          </a:solidFill>
                          <a:miter lim="800000"/>
                          <a:headEnd/>
                          <a:tailEnd/>
                        </a:ln>
                      </wps:spPr>
                      <wps:txbx>
                        <w:txbxContent>
                          <w:p w14:paraId="5249B224" w14:textId="38A47D88" w:rsidR="00B01411" w:rsidRPr="004C4E26" w:rsidRDefault="00B01411" w:rsidP="00C81B10">
                            <w:pPr>
                              <w:rPr>
                                <w:rFonts w:asciiTheme="minorHAnsi" w:hAnsiTheme="minorHAnsi" w:cstheme="minorHAnsi"/>
                                <w:b/>
                                <w:bCs/>
                                <w:szCs w:val="24"/>
                              </w:rPr>
                            </w:pPr>
                            <w:r w:rsidRPr="004C4E26">
                              <w:rPr>
                                <w:rFonts w:asciiTheme="minorHAnsi" w:hAnsiTheme="minorHAnsi" w:cstheme="minorHAnsi"/>
                              </w:rPr>
                              <w:t>The aspect of spatial representability in the confidence assessment is considered by a general and a specific spatial confidence aspect and both are based on a gridded approach. The number of observations in the assessment period is related to a predefined grid cell size in different assessment areas depending on the total area size. The resulting number per grid for the respective area is the general spatial confidence. The distribution of observations within the area is considered by counting the number of sampled and not sampled grid cells in the area and calculating the percentage of sampled grid cells in relation to the total number of grid cells in the respective area as</w:t>
                            </w:r>
                            <w:r>
                              <w:rPr>
                                <w:rFonts w:asciiTheme="minorHAnsi" w:hAnsiTheme="minorHAnsi" w:cstheme="minorHAnsi"/>
                              </w:rPr>
                              <w:t xml:space="preserve"> </w:t>
                            </w:r>
                            <w:r w:rsidRPr="004C4E26">
                              <w:rPr>
                                <w:rFonts w:asciiTheme="minorHAnsi" w:hAnsiTheme="minorHAnsi" w:cstheme="minorHAnsi"/>
                              </w:rPr>
                              <w:t xml:space="preserve">specific spatial confidence. The class boundaries for general and specific spatial confidence listed in Table </w:t>
                            </w:r>
                            <w:r>
                              <w:rPr>
                                <w:rFonts w:asciiTheme="minorHAnsi" w:hAnsiTheme="minorHAnsi" w:cstheme="minorHAnsi"/>
                              </w:rPr>
                              <w:t xml:space="preserve">below </w:t>
                            </w:r>
                            <w:r w:rsidRPr="004C4E26">
                              <w:rPr>
                                <w:rFonts w:asciiTheme="minorHAnsi" w:hAnsiTheme="minorHAnsi" w:cstheme="minorHAnsi"/>
                              </w:rPr>
                              <w:t xml:space="preserve">are separated for winter nutrients and chlorophyll to account for different natural variabilities and associated different requirements. </w:t>
                            </w:r>
                          </w:p>
                          <w:p w14:paraId="785A745D" w14:textId="77777777" w:rsidR="00B01411" w:rsidRPr="004C4E26" w:rsidRDefault="00B01411" w:rsidP="00C81B10">
                            <w:pPr>
                              <w:rPr>
                                <w:rFonts w:asciiTheme="minorHAnsi" w:hAnsiTheme="minorHAnsi" w:cstheme="minorHAnsi"/>
                              </w:rPr>
                            </w:pPr>
                            <w:r w:rsidRPr="004C4E26">
                              <w:rPr>
                                <w:rFonts w:asciiTheme="minorHAnsi" w:hAnsiTheme="minorHAnsi" w:cstheme="minorHAnsi"/>
                              </w:rPr>
                              <w:t>For other parameters, the class boundaries for temporal and spatial confidence aspects can also be used, e.g., in case of using total nutrients or photic limit in the eutrophication assessment the same confidence class boundaries as for chlorophyll should be used, while for oxygen the class boundaries of the winter nutrients can be applied based on the comparable length of the assessment season.</w:t>
                            </w:r>
                          </w:p>
                          <w:p w14:paraId="21DFFE3E" w14:textId="77FD7A4C" w:rsidR="00B01411" w:rsidRDefault="00B01411" w:rsidP="00C81B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79655" id="_x0000_s1032" type="#_x0000_t202" style="position:absolute;margin-left:-5.4pt;margin-top:33.8pt;width:515.05pt;height:232.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">
                <v:textbox>
                  <w:txbxContent>
                    <w:p w14:paraId="5249B224" w14:textId="38A47D88" w:rsidR="00B01411" w:rsidRPr="004C4E26" w:rsidRDefault="00B01411" w:rsidP="00C81B10">
                      <w:pPr>
                        <w:rPr>
                          <w:rFonts w:asciiTheme="minorHAnsi" w:hAnsiTheme="minorHAnsi" w:cstheme="minorHAnsi"/>
                          <w:b/>
                          <w:bCs/>
                          <w:szCs w:val="24"/>
                        </w:rPr>
                      </w:pPr>
                      <w:r w:rsidRPr="004C4E26">
                        <w:rPr>
                          <w:rFonts w:asciiTheme="minorHAnsi" w:hAnsiTheme="minorHAnsi" w:cstheme="minorHAnsi"/>
                        </w:rPr>
                        <w:t>The aspect of spatial representability in the confidence assessment is considered by a general and a specific spatial confidence aspect and both are based on a gridded approach. The number of observations in the assessment period is related to a predefined grid cell size in different assessment areas depending on the total area size. The resulting number per grid for the respective area is the general spatial confidence. The distribution of observations within the area is considered by counting the number of sampled and not sampled grid cells in the area and calculating the percentage of sampled grid cells in relation to the total number of grid cells in the respective area as</w:t>
                      </w:r>
                      <w:r>
                        <w:rPr>
                          <w:rFonts w:asciiTheme="minorHAnsi" w:hAnsiTheme="minorHAnsi" w:cstheme="minorHAnsi"/>
                        </w:rPr>
                        <w:t xml:space="preserve"> </w:t>
                      </w:r>
                      <w:r w:rsidRPr="004C4E26">
                        <w:rPr>
                          <w:rFonts w:asciiTheme="minorHAnsi" w:hAnsiTheme="minorHAnsi" w:cstheme="minorHAnsi"/>
                        </w:rPr>
                        <w:t xml:space="preserve">specific spatial confidence. The class boundaries for general and specific spatial confidence listed in Table </w:t>
                      </w:r>
                      <w:r>
                        <w:rPr>
                          <w:rFonts w:asciiTheme="minorHAnsi" w:hAnsiTheme="minorHAnsi" w:cstheme="minorHAnsi"/>
                        </w:rPr>
                        <w:t xml:space="preserve">below </w:t>
                      </w:r>
                      <w:r w:rsidRPr="004C4E26">
                        <w:rPr>
                          <w:rFonts w:asciiTheme="minorHAnsi" w:hAnsiTheme="minorHAnsi" w:cstheme="minorHAnsi"/>
                        </w:rPr>
                        <w:t xml:space="preserve">are separated for winter nutrients and chlorophyll to account for different natural variabilities and associated different requirements. </w:t>
                      </w:r>
                    </w:p>
                    <w:p w14:paraId="785A745D" w14:textId="77777777" w:rsidR="00B01411" w:rsidRPr="004C4E26" w:rsidRDefault="00B01411" w:rsidP="00C81B10">
                      <w:pPr>
                        <w:rPr>
                          <w:rFonts w:asciiTheme="minorHAnsi" w:hAnsiTheme="minorHAnsi" w:cstheme="minorHAnsi"/>
                        </w:rPr>
                      </w:pPr>
                      <w:r w:rsidRPr="004C4E26">
                        <w:rPr>
                          <w:rFonts w:asciiTheme="minorHAnsi" w:hAnsiTheme="minorHAnsi" w:cstheme="minorHAnsi"/>
                        </w:rPr>
                        <w:t>For other parameters, the class boundaries for temporal and spatial confidence aspects can also be used, e.g., in case of using total nutrients or photic limit in the eutrophication assessment the same confidence class boundaries as for chlorophyll should be used, while for oxygen the class boundaries of the winter nutrients can be applied based on the comparable length of the assessment season.</w:t>
                      </w:r>
                    </w:p>
                    <w:p w14:paraId="21DFFE3E" w14:textId="77FD7A4C" w:rsidR="00B01411" w:rsidRDefault="00B01411" w:rsidP="00C81B10"/>
                  </w:txbxContent>
                </v:textbox>
                <w10:wrap type="square"/>
              </v:shape>
            </w:pict>
          </mc:Fallback>
        </mc:AlternateContent>
      </w:r>
    </w:p>
    <w:tbl>
      <w:tblPr>
        <w:tblW w:w="9062" w:type="dxa"/>
        <w:tblCellMar>
          <w:left w:w="0" w:type="dxa"/>
          <w:right w:w="0" w:type="dxa"/>
        </w:tblCellMar>
        <w:tblLook w:val="04A0" w:firstRow="1" w:lastRow="0" w:firstColumn="1" w:lastColumn="0" w:noHBand="0" w:noVBand="1"/>
      </w:tblPr>
      <w:tblGrid>
        <w:gridCol w:w="1373"/>
        <w:gridCol w:w="2024"/>
        <w:gridCol w:w="2025"/>
        <w:gridCol w:w="1817"/>
        <w:gridCol w:w="1823"/>
      </w:tblGrid>
      <w:tr w:rsidR="00C81B10" w:rsidRPr="004C4E26" w14:paraId="5D126B10" w14:textId="77777777" w:rsidTr="00C81B10">
        <w:trPr>
          <w:trHeight w:val="1000"/>
        </w:trPr>
        <w:tc>
          <w:tcPr>
            <w:tcW w:w="13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7C9BD56" w14:textId="77777777" w:rsidR="00C81B10" w:rsidRPr="004C4E26" w:rsidRDefault="00C81B10" w:rsidP="00AA7F7B">
            <w:pPr>
              <w:rPr>
                <w:rFonts w:asciiTheme="minorHAnsi" w:hAnsiTheme="minorHAnsi" w:cstheme="minorHAnsi"/>
              </w:rPr>
            </w:pPr>
            <w:r w:rsidRPr="004C4E26">
              <w:rPr>
                <w:rFonts w:asciiTheme="minorHAnsi" w:hAnsiTheme="minorHAnsi" w:cstheme="minorHAnsi"/>
                <w:b/>
                <w:bCs/>
              </w:rPr>
              <w:t>Score</w:t>
            </w:r>
          </w:p>
        </w:tc>
        <w:tc>
          <w:tcPr>
            <w:tcW w:w="4049" w:type="dxa"/>
            <w:gridSpan w:val="2"/>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17162DD" w14:textId="77777777" w:rsidR="00C81B10" w:rsidRPr="004C4E26" w:rsidRDefault="00C81B10" w:rsidP="00AA7F7B">
            <w:pPr>
              <w:rPr>
                <w:rFonts w:asciiTheme="minorHAnsi" w:hAnsiTheme="minorHAnsi" w:cstheme="minorHAnsi"/>
              </w:rPr>
            </w:pPr>
            <w:r w:rsidRPr="004C4E26">
              <w:rPr>
                <w:rFonts w:asciiTheme="minorHAnsi" w:hAnsiTheme="minorHAnsi" w:cstheme="minorHAnsi"/>
                <w:b/>
                <w:bCs/>
              </w:rPr>
              <w:t>Evaluation criteria for general spatial confidence - n/grid annually</w:t>
            </w:r>
          </w:p>
        </w:tc>
        <w:tc>
          <w:tcPr>
            <w:tcW w:w="3640" w:type="dxa"/>
            <w:gridSpan w:val="2"/>
            <w:tcBorders>
              <w:top w:val="single" w:sz="8" w:space="0" w:color="FFFFFF"/>
              <w:left w:val="single" w:sz="8" w:space="0" w:color="FFFFFF"/>
              <w:bottom w:val="single" w:sz="24" w:space="0" w:color="FFFFFF"/>
              <w:right w:val="single" w:sz="8" w:space="0" w:color="FFFFFF"/>
            </w:tcBorders>
            <w:shd w:val="clear" w:color="auto" w:fill="4F81BD"/>
            <w:vAlign w:val="center"/>
          </w:tcPr>
          <w:p w14:paraId="15EA6ADD" w14:textId="77777777" w:rsidR="00C81B10" w:rsidRPr="004C4E26" w:rsidRDefault="00C81B10" w:rsidP="00AA7F7B">
            <w:pPr>
              <w:rPr>
                <w:rFonts w:asciiTheme="minorHAnsi" w:hAnsiTheme="minorHAnsi" w:cstheme="minorHAnsi"/>
                <w:b/>
                <w:bCs/>
              </w:rPr>
            </w:pPr>
            <w:r w:rsidRPr="004C4E26">
              <w:rPr>
                <w:rFonts w:asciiTheme="minorHAnsi" w:hAnsiTheme="minorHAnsi" w:cstheme="minorHAnsi"/>
                <w:b/>
                <w:bCs/>
              </w:rPr>
              <w:t xml:space="preserve">Evaluation criteria for specific spatial confidence - % of sampled grid cells </w:t>
            </w:r>
          </w:p>
        </w:tc>
      </w:tr>
      <w:tr w:rsidR="00C81B10" w:rsidRPr="004C4E26" w14:paraId="15301654" w14:textId="77777777" w:rsidTr="00C81B10">
        <w:trPr>
          <w:trHeight w:val="453"/>
        </w:trPr>
        <w:tc>
          <w:tcPr>
            <w:tcW w:w="13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26A2294B" w14:textId="77777777" w:rsidR="00C81B10" w:rsidRPr="004C4E26" w:rsidRDefault="00C81B10" w:rsidP="00AA7F7B">
            <w:pPr>
              <w:rPr>
                <w:rFonts w:asciiTheme="minorHAnsi" w:hAnsiTheme="minorHAnsi" w:cstheme="minorHAnsi"/>
                <w:b/>
                <w:bCs/>
              </w:rPr>
            </w:pPr>
            <w:r w:rsidRPr="004C4E26">
              <w:rPr>
                <w:rFonts w:asciiTheme="minorHAnsi" w:hAnsiTheme="minorHAnsi" w:cstheme="minorHAnsi"/>
                <w:b/>
                <w:bCs/>
              </w:rPr>
              <w:t>Parameter</w:t>
            </w:r>
          </w:p>
        </w:tc>
        <w:tc>
          <w:tcPr>
            <w:tcW w:w="202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3616EBFA"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Winter nutrients</w:t>
            </w:r>
          </w:p>
        </w:tc>
        <w:tc>
          <w:tcPr>
            <w:tcW w:w="2025" w:type="dxa"/>
            <w:tcBorders>
              <w:top w:val="single" w:sz="24" w:space="0" w:color="FFFFFF"/>
              <w:left w:val="single" w:sz="8" w:space="0" w:color="FFFFFF"/>
              <w:bottom w:val="single" w:sz="8" w:space="0" w:color="FFFFFF"/>
              <w:right w:val="single" w:sz="8" w:space="0" w:color="FFFFFF"/>
            </w:tcBorders>
            <w:shd w:val="clear" w:color="auto" w:fill="D0D8E8"/>
          </w:tcPr>
          <w:p w14:paraId="2867A579"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Chlorophyll</w:t>
            </w:r>
          </w:p>
        </w:tc>
        <w:tc>
          <w:tcPr>
            <w:tcW w:w="1817" w:type="dxa"/>
            <w:tcBorders>
              <w:top w:val="single" w:sz="24" w:space="0" w:color="FFFFFF"/>
              <w:left w:val="single" w:sz="8" w:space="0" w:color="FFFFFF"/>
              <w:bottom w:val="single" w:sz="8" w:space="0" w:color="FFFFFF"/>
              <w:right w:val="single" w:sz="8" w:space="0" w:color="FFFFFF"/>
            </w:tcBorders>
            <w:shd w:val="clear" w:color="auto" w:fill="D0D8E8"/>
          </w:tcPr>
          <w:p w14:paraId="2B43C9A8"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Winter nutrients</w:t>
            </w:r>
          </w:p>
        </w:tc>
        <w:tc>
          <w:tcPr>
            <w:tcW w:w="1823" w:type="dxa"/>
            <w:tcBorders>
              <w:top w:val="single" w:sz="24" w:space="0" w:color="FFFFFF"/>
              <w:left w:val="single" w:sz="8" w:space="0" w:color="FFFFFF"/>
              <w:bottom w:val="single" w:sz="8" w:space="0" w:color="FFFFFF"/>
              <w:right w:val="single" w:sz="8" w:space="0" w:color="FFFFFF"/>
            </w:tcBorders>
            <w:shd w:val="clear" w:color="auto" w:fill="D0D8E8"/>
          </w:tcPr>
          <w:p w14:paraId="629BFC6F"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Chlorophyll</w:t>
            </w:r>
          </w:p>
        </w:tc>
      </w:tr>
      <w:tr w:rsidR="00C81B10" w:rsidRPr="004C4E26" w14:paraId="5EE271F2" w14:textId="77777777" w:rsidTr="00C81B10">
        <w:trPr>
          <w:trHeight w:val="453"/>
        </w:trPr>
        <w:tc>
          <w:tcPr>
            <w:tcW w:w="13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0D54C7C" w14:textId="77777777" w:rsidR="00C81B10" w:rsidRPr="004C4E26" w:rsidRDefault="00C81B10" w:rsidP="00AA7F7B">
            <w:pPr>
              <w:rPr>
                <w:rFonts w:asciiTheme="minorHAnsi" w:hAnsiTheme="minorHAnsi" w:cstheme="minorHAnsi"/>
              </w:rPr>
            </w:pPr>
            <w:r w:rsidRPr="004C4E26">
              <w:rPr>
                <w:rFonts w:asciiTheme="minorHAnsi" w:hAnsiTheme="minorHAnsi" w:cstheme="minorHAnsi"/>
                <w:b/>
                <w:bCs/>
              </w:rPr>
              <w:t>HIGH</w:t>
            </w:r>
          </w:p>
        </w:tc>
        <w:tc>
          <w:tcPr>
            <w:tcW w:w="202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1E42530"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&gt; 0.8</w:t>
            </w:r>
          </w:p>
        </w:tc>
        <w:tc>
          <w:tcPr>
            <w:tcW w:w="2025" w:type="dxa"/>
            <w:tcBorders>
              <w:top w:val="single" w:sz="24" w:space="0" w:color="FFFFFF"/>
              <w:left w:val="single" w:sz="8" w:space="0" w:color="FFFFFF"/>
              <w:bottom w:val="single" w:sz="8" w:space="0" w:color="FFFFFF"/>
              <w:right w:val="single" w:sz="8" w:space="0" w:color="FFFFFF"/>
            </w:tcBorders>
            <w:shd w:val="clear" w:color="auto" w:fill="D0D8E8"/>
          </w:tcPr>
          <w:p w14:paraId="68736AE4"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&gt; 1</w:t>
            </w:r>
          </w:p>
        </w:tc>
        <w:tc>
          <w:tcPr>
            <w:tcW w:w="1817" w:type="dxa"/>
            <w:tcBorders>
              <w:top w:val="single" w:sz="24" w:space="0" w:color="FFFFFF"/>
              <w:left w:val="single" w:sz="8" w:space="0" w:color="FFFFFF"/>
              <w:bottom w:val="single" w:sz="8" w:space="0" w:color="FFFFFF"/>
              <w:right w:val="single" w:sz="8" w:space="0" w:color="FFFFFF"/>
            </w:tcBorders>
            <w:shd w:val="clear" w:color="auto" w:fill="D0D8E8"/>
          </w:tcPr>
          <w:p w14:paraId="2ED89F78"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&gt; 70 %</w:t>
            </w:r>
          </w:p>
        </w:tc>
        <w:tc>
          <w:tcPr>
            <w:tcW w:w="1823" w:type="dxa"/>
            <w:tcBorders>
              <w:top w:val="single" w:sz="24" w:space="0" w:color="FFFFFF"/>
              <w:left w:val="single" w:sz="8" w:space="0" w:color="FFFFFF"/>
              <w:bottom w:val="single" w:sz="8" w:space="0" w:color="FFFFFF"/>
              <w:right w:val="single" w:sz="8" w:space="0" w:color="FFFFFF"/>
            </w:tcBorders>
            <w:shd w:val="clear" w:color="auto" w:fill="D0D8E8"/>
          </w:tcPr>
          <w:p w14:paraId="476A94FC"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&gt; 80 %</w:t>
            </w:r>
          </w:p>
        </w:tc>
      </w:tr>
      <w:tr w:rsidR="00C81B10" w:rsidRPr="004C4E26" w14:paraId="1C67DD0D" w14:textId="77777777" w:rsidTr="00C81B10">
        <w:trPr>
          <w:trHeight w:val="466"/>
        </w:trPr>
        <w:tc>
          <w:tcPr>
            <w:tcW w:w="13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03A280F" w14:textId="77777777" w:rsidR="00C81B10" w:rsidRPr="004C4E26" w:rsidRDefault="00C81B10" w:rsidP="00AA7F7B">
            <w:pPr>
              <w:rPr>
                <w:rFonts w:asciiTheme="minorHAnsi" w:hAnsiTheme="minorHAnsi" w:cstheme="minorHAnsi"/>
              </w:rPr>
            </w:pPr>
            <w:r w:rsidRPr="004C4E26">
              <w:rPr>
                <w:rFonts w:asciiTheme="minorHAnsi" w:hAnsiTheme="minorHAnsi" w:cstheme="minorHAnsi"/>
                <w:b/>
                <w:bCs/>
              </w:rPr>
              <w:t>MODERATE</w:t>
            </w:r>
          </w:p>
        </w:tc>
        <w:tc>
          <w:tcPr>
            <w:tcW w:w="202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21F8471"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0.4 - 0.8</w:t>
            </w:r>
          </w:p>
        </w:tc>
        <w:tc>
          <w:tcPr>
            <w:tcW w:w="2025" w:type="dxa"/>
            <w:tcBorders>
              <w:top w:val="single" w:sz="8" w:space="0" w:color="FFFFFF"/>
              <w:left w:val="single" w:sz="8" w:space="0" w:color="FFFFFF"/>
              <w:bottom w:val="single" w:sz="8" w:space="0" w:color="FFFFFF"/>
              <w:right w:val="single" w:sz="8" w:space="0" w:color="FFFFFF"/>
            </w:tcBorders>
            <w:shd w:val="clear" w:color="auto" w:fill="E9EDF4"/>
          </w:tcPr>
          <w:p w14:paraId="4E28B758"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0.6 - 1</w:t>
            </w:r>
          </w:p>
        </w:tc>
        <w:tc>
          <w:tcPr>
            <w:tcW w:w="1817" w:type="dxa"/>
            <w:tcBorders>
              <w:top w:val="single" w:sz="8" w:space="0" w:color="FFFFFF"/>
              <w:left w:val="single" w:sz="8" w:space="0" w:color="FFFFFF"/>
              <w:bottom w:val="single" w:sz="8" w:space="0" w:color="FFFFFF"/>
              <w:right w:val="single" w:sz="8" w:space="0" w:color="FFFFFF"/>
            </w:tcBorders>
            <w:shd w:val="clear" w:color="auto" w:fill="E9EDF4"/>
          </w:tcPr>
          <w:p w14:paraId="0B0E9213"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50 – 70 %</w:t>
            </w:r>
          </w:p>
        </w:tc>
        <w:tc>
          <w:tcPr>
            <w:tcW w:w="1823" w:type="dxa"/>
            <w:tcBorders>
              <w:top w:val="single" w:sz="8" w:space="0" w:color="FFFFFF"/>
              <w:left w:val="single" w:sz="8" w:space="0" w:color="FFFFFF"/>
              <w:bottom w:val="single" w:sz="8" w:space="0" w:color="FFFFFF"/>
              <w:right w:val="single" w:sz="8" w:space="0" w:color="FFFFFF"/>
            </w:tcBorders>
            <w:shd w:val="clear" w:color="auto" w:fill="E9EDF4"/>
          </w:tcPr>
          <w:p w14:paraId="490693FB"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60 – 80 %</w:t>
            </w:r>
          </w:p>
        </w:tc>
      </w:tr>
      <w:tr w:rsidR="00C81B10" w:rsidRPr="004C4E26" w14:paraId="25B33EB7" w14:textId="77777777" w:rsidTr="00C81B10">
        <w:trPr>
          <w:trHeight w:val="453"/>
        </w:trPr>
        <w:tc>
          <w:tcPr>
            <w:tcW w:w="13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797FF88" w14:textId="77777777" w:rsidR="00C81B10" w:rsidRPr="004C4E26" w:rsidRDefault="00C81B10" w:rsidP="00AA7F7B">
            <w:pPr>
              <w:rPr>
                <w:rFonts w:asciiTheme="minorHAnsi" w:hAnsiTheme="minorHAnsi" w:cstheme="minorHAnsi"/>
              </w:rPr>
            </w:pPr>
            <w:r w:rsidRPr="004C4E26">
              <w:rPr>
                <w:rFonts w:asciiTheme="minorHAnsi" w:hAnsiTheme="minorHAnsi" w:cstheme="minorHAnsi"/>
                <w:b/>
                <w:bCs/>
              </w:rPr>
              <w:t>LOW</w:t>
            </w:r>
          </w:p>
        </w:tc>
        <w:tc>
          <w:tcPr>
            <w:tcW w:w="202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D32ED01"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&lt; 0.4</w:t>
            </w:r>
          </w:p>
        </w:tc>
        <w:tc>
          <w:tcPr>
            <w:tcW w:w="2025" w:type="dxa"/>
            <w:tcBorders>
              <w:top w:val="single" w:sz="8" w:space="0" w:color="FFFFFF"/>
              <w:left w:val="single" w:sz="8" w:space="0" w:color="FFFFFF"/>
              <w:bottom w:val="single" w:sz="8" w:space="0" w:color="FFFFFF"/>
              <w:right w:val="single" w:sz="8" w:space="0" w:color="FFFFFF"/>
            </w:tcBorders>
            <w:shd w:val="clear" w:color="auto" w:fill="D0D8E8"/>
          </w:tcPr>
          <w:p w14:paraId="25BB2F15"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&lt; 0.6</w:t>
            </w:r>
          </w:p>
        </w:tc>
        <w:tc>
          <w:tcPr>
            <w:tcW w:w="1817" w:type="dxa"/>
            <w:tcBorders>
              <w:top w:val="single" w:sz="8" w:space="0" w:color="FFFFFF"/>
              <w:left w:val="single" w:sz="8" w:space="0" w:color="FFFFFF"/>
              <w:bottom w:val="single" w:sz="8" w:space="0" w:color="FFFFFF"/>
              <w:right w:val="single" w:sz="8" w:space="0" w:color="FFFFFF"/>
            </w:tcBorders>
            <w:shd w:val="clear" w:color="auto" w:fill="D0D8E8"/>
          </w:tcPr>
          <w:p w14:paraId="190A0BE0"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&lt; 50 %</w:t>
            </w:r>
          </w:p>
        </w:tc>
        <w:tc>
          <w:tcPr>
            <w:tcW w:w="1823" w:type="dxa"/>
            <w:tcBorders>
              <w:top w:val="single" w:sz="8" w:space="0" w:color="FFFFFF"/>
              <w:left w:val="single" w:sz="8" w:space="0" w:color="FFFFFF"/>
              <w:bottom w:val="single" w:sz="8" w:space="0" w:color="FFFFFF"/>
              <w:right w:val="single" w:sz="8" w:space="0" w:color="FFFFFF"/>
            </w:tcBorders>
            <w:shd w:val="clear" w:color="auto" w:fill="D0D8E8"/>
          </w:tcPr>
          <w:p w14:paraId="317662A6" w14:textId="77777777" w:rsidR="00C81B10" w:rsidRPr="004C4E26" w:rsidRDefault="00C81B10" w:rsidP="00AA7F7B">
            <w:pPr>
              <w:rPr>
                <w:rFonts w:asciiTheme="minorHAnsi" w:hAnsiTheme="minorHAnsi" w:cstheme="minorHAnsi"/>
              </w:rPr>
            </w:pPr>
            <w:r w:rsidRPr="004C4E26">
              <w:rPr>
                <w:rFonts w:asciiTheme="minorHAnsi" w:hAnsiTheme="minorHAnsi" w:cstheme="minorHAnsi"/>
              </w:rPr>
              <w:t>&lt; 60 %</w:t>
            </w:r>
          </w:p>
        </w:tc>
      </w:tr>
    </w:tbl>
    <w:p w14:paraId="44DF2EB8" w14:textId="584D2892" w:rsidR="00F12E7E" w:rsidRDefault="004953CE" w:rsidP="00A41E40">
      <w:pPr>
        <w:pStyle w:val="Caption"/>
        <w:rPr>
          <w:lang w:val="en-GB"/>
        </w:rPr>
      </w:pPr>
      <w:bookmarkStart w:id="15" w:name="_Toc96528988"/>
      <w:bookmarkStart w:id="16" w:name="_Toc104905716"/>
      <w:bookmarkStart w:id="17" w:name="_Toc139460659"/>
      <w:r w:rsidRPr="00C81B10">
        <w:rPr>
          <w:rFonts w:asciiTheme="minorHAnsi" w:hAnsiTheme="minorHAnsi" w:cstheme="minorHAnsi"/>
          <w:i/>
          <w:noProof/>
        </w:rPr>
        <w:lastRenderedPageBreak/>
        <mc:AlternateContent>
          <mc:Choice Requires="wps">
            <w:drawing>
              <wp:anchor distT="45720" distB="45720" distL="114300" distR="114300" simplePos="0" relativeHeight="251682816" behindDoc="0" locked="0" layoutInCell="1" allowOverlap="1" wp14:anchorId="01875005" wp14:editId="718A269E">
                <wp:simplePos x="0" y="0"/>
                <wp:positionH relativeFrom="column">
                  <wp:posOffset>-323557</wp:posOffset>
                </wp:positionH>
                <wp:positionV relativeFrom="paragraph">
                  <wp:posOffset>4550215</wp:posOffset>
                </wp:positionV>
                <wp:extent cx="6836410" cy="702945"/>
                <wp:effectExtent l="38100" t="0" r="0" b="400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702945"/>
                        </a:xfrm>
                        <a:prstGeom prst="downArrow">
                          <a:avLst/>
                        </a:prstGeom>
                        <a:solidFill>
                          <a:schemeClr val="accent1">
                            <a:lumMod val="20000"/>
                            <a:lumOff val="80000"/>
                          </a:schemeClr>
                        </a:solidFill>
                        <a:ln w="9525">
                          <a:solidFill>
                            <a:srgbClr val="000000"/>
                          </a:solidFill>
                          <a:miter lim="800000"/>
                          <a:headEnd/>
                          <a:tailEnd/>
                        </a:ln>
                      </wps:spPr>
                      <wps:txbx>
                        <w:txbxContent>
                          <w:p w14:paraId="108578D7" w14:textId="402FA03D" w:rsidR="00B01411" w:rsidRPr="004C4E26" w:rsidRDefault="00B01411" w:rsidP="004953CE">
                            <w:pPr>
                              <w:jc w:val="center"/>
                              <w:rPr>
                                <w:rFonts w:asciiTheme="minorHAnsi" w:hAnsiTheme="minorHAnsi" w:cstheme="minorHAnsi"/>
                              </w:rPr>
                            </w:pPr>
                            <w:r w:rsidRPr="004C4E26">
                              <w:rPr>
                                <w:rFonts w:asciiTheme="minorHAnsi" w:hAnsiTheme="minorHAnsi" w:cstheme="minorHAnsi"/>
                                <w:i/>
                              </w:rPr>
                              <w:t>Confidence class boundaries for accuracy confidence aspect</w:t>
                            </w:r>
                            <w:r w:rsidRPr="004C4E26">
                              <w:rPr>
                                <w:rFonts w:asciiTheme="minorHAnsi" w:hAnsiTheme="minorHAnsi" w:cstheme="minorHAnsi"/>
                              </w:rPr>
                              <w:t>.</w:t>
                            </w:r>
                          </w:p>
                          <w:p w14:paraId="6B798D78" w14:textId="77777777" w:rsidR="00B01411" w:rsidRDefault="00B01411" w:rsidP="004953CE">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75005" id="_x0000_s1033" type="#_x0000_t67" style="position:absolute;margin-left:-25.5pt;margin-top:358.3pt;width:538.3pt;height:55.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" adj="10800" fillcolor="#dbe5f1 [660]">
                <v:textbox inset="0,0,0,0">
                  <w:txbxContent>
                    <w:p w14:paraId="108578D7" w14:textId="402FA03D" w:rsidR="00B01411" w:rsidRPr="004C4E26" w:rsidRDefault="00B01411" w:rsidP="004953CE">
                      <w:pPr>
                        <w:jc w:val="center"/>
                        <w:rPr>
                          <w:rFonts w:asciiTheme="minorHAnsi" w:hAnsiTheme="minorHAnsi" w:cstheme="minorHAnsi"/>
                        </w:rPr>
                      </w:pPr>
                      <w:r w:rsidRPr="004C4E26">
                        <w:rPr>
                          <w:rFonts w:asciiTheme="minorHAnsi" w:hAnsiTheme="minorHAnsi" w:cstheme="minorHAnsi"/>
                          <w:i/>
                        </w:rPr>
                        <w:t>Confidence class boundaries for accuracy confidence aspect</w:t>
                      </w:r>
                      <w:r w:rsidRPr="004C4E26">
                        <w:rPr>
                          <w:rFonts w:asciiTheme="minorHAnsi" w:hAnsiTheme="minorHAnsi" w:cstheme="minorHAnsi"/>
                        </w:rPr>
                        <w:t>.</w:t>
                      </w:r>
                    </w:p>
                    <w:p w14:paraId="6B798D78" w14:textId="77777777" w:rsidR="00B01411" w:rsidRDefault="00B01411" w:rsidP="004953CE">
                      <w:pPr>
                        <w:jc w:val="center"/>
                      </w:pPr>
                    </w:p>
                  </w:txbxContent>
                </v:textbox>
                <w10:wrap type="square"/>
              </v:shape>
            </w:pict>
          </mc:Fallback>
        </mc:AlternateContent>
      </w:r>
      <w:r w:rsidRPr="004953CE">
        <w:rPr>
          <w:rFonts w:asciiTheme="minorHAnsi" w:hAnsiTheme="minorHAnsi" w:cstheme="minorHAnsi"/>
          <w:noProof/>
        </w:rPr>
        <mc:AlternateContent>
          <mc:Choice Requires="wps">
            <w:drawing>
              <wp:anchor distT="45720" distB="45720" distL="114300" distR="114300" simplePos="0" relativeHeight="251680768" behindDoc="0" locked="0" layoutInCell="1" allowOverlap="1" wp14:anchorId="229FD612" wp14:editId="5480B129">
                <wp:simplePos x="0" y="0"/>
                <wp:positionH relativeFrom="column">
                  <wp:posOffset>-12700</wp:posOffset>
                </wp:positionH>
                <wp:positionV relativeFrom="paragraph">
                  <wp:posOffset>2683510</wp:posOffset>
                </wp:positionV>
                <wp:extent cx="6221095" cy="1404620"/>
                <wp:effectExtent l="0" t="0" r="27305"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1404620"/>
                        </a:xfrm>
                        <a:prstGeom prst="rect">
                          <a:avLst/>
                        </a:prstGeom>
                        <a:solidFill>
                          <a:srgbClr val="FFFFFF"/>
                        </a:solidFill>
                        <a:ln w="9525">
                          <a:solidFill>
                            <a:srgbClr val="000000"/>
                          </a:solidFill>
                          <a:miter lim="800000"/>
                          <a:headEnd/>
                          <a:tailEnd/>
                        </a:ln>
                      </wps:spPr>
                      <wps:txbx>
                        <w:txbxContent>
                          <w:p w14:paraId="62728ECE" w14:textId="39F03E13" w:rsidR="00B01411" w:rsidRPr="004953CE" w:rsidRDefault="00B01411">
                            <w:pPr>
                              <w:rPr>
                                <w:rFonts w:asciiTheme="minorHAnsi" w:hAnsiTheme="minorHAnsi" w:cstheme="minorHAnsi"/>
                              </w:rPr>
                            </w:pPr>
                            <w:r w:rsidRPr="004C4E26">
                              <w:rPr>
                                <w:rFonts w:asciiTheme="minorHAnsi" w:hAnsiTheme="minorHAnsi" w:cstheme="minorHAnsi"/>
                              </w:rPr>
                              <w:t>The variable confidence level is calculated in the assessment procedure of COMPEAT based on the observed value, the standard error and the assessment level of the respective assessment parameter per assessment area. The calculated confidence level is directly used as the probability of correct classification as a non-problem area or a problem area. The class boundaries for the accuracy confidence are listed in Table A.</w:t>
                            </w:r>
                            <w:r>
                              <w:rPr>
                                <w:rFonts w:asciiTheme="minorHAnsi" w:hAnsiTheme="minorHAnsi" w:cstheme="minorHAnsi"/>
                              </w:rPr>
                              <w:t>14.</w:t>
                            </w:r>
                            <w:r w:rsidRPr="004C4E26">
                              <w:rPr>
                                <w:rFonts w:asciiTheme="minorHAnsi" w:hAnsiTheme="minorHAnsi" w:cstheme="minorHAnsi"/>
                              </w:rPr>
                              <w:t>4 below. In case of missing information on standard deviation and standard error, no calculation of variable confidence levels and thus no quantitative accuracy estimates will be possible. Alternatively, a qualitative estimate based on expert judgement for the respective parameter and area can be 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FD612" id="_x0000_s1034" type="#_x0000_t202" style="position:absolute;margin-left:-1pt;margin-top:211.3pt;width:489.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">
                <v:textbox style="mso-fit-shape-to-text:t">
                  <w:txbxContent>
                    <w:p w14:paraId="62728ECE" w14:textId="39F03E13" w:rsidR="00B01411" w:rsidRPr="004953CE" w:rsidRDefault="00B01411">
                      <w:pPr>
                        <w:rPr>
                          <w:rFonts w:asciiTheme="minorHAnsi" w:hAnsiTheme="minorHAnsi" w:cstheme="minorHAnsi"/>
                        </w:rPr>
                      </w:pPr>
                      <w:r w:rsidRPr="004C4E26">
                        <w:rPr>
                          <w:rFonts w:asciiTheme="minorHAnsi" w:hAnsiTheme="minorHAnsi" w:cstheme="minorHAnsi"/>
                        </w:rPr>
                        <w:t>The variable confidence level is calculated in the assessment procedure of COMPEAT based on the observed value, the standard error and the assessment level of the respective assessment parameter per assessment area. The calculated confidence level is directly used as the probability of correct classification as a non-problem area or a problem area. The class boundaries for the accuracy confidence are listed in Table A.</w:t>
                      </w:r>
                      <w:r>
                        <w:rPr>
                          <w:rFonts w:asciiTheme="minorHAnsi" w:hAnsiTheme="minorHAnsi" w:cstheme="minorHAnsi"/>
                        </w:rPr>
                        <w:t>14.</w:t>
                      </w:r>
                      <w:r w:rsidRPr="004C4E26">
                        <w:rPr>
                          <w:rFonts w:asciiTheme="minorHAnsi" w:hAnsiTheme="minorHAnsi" w:cstheme="minorHAnsi"/>
                        </w:rPr>
                        <w:t>4 below. In case of missing information on standard deviation and standard error, no calculation of variable confidence levels and thus no quantitative accuracy estimates will be possible. Alternatively, a qualitative estimate based on expert judgement for the respective parameter and area can be used.</w:t>
                      </w:r>
                    </w:p>
                  </w:txbxContent>
                </v:textbox>
                <w10:wrap type="square"/>
              </v:shape>
            </w:pict>
          </mc:Fallback>
        </mc:AlternateContent>
      </w:r>
      <w:r w:rsidRPr="004953CE">
        <w:rPr>
          <w:noProof/>
          <w:lang w:val="en-GB"/>
        </w:rPr>
        <mc:AlternateContent>
          <mc:Choice Requires="wps">
            <w:drawing>
              <wp:anchor distT="45720" distB="45720" distL="114300" distR="114300" simplePos="0" relativeHeight="251678720" behindDoc="0" locked="0" layoutInCell="1" allowOverlap="1" wp14:anchorId="1E61041C" wp14:editId="21659435">
                <wp:simplePos x="0" y="0"/>
                <wp:positionH relativeFrom="column">
                  <wp:posOffset>-12700</wp:posOffset>
                </wp:positionH>
                <wp:positionV relativeFrom="paragraph">
                  <wp:posOffset>404495</wp:posOffset>
                </wp:positionV>
                <wp:extent cx="6221095" cy="2025650"/>
                <wp:effectExtent l="0" t="0" r="27305"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095" cy="2025650"/>
                        </a:xfrm>
                        <a:prstGeom prst="rect">
                          <a:avLst/>
                        </a:prstGeom>
                        <a:solidFill>
                          <a:srgbClr val="FFFFFF"/>
                        </a:solidFill>
                        <a:ln w="9525">
                          <a:solidFill>
                            <a:srgbClr val="000000"/>
                          </a:solidFill>
                          <a:miter lim="800000"/>
                          <a:headEnd/>
                          <a:tailEnd/>
                        </a:ln>
                      </wps:spPr>
                      <wps:txbx>
                        <w:txbxContent>
                          <w:p w14:paraId="7A77CC9A" w14:textId="4B0922B2" w:rsidR="00B01411" w:rsidRDefault="00B01411">
                            <w:r>
                              <w:rPr>
                                <w:rFonts w:asciiTheme="minorHAnsi" w:hAnsiTheme="minorHAnsi" w:cstheme="minorHAnsi"/>
                              </w:rPr>
                              <w:t>T</w:t>
                            </w:r>
                            <w:r w:rsidRPr="004C4E26">
                              <w:rPr>
                                <w:rFonts w:asciiTheme="minorHAnsi" w:hAnsiTheme="minorHAnsi" w:cstheme="minorHAnsi"/>
                              </w:rPr>
                              <w:t>he accuracy of the parameter result indicates how certain the assessment is in relation to the variability of the data. The accuracy aspect of the confidence assessment is considered by calculating variable confidence level per assessment parameter to estimate the probability or certainty of the classification of being below or above the area-specific assessment level (depending on the response of the parameter to eutrophication) and thus the classification as problem or non-problem area. In contrast to temporal and spatial confidence, the accuracy will be assessed over the entire assessment period and not on annual basis, because it is a matter of estimating the probability of correct classification for the overall result. It is also possible to use the bootstrapping method of the Monte Carlo simulation for the accuracy confidence aspect when implemented in the COMPEAT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1041C" id="_x0000_s1035" type="#_x0000_t202" style="position:absolute;margin-left:-1pt;margin-top:31.85pt;width:489.85pt;height:15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">
                <v:textbox>
                  <w:txbxContent>
                    <w:p w14:paraId="7A77CC9A" w14:textId="4B0922B2" w:rsidR="00B01411" w:rsidRDefault="00B01411">
                      <w:r>
                        <w:rPr>
                          <w:rFonts w:asciiTheme="minorHAnsi" w:hAnsiTheme="minorHAnsi" w:cstheme="minorHAnsi"/>
                        </w:rPr>
                        <w:t>T</w:t>
                      </w:r>
                      <w:r w:rsidRPr="004C4E26">
                        <w:rPr>
                          <w:rFonts w:asciiTheme="minorHAnsi" w:hAnsiTheme="minorHAnsi" w:cstheme="minorHAnsi"/>
                        </w:rPr>
                        <w:t>he accuracy of the parameter result indicates how certain the assessment is in relation to the variability of the data. The accuracy aspect of the confidence assessment is considered by calculating variable confidence level per assessment parameter to estimate the probability or certainty of the classification of being below or above the area-specific assessment level (depending on the response of the parameter to eutrophication) and thus the classification as problem or non-problem area. In contrast to temporal and spatial confidence, the accuracy will be assessed over the entire assessment period and not on annual basis, because it is a matter of estimating the probability of correct classification for the overall result. It is also possible to use the bootstrapping method of the Monte Carlo simulation for the accuracy confidence aspect when implemented in the COMPEAT tool.</w:t>
                      </w:r>
                    </w:p>
                  </w:txbxContent>
                </v:textbox>
                <w10:wrap type="square"/>
              </v:shape>
            </w:pict>
          </mc:Fallback>
        </mc:AlternateContent>
      </w:r>
      <w:r w:rsidR="00A41E40">
        <w:t xml:space="preserve">Supplementary Figure S </w:t>
      </w:r>
      <w:fldSimple w:instr=" SEQ Supplementary_Figure_S \* ARABIC ">
        <w:r w:rsidR="00A41E40">
          <w:rPr>
            <w:noProof/>
          </w:rPr>
          <w:t>4</w:t>
        </w:r>
      </w:fldSimple>
      <w:r w:rsidR="00C81B10">
        <w:rPr>
          <w:lang w:val="en-GB"/>
        </w:rPr>
        <w:t xml:space="preserve">: Assessment of </w:t>
      </w:r>
      <w:r w:rsidR="00F12E7E" w:rsidRPr="004C4E26">
        <w:rPr>
          <w:lang w:val="en-GB"/>
        </w:rPr>
        <w:t>Accuracy confidence</w:t>
      </w:r>
      <w:bookmarkEnd w:id="15"/>
      <w:bookmarkEnd w:id="16"/>
      <w:bookmarkEnd w:id="17"/>
    </w:p>
    <w:tbl>
      <w:tblPr>
        <w:tblW w:w="9062" w:type="dxa"/>
        <w:tblCellMar>
          <w:left w:w="0" w:type="dxa"/>
          <w:right w:w="0" w:type="dxa"/>
        </w:tblCellMar>
        <w:tblLook w:val="04A0" w:firstRow="1" w:lastRow="0" w:firstColumn="1" w:lastColumn="0" w:noHBand="0" w:noVBand="1"/>
      </w:tblPr>
      <w:tblGrid>
        <w:gridCol w:w="1373"/>
        <w:gridCol w:w="7689"/>
      </w:tblGrid>
      <w:tr w:rsidR="00F12E7E" w:rsidRPr="004C4E26" w14:paraId="03DEF7BA" w14:textId="77777777" w:rsidTr="004953CE">
        <w:trPr>
          <w:trHeight w:val="1000"/>
        </w:trPr>
        <w:tc>
          <w:tcPr>
            <w:tcW w:w="13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21410D7"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Score</w:t>
            </w:r>
          </w:p>
        </w:tc>
        <w:tc>
          <w:tcPr>
            <w:tcW w:w="768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6D6A759"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Evaluation criteria for accuracy confidence (confidence level of being above or below area-specific assessment level)</w:t>
            </w:r>
          </w:p>
        </w:tc>
      </w:tr>
      <w:tr w:rsidR="00F12E7E" w:rsidRPr="004C4E26" w14:paraId="610A3D25" w14:textId="77777777" w:rsidTr="004953CE">
        <w:trPr>
          <w:trHeight w:val="453"/>
        </w:trPr>
        <w:tc>
          <w:tcPr>
            <w:tcW w:w="13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1BD23E63"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HIGH</w:t>
            </w:r>
          </w:p>
        </w:tc>
        <w:tc>
          <w:tcPr>
            <w:tcW w:w="768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BB02F0F" w14:textId="77777777" w:rsidR="00F12E7E" w:rsidRPr="004C4E26" w:rsidRDefault="00F12E7E" w:rsidP="00F12E7E">
            <w:pPr>
              <w:rPr>
                <w:rFonts w:asciiTheme="minorHAnsi" w:hAnsiTheme="minorHAnsi" w:cstheme="minorHAnsi"/>
              </w:rPr>
            </w:pPr>
            <w:r w:rsidRPr="004C4E26">
              <w:rPr>
                <w:rFonts w:asciiTheme="minorHAnsi" w:hAnsiTheme="minorHAnsi" w:cstheme="minorHAnsi"/>
              </w:rPr>
              <w:t>Assessment result is considered correct with at least 90 % probability</w:t>
            </w:r>
          </w:p>
        </w:tc>
      </w:tr>
      <w:tr w:rsidR="00F12E7E" w:rsidRPr="004C4E26" w14:paraId="0D0A66AC" w14:textId="77777777" w:rsidTr="004953CE">
        <w:trPr>
          <w:trHeight w:val="466"/>
        </w:trPr>
        <w:tc>
          <w:tcPr>
            <w:tcW w:w="13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0D8A774"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MODERATE</w:t>
            </w:r>
          </w:p>
        </w:tc>
        <w:tc>
          <w:tcPr>
            <w:tcW w:w="768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29D065F" w14:textId="77777777" w:rsidR="00F12E7E" w:rsidRPr="004C4E26" w:rsidRDefault="00F12E7E" w:rsidP="00F12E7E">
            <w:pPr>
              <w:rPr>
                <w:rFonts w:asciiTheme="minorHAnsi" w:hAnsiTheme="minorHAnsi" w:cstheme="minorHAnsi"/>
              </w:rPr>
            </w:pPr>
            <w:r w:rsidRPr="004C4E26">
              <w:rPr>
                <w:rFonts w:asciiTheme="minorHAnsi" w:hAnsiTheme="minorHAnsi" w:cstheme="minorHAnsi"/>
              </w:rPr>
              <w:t>Assessment result is considered correct with a probability between 70 % and 90 %</w:t>
            </w:r>
          </w:p>
        </w:tc>
      </w:tr>
      <w:tr w:rsidR="00F12E7E" w:rsidRPr="004C4E26" w14:paraId="7FC2C81D" w14:textId="77777777" w:rsidTr="004953CE">
        <w:trPr>
          <w:trHeight w:val="453"/>
        </w:trPr>
        <w:tc>
          <w:tcPr>
            <w:tcW w:w="13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3118736" w14:textId="77777777" w:rsidR="00F12E7E" w:rsidRPr="004C4E26" w:rsidRDefault="00F12E7E" w:rsidP="00F12E7E">
            <w:pPr>
              <w:rPr>
                <w:rFonts w:asciiTheme="minorHAnsi" w:hAnsiTheme="minorHAnsi" w:cstheme="minorHAnsi"/>
              </w:rPr>
            </w:pPr>
            <w:r w:rsidRPr="004C4E26">
              <w:rPr>
                <w:rFonts w:asciiTheme="minorHAnsi" w:hAnsiTheme="minorHAnsi" w:cstheme="minorHAnsi"/>
                <w:b/>
                <w:bCs/>
              </w:rPr>
              <w:t>LOW</w:t>
            </w:r>
          </w:p>
        </w:tc>
        <w:tc>
          <w:tcPr>
            <w:tcW w:w="768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27CFB55" w14:textId="77777777" w:rsidR="00F12E7E" w:rsidRPr="004C4E26" w:rsidRDefault="00F12E7E" w:rsidP="00F12E7E">
            <w:pPr>
              <w:rPr>
                <w:rFonts w:asciiTheme="minorHAnsi" w:hAnsiTheme="minorHAnsi" w:cstheme="minorHAnsi"/>
              </w:rPr>
            </w:pPr>
            <w:r w:rsidRPr="004C4E26">
              <w:rPr>
                <w:rFonts w:asciiTheme="minorHAnsi" w:hAnsiTheme="minorHAnsi" w:cstheme="minorHAnsi"/>
              </w:rPr>
              <w:t>Assessment result is considered correct with less than 70 % probability</w:t>
            </w:r>
          </w:p>
        </w:tc>
      </w:tr>
    </w:tbl>
    <w:p w14:paraId="7C7172BC" w14:textId="77777777" w:rsidR="00C81B10" w:rsidRDefault="00C81B10" w:rsidP="00C81B10">
      <w:pPr>
        <w:rPr>
          <w:lang w:val="en-GB"/>
        </w:rPr>
      </w:pPr>
      <w:bookmarkStart w:id="18" w:name="_Toc96528989"/>
      <w:bookmarkStart w:id="19" w:name="_Toc104905717"/>
    </w:p>
    <w:p w14:paraId="7F794E8B" w14:textId="77777777" w:rsidR="004953CE" w:rsidRDefault="004953CE" w:rsidP="00C81B10">
      <w:pPr>
        <w:rPr>
          <w:lang w:val="en-GB"/>
        </w:rPr>
      </w:pPr>
    </w:p>
    <w:p w14:paraId="2D7A869A" w14:textId="5D6AEF72" w:rsidR="00C81B10" w:rsidRDefault="00C81B10" w:rsidP="00C81B10">
      <w:pPr>
        <w:rPr>
          <w:lang w:val="en-GB"/>
        </w:rPr>
      </w:pPr>
    </w:p>
    <w:p w14:paraId="6E83F160" w14:textId="28D24918" w:rsidR="00F12E7E" w:rsidRPr="004C4E26" w:rsidRDefault="00A41E40" w:rsidP="00A41E40">
      <w:pPr>
        <w:pStyle w:val="Caption"/>
        <w:rPr>
          <w:lang w:val="en-GB"/>
        </w:rPr>
      </w:pPr>
      <w:bookmarkStart w:id="20" w:name="_Toc139460660"/>
      <w:r>
        <w:t xml:space="preserve">Supplementary Figure S </w:t>
      </w:r>
      <w:fldSimple w:instr=" SEQ Supplementary_Figure_S \* ARABIC ">
        <w:r>
          <w:rPr>
            <w:noProof/>
          </w:rPr>
          <w:t>5</w:t>
        </w:r>
      </w:fldSimple>
      <w:r w:rsidR="004953CE">
        <w:rPr>
          <w:lang w:val="en-GB"/>
        </w:rPr>
        <w:t xml:space="preserve">: </w:t>
      </w:r>
      <w:r w:rsidR="00F12E7E" w:rsidRPr="004C4E26">
        <w:rPr>
          <w:lang w:val="en-GB"/>
        </w:rPr>
        <w:t>Aggregation/Integration of parameter confidence</w:t>
      </w:r>
      <w:bookmarkEnd w:id="18"/>
      <w:bookmarkEnd w:id="19"/>
      <w:bookmarkEnd w:id="20"/>
    </w:p>
    <w:p w14:paraId="56CFDEFE" w14:textId="059278D8" w:rsidR="00F12E7E" w:rsidRDefault="00F12E7E" w:rsidP="00F12E7E">
      <w:pPr>
        <w:rPr>
          <w:rFonts w:asciiTheme="minorHAnsi" w:hAnsiTheme="minorHAnsi" w:cstheme="minorHAnsi"/>
        </w:rPr>
      </w:pPr>
      <w:r w:rsidRPr="004C4E26">
        <w:rPr>
          <w:rFonts w:asciiTheme="minorHAnsi" w:hAnsiTheme="minorHAnsi" w:cstheme="minorHAnsi"/>
        </w:rPr>
        <w:t>On parameter level the different confidence aspects are aggregated in the following way:</w:t>
      </w:r>
    </w:p>
    <w:p w14:paraId="4383F1E9" w14:textId="7B2FD75D" w:rsidR="004953CE" w:rsidRDefault="00AA7F7B" w:rsidP="00F12E7E">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7565F927" wp14:editId="65399285">
                <wp:simplePos x="0" y="0"/>
                <wp:positionH relativeFrom="column">
                  <wp:posOffset>-82550</wp:posOffset>
                </wp:positionH>
                <wp:positionV relativeFrom="paragraph">
                  <wp:posOffset>269386</wp:posOffset>
                </wp:positionV>
                <wp:extent cx="0" cy="5894363"/>
                <wp:effectExtent l="76200" t="0" r="57150" b="49530"/>
                <wp:wrapNone/>
                <wp:docPr id="1017095975" name="Straight Arrow Connector 1017095975"/>
                <wp:cNvGraphicFramePr/>
                <a:graphic xmlns:a="http://schemas.openxmlformats.org/drawingml/2006/main">
                  <a:graphicData uri="http://schemas.microsoft.com/office/word/2010/wordprocessingShape">
                    <wps:wsp>
                      <wps:cNvCnPr/>
                      <wps:spPr>
                        <a:xfrm>
                          <a:off x="0" y="0"/>
                          <a:ext cx="0" cy="5894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9B677F" id="_x0000_t32" coordsize="21600,21600" o:spt="32" o:oned="t" path="m,l21600,21600e" filled="f">
                <v:path arrowok="t" fillok="f" o:connecttype="none"/>
                <o:lock v:ext="edit" shapetype="t"/>
              </v:shapetype>
              <v:shape id="Straight Arrow Connector 1017095975" o:spid="_x0000_s1026" type="#_x0000_t32" style="position:absolute;margin-left:-6.5pt;margin-top:21.2pt;width:0;height:464.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" strokecolor="#4579b8 [3044]">
                <v:stroke endarrow="block"/>
              </v:shape>
            </w:pict>
          </mc:Fallback>
        </mc:AlternateContent>
      </w:r>
      <w:r w:rsidRPr="004953CE">
        <w:rPr>
          <w:rFonts w:asciiTheme="minorHAnsi" w:hAnsiTheme="minorHAnsi" w:cstheme="minorHAnsi"/>
          <w:noProof/>
        </w:rPr>
        <mc:AlternateContent>
          <mc:Choice Requires="wps">
            <w:drawing>
              <wp:anchor distT="45720" distB="45720" distL="114300" distR="114300" simplePos="0" relativeHeight="251684864" behindDoc="0" locked="0" layoutInCell="1" allowOverlap="1" wp14:anchorId="0B220F60" wp14:editId="4B2EB1D9">
                <wp:simplePos x="0" y="0"/>
                <wp:positionH relativeFrom="column">
                  <wp:posOffset>128270</wp:posOffset>
                </wp:positionH>
                <wp:positionV relativeFrom="paragraph">
                  <wp:posOffset>114544</wp:posOffset>
                </wp:positionV>
                <wp:extent cx="5654675" cy="492125"/>
                <wp:effectExtent l="0" t="0" r="22225" b="2222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492125"/>
                        </a:xfrm>
                        <a:prstGeom prst="rect">
                          <a:avLst/>
                        </a:prstGeom>
                        <a:solidFill>
                          <a:srgbClr val="FFFFFF"/>
                        </a:solidFill>
                        <a:ln w="9525">
                          <a:solidFill>
                            <a:srgbClr val="000000"/>
                          </a:solidFill>
                          <a:miter lim="800000"/>
                          <a:headEnd/>
                          <a:tailEnd/>
                        </a:ln>
                      </wps:spPr>
                      <wps:txbx>
                        <w:txbxContent>
                          <w:p w14:paraId="37E45023" w14:textId="64679B53" w:rsidR="00B01411" w:rsidRPr="004953CE" w:rsidRDefault="00B01411" w:rsidP="004953CE">
                            <w:pPr>
                              <w:spacing w:before="0" w:after="200" w:line="276" w:lineRule="auto"/>
                              <w:rPr>
                                <w:rFonts w:asciiTheme="minorHAnsi" w:hAnsiTheme="minorHAnsi" w:cstheme="minorHAnsi"/>
                              </w:rPr>
                            </w:pPr>
                            <w:r w:rsidRPr="004953CE">
                              <w:rPr>
                                <w:rFonts w:asciiTheme="minorHAnsi" w:hAnsiTheme="minorHAnsi" w:cstheme="minorHAnsi"/>
                              </w:rPr>
                              <w:t>Averaging annual confidence results over the assessment period for temporal and spatial confidence aspects separatel</w:t>
                            </w:r>
                            <w:r>
                              <w:rPr>
                                <w:rFonts w:asciiTheme="minorHAnsi" w:hAnsiTheme="minorHAnsi" w:cstheme="minorHAnsi"/>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0F60" id="_x0000_s1036" type="#_x0000_t202" style="position:absolute;margin-left:10.1pt;margin-top:9pt;width:445.25pt;height:38.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">
                <v:textbox>
                  <w:txbxContent>
                    <w:p w14:paraId="37E45023" w14:textId="64679B53" w:rsidR="00B01411" w:rsidRPr="004953CE" w:rsidRDefault="00B01411" w:rsidP="004953CE">
                      <w:pPr>
                        <w:spacing w:before="0" w:after="200" w:line="276" w:lineRule="auto"/>
                        <w:rPr>
                          <w:rFonts w:asciiTheme="minorHAnsi" w:hAnsiTheme="minorHAnsi" w:cstheme="minorHAnsi"/>
                        </w:rPr>
                      </w:pPr>
                      <w:r w:rsidRPr="004953CE">
                        <w:rPr>
                          <w:rFonts w:asciiTheme="minorHAnsi" w:hAnsiTheme="minorHAnsi" w:cstheme="minorHAnsi"/>
                        </w:rPr>
                        <w:t>Averaging annual confidence results over the assessment period for temporal and spatial confidence aspects separatel</w:t>
                      </w:r>
                      <w:r>
                        <w:rPr>
                          <w:rFonts w:asciiTheme="minorHAnsi" w:hAnsiTheme="minorHAnsi" w:cstheme="minorHAnsi"/>
                        </w:rPr>
                        <w:t>y</w:t>
                      </w:r>
                    </w:p>
                  </w:txbxContent>
                </v:textbox>
                <w10:wrap type="square"/>
              </v:shape>
            </w:pict>
          </mc:Fallback>
        </mc:AlternateContent>
      </w:r>
    </w:p>
    <w:p w14:paraId="0ABC04D4" w14:textId="1F71CE22" w:rsidR="004953CE" w:rsidRDefault="004953CE" w:rsidP="00F12E7E">
      <w:pPr>
        <w:rPr>
          <w:rFonts w:asciiTheme="minorHAnsi" w:hAnsiTheme="minorHAnsi" w:cstheme="minorHAnsi"/>
        </w:rPr>
      </w:pPr>
    </w:p>
    <w:p w14:paraId="4BA4DB37" w14:textId="379202AE" w:rsidR="004953CE" w:rsidRDefault="004953CE" w:rsidP="00F12E7E">
      <w:pPr>
        <w:rPr>
          <w:rFonts w:asciiTheme="minorHAnsi" w:hAnsiTheme="minorHAnsi" w:cstheme="minorHAnsi"/>
        </w:rPr>
      </w:pPr>
      <w:r w:rsidRPr="004953CE">
        <w:rPr>
          <w:rFonts w:asciiTheme="minorHAnsi" w:hAnsiTheme="minorHAnsi" w:cstheme="minorHAnsi"/>
          <w:noProof/>
        </w:rPr>
        <mc:AlternateContent>
          <mc:Choice Requires="wps">
            <w:drawing>
              <wp:anchor distT="45720" distB="45720" distL="114300" distR="114300" simplePos="0" relativeHeight="251686912" behindDoc="0" locked="0" layoutInCell="1" allowOverlap="1" wp14:anchorId="6029B8A1" wp14:editId="5C419E6C">
                <wp:simplePos x="0" y="0"/>
                <wp:positionH relativeFrom="column">
                  <wp:posOffset>128270</wp:posOffset>
                </wp:positionH>
                <wp:positionV relativeFrom="paragraph">
                  <wp:posOffset>24667</wp:posOffset>
                </wp:positionV>
                <wp:extent cx="5654675" cy="731520"/>
                <wp:effectExtent l="0" t="0" r="22225"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731520"/>
                        </a:xfrm>
                        <a:prstGeom prst="rect">
                          <a:avLst/>
                        </a:prstGeom>
                        <a:solidFill>
                          <a:srgbClr val="FFFFFF"/>
                        </a:solidFill>
                        <a:ln w="9525">
                          <a:solidFill>
                            <a:srgbClr val="000000"/>
                          </a:solidFill>
                          <a:miter lim="800000"/>
                          <a:headEnd/>
                          <a:tailEnd/>
                        </a:ln>
                      </wps:spPr>
                      <wps:txbx>
                        <w:txbxContent>
                          <w:p w14:paraId="66DE1BB1" w14:textId="77777777" w:rsidR="00B01411" w:rsidRPr="004C4E26" w:rsidRDefault="00B01411" w:rsidP="004953CE">
                            <w:pPr>
                              <w:pStyle w:val="ListParagraph"/>
                              <w:numPr>
                                <w:ilvl w:val="0"/>
                                <w:numId w:val="0"/>
                              </w:numPr>
                              <w:spacing w:before="0" w:after="200" w:line="276" w:lineRule="auto"/>
                              <w:rPr>
                                <w:rFonts w:asciiTheme="minorHAnsi" w:hAnsiTheme="minorHAnsi" w:cstheme="minorHAnsi"/>
                              </w:rPr>
                            </w:pPr>
                            <w:r w:rsidRPr="004C4E26">
                              <w:rPr>
                                <w:rFonts w:asciiTheme="minorHAnsi" w:hAnsiTheme="minorHAnsi" w:cstheme="minorHAnsi"/>
                              </w:rPr>
                              <w:t>A</w:t>
                            </w:r>
                            <w:r w:rsidRPr="004953CE">
                              <w:rPr>
                                <w:rFonts w:asciiTheme="minorHAnsi" w:eastAsiaTheme="minorHAnsi" w:hAnsiTheme="minorHAnsi" w:cstheme="minorHAnsi"/>
                                <w:szCs w:val="22"/>
                              </w:rPr>
                              <w:t xml:space="preserve">veraging or weighted averaging of temporal, spatial and accuracy confidence (and potential further methodological </w:t>
                            </w:r>
                            <w:r w:rsidRPr="004C4E26">
                              <w:rPr>
                                <w:rFonts w:asciiTheme="minorHAnsi" w:hAnsiTheme="minorHAnsi" w:cstheme="minorHAnsi"/>
                              </w:rPr>
                              <w:t>confidence in particular when using different data types) to a parameter confidence result.</w:t>
                            </w:r>
                          </w:p>
                          <w:p w14:paraId="5CF59535" w14:textId="77777777" w:rsidR="00B01411" w:rsidRDefault="00B01411" w:rsidP="00495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B8A1" id="_x0000_s1037" type="#_x0000_t202" style="position:absolute;margin-left:10.1pt;margin-top:1.95pt;width:445.25pt;height:57.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">
                <v:textbox>
                  <w:txbxContent>
                    <w:p w14:paraId="66DE1BB1" w14:textId="77777777" w:rsidR="00B01411" w:rsidRPr="004C4E26" w:rsidRDefault="00B01411" w:rsidP="004953CE">
                      <w:pPr>
                        <w:pStyle w:val="ListParagraph"/>
                        <w:numPr>
                          <w:ilvl w:val="0"/>
                          <w:numId w:val="0"/>
                        </w:numPr>
                        <w:spacing w:before="0" w:after="200" w:line="276" w:lineRule="auto"/>
                        <w:rPr>
                          <w:rFonts w:asciiTheme="minorHAnsi" w:hAnsiTheme="minorHAnsi" w:cstheme="minorHAnsi"/>
                        </w:rPr>
                      </w:pPr>
                      <w:r w:rsidRPr="004C4E26">
                        <w:rPr>
                          <w:rFonts w:asciiTheme="minorHAnsi" w:hAnsiTheme="minorHAnsi" w:cstheme="minorHAnsi"/>
                        </w:rPr>
                        <w:t>A</w:t>
                      </w:r>
                      <w:r w:rsidRPr="004953CE">
                        <w:rPr>
                          <w:rFonts w:asciiTheme="minorHAnsi" w:eastAsiaTheme="minorHAnsi" w:hAnsiTheme="minorHAnsi" w:cstheme="minorHAnsi"/>
                          <w:szCs w:val="22"/>
                        </w:rPr>
                        <w:t xml:space="preserve">veraging or weighted averaging of temporal, spatial and accuracy confidence (and potential further methodological </w:t>
                      </w:r>
                      <w:r w:rsidRPr="004C4E26">
                        <w:rPr>
                          <w:rFonts w:asciiTheme="minorHAnsi" w:hAnsiTheme="minorHAnsi" w:cstheme="minorHAnsi"/>
                        </w:rPr>
                        <w:t>confidence in particular when using different data types) to a parameter confidence result.</w:t>
                      </w:r>
                    </w:p>
                    <w:p w14:paraId="5CF59535" w14:textId="77777777" w:rsidR="00B01411" w:rsidRDefault="00B01411" w:rsidP="004953CE"/>
                  </w:txbxContent>
                </v:textbox>
                <w10:wrap type="square"/>
              </v:shape>
            </w:pict>
          </mc:Fallback>
        </mc:AlternateContent>
      </w:r>
    </w:p>
    <w:p w14:paraId="1102C79D" w14:textId="081A6130" w:rsidR="004953CE" w:rsidRDefault="00AA7F7B" w:rsidP="00F12E7E">
      <w:pPr>
        <w:rPr>
          <w:rFonts w:asciiTheme="minorHAnsi" w:hAnsiTheme="minorHAnsi" w:cstheme="minorHAnsi"/>
        </w:rPr>
      </w:pPr>
      <w:r w:rsidRPr="004953CE">
        <w:rPr>
          <w:rFonts w:asciiTheme="minorHAnsi" w:hAnsiTheme="minorHAnsi" w:cstheme="minorHAnsi"/>
          <w:noProof/>
        </w:rPr>
        <mc:AlternateContent>
          <mc:Choice Requires="wps">
            <w:drawing>
              <wp:anchor distT="45720" distB="45720" distL="114300" distR="114300" simplePos="0" relativeHeight="251688960" behindDoc="0" locked="0" layoutInCell="1" allowOverlap="1" wp14:anchorId="3F323897" wp14:editId="66B3B49D">
                <wp:simplePos x="0" y="0"/>
                <wp:positionH relativeFrom="column">
                  <wp:posOffset>128270</wp:posOffset>
                </wp:positionH>
                <wp:positionV relativeFrom="paragraph">
                  <wp:posOffset>520114</wp:posOffset>
                </wp:positionV>
                <wp:extent cx="5654675" cy="716915"/>
                <wp:effectExtent l="0" t="0" r="22225" b="26035"/>
                <wp:wrapSquare wrapText="bothSides"/>
                <wp:docPr id="1017095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716915"/>
                        </a:xfrm>
                        <a:prstGeom prst="rect">
                          <a:avLst/>
                        </a:prstGeom>
                        <a:solidFill>
                          <a:srgbClr val="FFFFFF"/>
                        </a:solidFill>
                        <a:ln w="9525">
                          <a:solidFill>
                            <a:srgbClr val="000000"/>
                          </a:solidFill>
                          <a:miter lim="800000"/>
                          <a:headEnd/>
                          <a:tailEnd/>
                        </a:ln>
                      </wps:spPr>
                      <wps:txbx>
                        <w:txbxContent>
                          <w:p w14:paraId="78B7C2FD" w14:textId="65B94457" w:rsidR="00B01411" w:rsidRPr="00FD68F1" w:rsidRDefault="00B01411" w:rsidP="004953CE">
                            <w:pPr>
                              <w:pStyle w:val="Default"/>
                              <w:spacing w:after="120" w:line="276" w:lineRule="auto"/>
                              <w:jc w:val="both"/>
                              <w:rPr>
                                <w:rFonts w:asciiTheme="minorHAnsi" w:hAnsiTheme="minorHAnsi" w:cstheme="minorHAnsi"/>
                                <w:lang w:val="en-GB"/>
                              </w:rPr>
                            </w:pPr>
                            <w:r w:rsidRPr="004C4E26">
                              <w:rPr>
                                <w:rFonts w:asciiTheme="minorHAnsi" w:hAnsiTheme="minorHAnsi" w:cstheme="minorHAnsi"/>
                                <w:sz w:val="22"/>
                                <w:szCs w:val="22"/>
                                <w:lang w:val="en-GB"/>
                              </w:rPr>
                              <w:t xml:space="preserve">The different parameter confidence results are combined to category results according to the integration principle of the status assessment: </w:t>
                            </w:r>
                            <w:r w:rsidRPr="00FD68F1">
                              <w:rPr>
                                <w:rFonts w:asciiTheme="minorHAnsi" w:hAnsiTheme="minorHAnsi" w:cstheme="minorHAnsi"/>
                                <w:lang w:val="en-GB"/>
                              </w:rPr>
                              <w:t>particular when using different data types) to a parameter confidence result.</w:t>
                            </w:r>
                          </w:p>
                          <w:p w14:paraId="3CC06A2F" w14:textId="77777777" w:rsidR="00B01411" w:rsidRDefault="00B01411" w:rsidP="00495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23897" id="_x0000_s1038" type="#_x0000_t202" style="position:absolute;margin-left:10.1pt;margin-top:40.95pt;width:445.25pt;height:56.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">
                <v:textbox>
                  <w:txbxContent>
                    <w:p w14:paraId="78B7C2FD" w14:textId="65B94457" w:rsidR="00B01411" w:rsidRPr="00FD68F1" w:rsidRDefault="00B01411" w:rsidP="004953CE">
                      <w:pPr>
                        <w:pStyle w:val="Default"/>
                        <w:spacing w:after="120" w:line="276" w:lineRule="auto"/>
                        <w:jc w:val="both"/>
                        <w:rPr>
                          <w:rFonts w:asciiTheme="minorHAnsi" w:hAnsiTheme="minorHAnsi" w:cstheme="minorHAnsi"/>
                          <w:lang w:val="en-GB"/>
                        </w:rPr>
                      </w:pPr>
                      <w:r w:rsidRPr="004C4E26">
                        <w:rPr>
                          <w:rFonts w:asciiTheme="minorHAnsi" w:hAnsiTheme="minorHAnsi" w:cstheme="minorHAnsi"/>
                          <w:sz w:val="22"/>
                          <w:szCs w:val="22"/>
                          <w:lang w:val="en-GB"/>
                        </w:rPr>
                        <w:t xml:space="preserve">The different parameter confidence results are combined to category results according to the integration principle of the status assessment: </w:t>
                      </w:r>
                      <w:r w:rsidRPr="00FD68F1">
                        <w:rPr>
                          <w:rFonts w:asciiTheme="minorHAnsi" w:hAnsiTheme="minorHAnsi" w:cstheme="minorHAnsi"/>
                          <w:lang w:val="en-GB"/>
                        </w:rPr>
                        <w:t>particular when using different data types) to a parameter confidence result.</w:t>
                      </w:r>
                    </w:p>
                    <w:p w14:paraId="3CC06A2F" w14:textId="77777777" w:rsidR="00B01411" w:rsidRDefault="00B01411" w:rsidP="004953CE"/>
                  </w:txbxContent>
                </v:textbox>
                <w10:wrap type="square"/>
              </v:shape>
            </w:pict>
          </mc:Fallback>
        </mc:AlternateContent>
      </w:r>
    </w:p>
    <w:p w14:paraId="38EAA52B" w14:textId="2B055F01" w:rsidR="004953CE" w:rsidRDefault="004953CE" w:rsidP="00F12E7E">
      <w:pPr>
        <w:rPr>
          <w:rFonts w:asciiTheme="minorHAnsi" w:hAnsiTheme="minorHAnsi" w:cstheme="minorHAnsi"/>
        </w:rPr>
      </w:pPr>
    </w:p>
    <w:p w14:paraId="53D0FDBD" w14:textId="2E2FD38E" w:rsidR="004953CE" w:rsidRDefault="004953CE" w:rsidP="00F12E7E">
      <w:pPr>
        <w:rPr>
          <w:rFonts w:asciiTheme="minorHAnsi" w:hAnsiTheme="minorHAnsi" w:cstheme="minorHAnsi"/>
        </w:rPr>
      </w:pPr>
    </w:p>
    <w:p w14:paraId="7411EEEF" w14:textId="15C24995" w:rsidR="004953CE" w:rsidRDefault="00AA7F7B" w:rsidP="00F12E7E">
      <w:pPr>
        <w:rPr>
          <w:rFonts w:asciiTheme="minorHAnsi" w:hAnsiTheme="minorHAnsi" w:cstheme="minorHAnsi"/>
        </w:rPr>
      </w:pPr>
      <w:r w:rsidRPr="004953CE">
        <w:rPr>
          <w:rFonts w:asciiTheme="minorHAnsi" w:hAnsiTheme="minorHAnsi" w:cstheme="minorHAnsi"/>
          <w:noProof/>
        </w:rPr>
        <mc:AlternateContent>
          <mc:Choice Requires="wps">
            <w:drawing>
              <wp:anchor distT="45720" distB="45720" distL="114300" distR="114300" simplePos="0" relativeHeight="251691008" behindDoc="0" locked="0" layoutInCell="1" allowOverlap="1" wp14:anchorId="5A83689C" wp14:editId="213D3A52">
                <wp:simplePos x="0" y="0"/>
                <wp:positionH relativeFrom="column">
                  <wp:posOffset>125095</wp:posOffset>
                </wp:positionH>
                <wp:positionV relativeFrom="paragraph">
                  <wp:posOffset>331470</wp:posOffset>
                </wp:positionV>
                <wp:extent cx="5654675" cy="716915"/>
                <wp:effectExtent l="0" t="0" r="22225" b="26035"/>
                <wp:wrapSquare wrapText="bothSides"/>
                <wp:docPr id="1017095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716915"/>
                        </a:xfrm>
                        <a:prstGeom prst="rect">
                          <a:avLst/>
                        </a:prstGeom>
                        <a:solidFill>
                          <a:srgbClr val="FFFFFF"/>
                        </a:solidFill>
                        <a:ln w="9525">
                          <a:solidFill>
                            <a:srgbClr val="000000"/>
                          </a:solidFill>
                          <a:miter lim="800000"/>
                          <a:headEnd/>
                          <a:tailEnd/>
                        </a:ln>
                      </wps:spPr>
                      <wps:txbx>
                        <w:txbxContent>
                          <w:p w14:paraId="038C0986" w14:textId="77777777" w:rsidR="00B01411" w:rsidRPr="004C4E26" w:rsidRDefault="00B01411" w:rsidP="004953CE">
                            <w:pPr>
                              <w:pStyle w:val="Default"/>
                              <w:spacing w:after="120" w:line="276" w:lineRule="auto"/>
                              <w:jc w:val="both"/>
                              <w:rPr>
                                <w:rFonts w:asciiTheme="minorHAnsi" w:hAnsiTheme="minorHAnsi" w:cstheme="minorHAnsi"/>
                                <w:sz w:val="22"/>
                                <w:szCs w:val="22"/>
                                <w:lang w:val="en-GB"/>
                              </w:rPr>
                            </w:pPr>
                            <w:r w:rsidRPr="004C4E26">
                              <w:rPr>
                                <w:rFonts w:asciiTheme="minorHAnsi" w:hAnsiTheme="minorHAnsi" w:cstheme="minorHAnsi"/>
                                <w:sz w:val="22"/>
                                <w:szCs w:val="22"/>
                                <w:lang w:val="en-GB"/>
                              </w:rPr>
                              <w:t xml:space="preserve">DIN and DIP are assessed separately in category I and not averaged. If TN and TP are used in addition, their confidence results are averaged with the respective dissolved inorganic nutrient component (averaging of DIN and TN as well as DIP and TP) unless otherwise agreed. </w:t>
                            </w:r>
                          </w:p>
                          <w:p w14:paraId="2C5C2515" w14:textId="77777777" w:rsidR="00B01411" w:rsidRDefault="00B01411" w:rsidP="004953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3689C" id="_x0000_s1039" type="#_x0000_t202" style="position:absolute;margin-left:9.85pt;margin-top:26.1pt;width:445.25pt;height:56.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">
                <v:textbox>
                  <w:txbxContent>
                    <w:p w14:paraId="038C0986" w14:textId="77777777" w:rsidR="00B01411" w:rsidRPr="004C4E26" w:rsidRDefault="00B01411" w:rsidP="004953CE">
                      <w:pPr>
                        <w:pStyle w:val="Default"/>
                        <w:spacing w:after="120" w:line="276" w:lineRule="auto"/>
                        <w:jc w:val="both"/>
                        <w:rPr>
                          <w:rFonts w:asciiTheme="minorHAnsi" w:hAnsiTheme="minorHAnsi" w:cstheme="minorHAnsi"/>
                          <w:sz w:val="22"/>
                          <w:szCs w:val="22"/>
                          <w:lang w:val="en-GB"/>
                        </w:rPr>
                      </w:pPr>
                      <w:r w:rsidRPr="004C4E26">
                        <w:rPr>
                          <w:rFonts w:asciiTheme="minorHAnsi" w:hAnsiTheme="minorHAnsi" w:cstheme="minorHAnsi"/>
                          <w:sz w:val="22"/>
                          <w:szCs w:val="22"/>
                          <w:lang w:val="en-GB"/>
                        </w:rPr>
                        <w:t xml:space="preserve">DIN and DIP are assessed separately in category I and not averaged. If TN and TP are used in addition, their confidence results are averaged with the respective dissolved inorganic nutrient component (averaging of DIN and TN as well as DIP and TP) unless otherwise agreed. </w:t>
                      </w:r>
                    </w:p>
                    <w:p w14:paraId="2C5C2515" w14:textId="77777777" w:rsidR="00B01411" w:rsidRDefault="00B01411" w:rsidP="004953CE"/>
                  </w:txbxContent>
                </v:textbox>
                <w10:wrap type="square"/>
              </v:shape>
            </w:pict>
          </mc:Fallback>
        </mc:AlternateContent>
      </w:r>
    </w:p>
    <w:p w14:paraId="2AB0D3D7" w14:textId="19B02684" w:rsidR="004953CE" w:rsidRDefault="004953CE" w:rsidP="00F12E7E">
      <w:pPr>
        <w:rPr>
          <w:rFonts w:asciiTheme="minorHAnsi" w:hAnsiTheme="minorHAnsi" w:cstheme="minorHAnsi"/>
        </w:rPr>
      </w:pPr>
    </w:p>
    <w:p w14:paraId="37A4D9B0" w14:textId="2B64387F" w:rsidR="004953CE" w:rsidRDefault="004953CE" w:rsidP="00F12E7E">
      <w:pPr>
        <w:rPr>
          <w:rFonts w:asciiTheme="minorHAnsi" w:hAnsiTheme="minorHAnsi" w:cstheme="minorHAnsi"/>
        </w:rPr>
      </w:pPr>
    </w:p>
    <w:p w14:paraId="141C95A5" w14:textId="53EB0309" w:rsidR="004953CE" w:rsidRDefault="00AA7F7B" w:rsidP="00F12E7E">
      <w:pPr>
        <w:rPr>
          <w:rFonts w:asciiTheme="minorHAnsi" w:hAnsiTheme="minorHAnsi" w:cstheme="minorHAnsi"/>
        </w:rPr>
      </w:pPr>
      <w:r w:rsidRPr="004953CE">
        <w:rPr>
          <w:rFonts w:asciiTheme="minorHAnsi" w:hAnsiTheme="minorHAnsi" w:cstheme="minorHAnsi"/>
          <w:noProof/>
        </w:rPr>
        <mc:AlternateContent>
          <mc:Choice Requires="wps">
            <w:drawing>
              <wp:anchor distT="45720" distB="45720" distL="114300" distR="114300" simplePos="0" relativeHeight="251693056" behindDoc="0" locked="0" layoutInCell="1" allowOverlap="1" wp14:anchorId="08F779D5" wp14:editId="13600474">
                <wp:simplePos x="0" y="0"/>
                <wp:positionH relativeFrom="column">
                  <wp:posOffset>128270</wp:posOffset>
                </wp:positionH>
                <wp:positionV relativeFrom="paragraph">
                  <wp:posOffset>134815</wp:posOffset>
                </wp:positionV>
                <wp:extent cx="5654675" cy="520065"/>
                <wp:effectExtent l="0" t="0" r="22225" b="13335"/>
                <wp:wrapSquare wrapText="bothSides"/>
                <wp:docPr id="1017095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520065"/>
                        </a:xfrm>
                        <a:prstGeom prst="rect">
                          <a:avLst/>
                        </a:prstGeom>
                        <a:solidFill>
                          <a:srgbClr val="FFFFFF"/>
                        </a:solidFill>
                        <a:ln w="9525">
                          <a:solidFill>
                            <a:srgbClr val="000000"/>
                          </a:solidFill>
                          <a:miter lim="800000"/>
                          <a:headEnd/>
                          <a:tailEnd/>
                        </a:ln>
                      </wps:spPr>
                      <wps:txbx>
                        <w:txbxContent>
                          <w:p w14:paraId="228F8706" w14:textId="2144F35D" w:rsidR="00B01411" w:rsidRPr="00AA7F7B" w:rsidRDefault="00B01411" w:rsidP="00AA7F7B">
                            <w:pPr>
                              <w:pStyle w:val="Default"/>
                              <w:spacing w:after="120" w:line="276" w:lineRule="auto"/>
                              <w:jc w:val="both"/>
                              <w:rPr>
                                <w:rFonts w:asciiTheme="minorHAnsi" w:hAnsiTheme="minorHAnsi" w:cstheme="minorHAnsi"/>
                                <w:sz w:val="22"/>
                                <w:szCs w:val="22"/>
                                <w:lang w:val="en-GB"/>
                              </w:rPr>
                            </w:pPr>
                            <w:r w:rsidRPr="004C4E26">
                              <w:rPr>
                                <w:rFonts w:asciiTheme="minorHAnsi" w:hAnsiTheme="minorHAnsi" w:cstheme="minorHAnsi"/>
                                <w:sz w:val="22"/>
                                <w:szCs w:val="22"/>
                                <w:lang w:val="en-GB"/>
                              </w:rPr>
                              <w:t xml:space="preserve">Chlorophyll </w:t>
                            </w:r>
                            <w:r w:rsidRPr="004C4E26">
                              <w:rPr>
                                <w:rFonts w:asciiTheme="minorHAnsi" w:hAnsiTheme="minorHAnsi" w:cstheme="minorHAnsi"/>
                                <w:i/>
                                <w:iCs/>
                                <w:sz w:val="22"/>
                                <w:szCs w:val="22"/>
                                <w:lang w:val="en-GB"/>
                              </w:rPr>
                              <w:t>a</w:t>
                            </w:r>
                            <w:r w:rsidRPr="004C4E26">
                              <w:rPr>
                                <w:rFonts w:asciiTheme="minorHAnsi" w:hAnsiTheme="minorHAnsi" w:cstheme="minorHAnsi"/>
                                <w:sz w:val="22"/>
                                <w:szCs w:val="22"/>
                                <w:lang w:val="en-GB"/>
                              </w:rPr>
                              <w:t xml:space="preserve"> and phytoplankton indicator species or results of pelagic indicators, where used, are aggregated by averaging or weighted averaging in category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9D5" id="_x0000_s1040" type="#_x0000_t202" style="position:absolute;margin-left:10.1pt;margin-top:10.6pt;width:445.25pt;height:40.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">
                <v:textbox>
                  <w:txbxContent>
                    <w:p w14:paraId="228F8706" w14:textId="2144F35D" w:rsidR="00B01411" w:rsidRPr="00AA7F7B" w:rsidRDefault="00B01411" w:rsidP="00AA7F7B">
                      <w:pPr>
                        <w:pStyle w:val="Default"/>
                        <w:spacing w:after="120" w:line="276" w:lineRule="auto"/>
                        <w:jc w:val="both"/>
                        <w:rPr>
                          <w:rFonts w:asciiTheme="minorHAnsi" w:hAnsiTheme="minorHAnsi" w:cstheme="minorHAnsi"/>
                          <w:sz w:val="22"/>
                          <w:szCs w:val="22"/>
                          <w:lang w:val="en-GB"/>
                        </w:rPr>
                      </w:pPr>
                      <w:r w:rsidRPr="004C4E26">
                        <w:rPr>
                          <w:rFonts w:asciiTheme="minorHAnsi" w:hAnsiTheme="minorHAnsi" w:cstheme="minorHAnsi"/>
                          <w:sz w:val="22"/>
                          <w:szCs w:val="22"/>
                          <w:lang w:val="en-GB"/>
                        </w:rPr>
                        <w:t xml:space="preserve">Chlorophyll </w:t>
                      </w:r>
                      <w:r w:rsidRPr="004C4E26">
                        <w:rPr>
                          <w:rFonts w:asciiTheme="minorHAnsi" w:hAnsiTheme="minorHAnsi" w:cstheme="minorHAnsi"/>
                          <w:i/>
                          <w:iCs/>
                          <w:sz w:val="22"/>
                          <w:szCs w:val="22"/>
                          <w:lang w:val="en-GB"/>
                        </w:rPr>
                        <w:t>a</w:t>
                      </w:r>
                      <w:r w:rsidRPr="004C4E26">
                        <w:rPr>
                          <w:rFonts w:asciiTheme="minorHAnsi" w:hAnsiTheme="minorHAnsi" w:cstheme="minorHAnsi"/>
                          <w:sz w:val="22"/>
                          <w:szCs w:val="22"/>
                          <w:lang w:val="en-GB"/>
                        </w:rPr>
                        <w:t xml:space="preserve"> and phytoplankton indicator species or results of pelagic indicators, where used, are aggregated by averaging or weighted averaging in category II</w:t>
                      </w:r>
                    </w:p>
                  </w:txbxContent>
                </v:textbox>
                <w10:wrap type="square"/>
              </v:shape>
            </w:pict>
          </mc:Fallback>
        </mc:AlternateContent>
      </w:r>
    </w:p>
    <w:p w14:paraId="1532F219" w14:textId="0FD5F7B7" w:rsidR="004953CE" w:rsidRDefault="004953CE" w:rsidP="00F12E7E">
      <w:pPr>
        <w:rPr>
          <w:rFonts w:asciiTheme="minorHAnsi" w:hAnsiTheme="minorHAnsi" w:cstheme="minorHAnsi"/>
        </w:rPr>
      </w:pPr>
    </w:p>
    <w:p w14:paraId="3249D942" w14:textId="1E8CE1B4" w:rsidR="004953CE" w:rsidRPr="004C4E26" w:rsidRDefault="00AA7F7B" w:rsidP="00F12E7E">
      <w:pPr>
        <w:rPr>
          <w:rFonts w:asciiTheme="minorHAnsi" w:hAnsiTheme="minorHAnsi" w:cstheme="minorHAnsi"/>
        </w:rPr>
      </w:pPr>
      <w:r w:rsidRPr="004953CE">
        <w:rPr>
          <w:rFonts w:asciiTheme="minorHAnsi" w:hAnsiTheme="minorHAnsi" w:cstheme="minorHAnsi"/>
          <w:noProof/>
        </w:rPr>
        <mc:AlternateContent>
          <mc:Choice Requires="wps">
            <w:drawing>
              <wp:anchor distT="45720" distB="45720" distL="114300" distR="114300" simplePos="0" relativeHeight="251695104" behindDoc="0" locked="0" layoutInCell="1" allowOverlap="1" wp14:anchorId="74094994" wp14:editId="3A9F9266">
                <wp:simplePos x="0" y="0"/>
                <wp:positionH relativeFrom="column">
                  <wp:posOffset>125730</wp:posOffset>
                </wp:positionH>
                <wp:positionV relativeFrom="paragraph">
                  <wp:posOffset>45720</wp:posOffset>
                </wp:positionV>
                <wp:extent cx="5654675" cy="520065"/>
                <wp:effectExtent l="0" t="0" r="22225" b="13335"/>
                <wp:wrapSquare wrapText="bothSides"/>
                <wp:docPr id="1017095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520065"/>
                        </a:xfrm>
                        <a:prstGeom prst="rect">
                          <a:avLst/>
                        </a:prstGeom>
                        <a:solidFill>
                          <a:srgbClr val="FFFFFF"/>
                        </a:solidFill>
                        <a:ln w="9525">
                          <a:solidFill>
                            <a:srgbClr val="000000"/>
                          </a:solidFill>
                          <a:miter lim="800000"/>
                          <a:headEnd/>
                          <a:tailEnd/>
                        </a:ln>
                      </wps:spPr>
                      <wps:txbx>
                        <w:txbxContent>
                          <w:p w14:paraId="4EA4B22C" w14:textId="77777777" w:rsidR="00B01411" w:rsidRPr="004C4E26" w:rsidRDefault="00B01411" w:rsidP="00AA7F7B">
                            <w:pPr>
                              <w:pStyle w:val="Default"/>
                              <w:spacing w:after="12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O</w:t>
                            </w:r>
                            <w:r w:rsidRPr="004C4E26">
                              <w:rPr>
                                <w:rFonts w:asciiTheme="minorHAnsi" w:hAnsiTheme="minorHAnsi" w:cstheme="minorHAnsi"/>
                                <w:sz w:val="22"/>
                                <w:szCs w:val="22"/>
                                <w:lang w:val="en-GB"/>
                              </w:rPr>
                              <w:t xml:space="preserve">xygen and photic limit or zoobenthos, where used, are averaged or calculated as weighted average in category III. </w:t>
                            </w:r>
                          </w:p>
                          <w:p w14:paraId="073E791C" w14:textId="153FE0ED" w:rsidR="00B01411" w:rsidRPr="00AA7F7B" w:rsidRDefault="00B01411" w:rsidP="00AA7F7B">
                            <w:pPr>
                              <w:pStyle w:val="Default"/>
                              <w:spacing w:after="120" w:line="276" w:lineRule="auto"/>
                              <w:jc w:val="both"/>
                              <w:rPr>
                                <w:rFonts w:asciiTheme="minorHAnsi" w:hAnsiTheme="minorHAnsi" w:cstheme="minorHAnsi"/>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94994" id="_x0000_s1041" type="#_x0000_t202" style="position:absolute;margin-left:9.9pt;margin-top:3.6pt;width:445.25pt;height:40.9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">
                <v:textbox>
                  <w:txbxContent>
                    <w:p w14:paraId="4EA4B22C" w14:textId="77777777" w:rsidR="00B01411" w:rsidRPr="004C4E26" w:rsidRDefault="00B01411" w:rsidP="00AA7F7B">
                      <w:pPr>
                        <w:pStyle w:val="Default"/>
                        <w:spacing w:after="12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O</w:t>
                      </w:r>
                      <w:r w:rsidRPr="004C4E26">
                        <w:rPr>
                          <w:rFonts w:asciiTheme="minorHAnsi" w:hAnsiTheme="minorHAnsi" w:cstheme="minorHAnsi"/>
                          <w:sz w:val="22"/>
                          <w:szCs w:val="22"/>
                          <w:lang w:val="en-GB"/>
                        </w:rPr>
                        <w:t xml:space="preserve">xygen and photic limit or zoobenthos, where used, are averaged or calculated as weighted average in category III. </w:t>
                      </w:r>
                    </w:p>
                    <w:p w14:paraId="073E791C" w14:textId="153FE0ED" w:rsidR="00B01411" w:rsidRPr="00AA7F7B" w:rsidRDefault="00B01411" w:rsidP="00AA7F7B">
                      <w:pPr>
                        <w:pStyle w:val="Default"/>
                        <w:spacing w:after="120" w:line="276" w:lineRule="auto"/>
                        <w:jc w:val="both"/>
                        <w:rPr>
                          <w:rFonts w:asciiTheme="minorHAnsi" w:hAnsiTheme="minorHAnsi" w:cstheme="minorHAnsi"/>
                          <w:sz w:val="22"/>
                          <w:szCs w:val="22"/>
                          <w:lang w:val="en-GB"/>
                        </w:rPr>
                      </w:pPr>
                    </w:p>
                  </w:txbxContent>
                </v:textbox>
                <w10:wrap type="square"/>
              </v:shape>
            </w:pict>
          </mc:Fallback>
        </mc:AlternateContent>
      </w:r>
    </w:p>
    <w:p w14:paraId="12A4705D" w14:textId="261CCC5E" w:rsidR="00AA7F7B" w:rsidRDefault="00AA7F7B" w:rsidP="004953CE">
      <w:pPr>
        <w:pStyle w:val="Default"/>
        <w:spacing w:after="120" w:line="276" w:lineRule="auto"/>
        <w:ind w:left="360"/>
        <w:jc w:val="both"/>
        <w:rPr>
          <w:rFonts w:asciiTheme="minorHAnsi" w:hAnsiTheme="minorHAnsi" w:cstheme="minorHAnsi"/>
          <w:sz w:val="22"/>
          <w:szCs w:val="22"/>
          <w:lang w:val="en-GB"/>
        </w:rPr>
      </w:pPr>
    </w:p>
    <w:p w14:paraId="014F0830" w14:textId="39D8F848" w:rsidR="00AA7F7B" w:rsidRDefault="00AA7F7B" w:rsidP="004953CE">
      <w:pPr>
        <w:pStyle w:val="Default"/>
        <w:spacing w:after="120" w:line="276" w:lineRule="auto"/>
        <w:ind w:left="360"/>
        <w:jc w:val="both"/>
        <w:rPr>
          <w:rFonts w:asciiTheme="minorHAnsi" w:hAnsiTheme="minorHAnsi" w:cstheme="minorHAnsi"/>
          <w:sz w:val="22"/>
          <w:szCs w:val="22"/>
          <w:lang w:val="en-GB"/>
        </w:rPr>
      </w:pPr>
      <w:r w:rsidRPr="004953CE">
        <w:rPr>
          <w:rFonts w:asciiTheme="minorHAnsi" w:hAnsiTheme="minorHAnsi" w:cstheme="minorHAnsi"/>
          <w:noProof/>
        </w:rPr>
        <mc:AlternateContent>
          <mc:Choice Requires="wps">
            <w:drawing>
              <wp:anchor distT="45720" distB="45720" distL="114300" distR="114300" simplePos="0" relativeHeight="251697152" behindDoc="0" locked="0" layoutInCell="1" allowOverlap="1" wp14:anchorId="360CB0AA" wp14:editId="52011DD5">
                <wp:simplePos x="0" y="0"/>
                <wp:positionH relativeFrom="column">
                  <wp:posOffset>128270</wp:posOffset>
                </wp:positionH>
                <wp:positionV relativeFrom="paragraph">
                  <wp:posOffset>71950</wp:posOffset>
                </wp:positionV>
                <wp:extent cx="5654675" cy="928370"/>
                <wp:effectExtent l="0" t="0" r="22225" b="24130"/>
                <wp:wrapSquare wrapText="bothSides"/>
                <wp:docPr id="1017095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928370"/>
                        </a:xfrm>
                        <a:prstGeom prst="rect">
                          <a:avLst/>
                        </a:prstGeom>
                        <a:solidFill>
                          <a:srgbClr val="FFFFFF"/>
                        </a:solidFill>
                        <a:ln w="9525">
                          <a:solidFill>
                            <a:srgbClr val="000000"/>
                          </a:solidFill>
                          <a:miter lim="800000"/>
                          <a:headEnd/>
                          <a:tailEnd/>
                        </a:ln>
                      </wps:spPr>
                      <wps:txbx>
                        <w:txbxContent>
                          <w:p w14:paraId="693ECA5F" w14:textId="67F0428D" w:rsidR="00B01411" w:rsidRPr="004C4E26" w:rsidRDefault="00B01411" w:rsidP="00AA7F7B">
                            <w:pPr>
                              <w:pStyle w:val="Default"/>
                              <w:spacing w:after="120" w:line="276" w:lineRule="auto"/>
                              <w:jc w:val="both"/>
                              <w:rPr>
                                <w:rFonts w:asciiTheme="minorHAnsi" w:hAnsiTheme="minorHAnsi" w:cstheme="minorHAnsi"/>
                                <w:sz w:val="22"/>
                                <w:szCs w:val="22"/>
                                <w:lang w:val="en-GB"/>
                              </w:rPr>
                            </w:pPr>
                            <w:r w:rsidRPr="004C4E26">
                              <w:rPr>
                                <w:rFonts w:asciiTheme="minorHAnsi" w:hAnsiTheme="minorHAnsi" w:cstheme="minorHAnsi"/>
                                <w:sz w:val="22"/>
                                <w:szCs w:val="22"/>
                                <w:lang w:val="en-GB"/>
                              </w:rPr>
                              <w:t>The nutrient confidence results for nitrogen and phosphorus and the confidence results of category II and III are averaged to the overall confidence and no one-out-all-out principle will be applied in the final step in contrast to the status assessment where the worst assessment result of category II or III determines the final assessment result.</w:t>
                            </w:r>
                          </w:p>
                          <w:p w14:paraId="245DDFD1" w14:textId="77777777" w:rsidR="00B01411" w:rsidRPr="00AA7F7B" w:rsidRDefault="00B01411" w:rsidP="00AA7F7B">
                            <w:pPr>
                              <w:pStyle w:val="Default"/>
                              <w:spacing w:after="120" w:line="276" w:lineRule="auto"/>
                              <w:jc w:val="both"/>
                              <w:rPr>
                                <w:rFonts w:asciiTheme="minorHAnsi" w:hAnsiTheme="minorHAnsi" w:cstheme="minorHAnsi"/>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CB0AA" id="_x0000_s1042" type="#_x0000_t202" style="position:absolute;left:0;text-align:left;margin-left:10.1pt;margin-top:5.65pt;width:445.25pt;height:73.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">
                <v:textbox>
                  <w:txbxContent>
                    <w:p w14:paraId="693ECA5F" w14:textId="67F0428D" w:rsidR="00B01411" w:rsidRPr="004C4E26" w:rsidRDefault="00B01411" w:rsidP="00AA7F7B">
                      <w:pPr>
                        <w:pStyle w:val="Default"/>
                        <w:spacing w:after="120" w:line="276" w:lineRule="auto"/>
                        <w:jc w:val="both"/>
                        <w:rPr>
                          <w:rFonts w:asciiTheme="minorHAnsi" w:hAnsiTheme="minorHAnsi" w:cstheme="minorHAnsi"/>
                          <w:sz w:val="22"/>
                          <w:szCs w:val="22"/>
                          <w:lang w:val="en-GB"/>
                        </w:rPr>
                      </w:pPr>
                      <w:r w:rsidRPr="004C4E26">
                        <w:rPr>
                          <w:rFonts w:asciiTheme="minorHAnsi" w:hAnsiTheme="minorHAnsi" w:cstheme="minorHAnsi"/>
                          <w:sz w:val="22"/>
                          <w:szCs w:val="22"/>
                          <w:lang w:val="en-GB"/>
                        </w:rPr>
                        <w:t>The nutrient confidence results for nitrogen and phosphorus and the confidence results of category II and III are averaged to the overall confidence and no one-out-all-out principle will be applied in the final step in contrast to the status assessment where the worst assessment result of category II or III determines the final assessment result.</w:t>
                      </w:r>
                    </w:p>
                    <w:p w14:paraId="245DDFD1" w14:textId="77777777" w:rsidR="00B01411" w:rsidRPr="00AA7F7B" w:rsidRDefault="00B01411" w:rsidP="00AA7F7B">
                      <w:pPr>
                        <w:pStyle w:val="Default"/>
                        <w:spacing w:after="120" w:line="276" w:lineRule="auto"/>
                        <w:jc w:val="both"/>
                        <w:rPr>
                          <w:rFonts w:asciiTheme="minorHAnsi" w:hAnsiTheme="minorHAnsi" w:cstheme="minorHAnsi"/>
                          <w:sz w:val="22"/>
                          <w:szCs w:val="22"/>
                          <w:lang w:val="en-GB"/>
                        </w:rPr>
                      </w:pPr>
                    </w:p>
                  </w:txbxContent>
                </v:textbox>
                <w10:wrap type="square"/>
              </v:shape>
            </w:pict>
          </mc:Fallback>
        </mc:AlternateContent>
      </w:r>
    </w:p>
    <w:p w14:paraId="0CA064E2" w14:textId="1A2C98D2" w:rsidR="00AA7F7B" w:rsidRDefault="00AA7F7B" w:rsidP="00F12E7E">
      <w:pPr>
        <w:pStyle w:val="Default"/>
        <w:spacing w:after="120" w:line="276" w:lineRule="auto"/>
        <w:jc w:val="both"/>
        <w:rPr>
          <w:rFonts w:asciiTheme="minorHAnsi" w:hAnsiTheme="minorHAnsi" w:cstheme="minorHAnsi"/>
          <w:sz w:val="22"/>
          <w:szCs w:val="22"/>
          <w:lang w:val="en-GB"/>
        </w:rPr>
      </w:pPr>
    </w:p>
    <w:p w14:paraId="535EFB8F" w14:textId="44A73713" w:rsidR="00AA7F7B" w:rsidRDefault="00AA7F7B" w:rsidP="00F12E7E">
      <w:pPr>
        <w:pStyle w:val="Default"/>
        <w:spacing w:after="120" w:line="276" w:lineRule="auto"/>
        <w:jc w:val="both"/>
        <w:rPr>
          <w:rFonts w:asciiTheme="minorHAnsi" w:hAnsiTheme="minorHAnsi" w:cstheme="minorHAnsi"/>
          <w:sz w:val="22"/>
          <w:szCs w:val="22"/>
          <w:lang w:val="en-GB"/>
        </w:rPr>
      </w:pPr>
    </w:p>
    <w:p w14:paraId="68587470" w14:textId="28578880" w:rsidR="00AA7F7B" w:rsidRDefault="00AA7F7B" w:rsidP="00F12E7E">
      <w:pPr>
        <w:pStyle w:val="Default"/>
        <w:spacing w:after="120" w:line="276" w:lineRule="auto"/>
        <w:jc w:val="both"/>
        <w:rPr>
          <w:rFonts w:asciiTheme="minorHAnsi" w:hAnsiTheme="minorHAnsi" w:cstheme="minorHAnsi"/>
          <w:sz w:val="22"/>
          <w:szCs w:val="22"/>
          <w:lang w:val="en-GB"/>
        </w:rPr>
      </w:pPr>
    </w:p>
    <w:p w14:paraId="3C46D1D3" w14:textId="411C5A76" w:rsidR="00AA7F7B" w:rsidRDefault="00AA7F7B" w:rsidP="00AA7F7B">
      <w:pPr>
        <w:rPr>
          <w:rFonts w:asciiTheme="minorHAnsi" w:hAnsiTheme="minorHAnsi" w:cstheme="minorHAnsi"/>
        </w:rPr>
      </w:pPr>
      <w:r w:rsidRPr="004953CE">
        <w:rPr>
          <w:rFonts w:asciiTheme="minorHAnsi" w:hAnsiTheme="minorHAnsi" w:cstheme="minorHAnsi"/>
          <w:noProof/>
        </w:rPr>
        <mc:AlternateContent>
          <mc:Choice Requires="wps">
            <w:drawing>
              <wp:anchor distT="45720" distB="45720" distL="114300" distR="114300" simplePos="0" relativeHeight="251699200" behindDoc="0" locked="0" layoutInCell="1" allowOverlap="1" wp14:anchorId="038D4B9F" wp14:editId="52F3F2C2">
                <wp:simplePos x="0" y="0"/>
                <wp:positionH relativeFrom="column">
                  <wp:posOffset>128270</wp:posOffset>
                </wp:positionH>
                <wp:positionV relativeFrom="paragraph">
                  <wp:posOffset>7375</wp:posOffset>
                </wp:positionV>
                <wp:extent cx="5654675" cy="843915"/>
                <wp:effectExtent l="0" t="0" r="22225" b="13335"/>
                <wp:wrapSquare wrapText="bothSides"/>
                <wp:docPr id="1017095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843915"/>
                        </a:xfrm>
                        <a:prstGeom prst="rect">
                          <a:avLst/>
                        </a:prstGeom>
                        <a:solidFill>
                          <a:srgbClr val="FFFFFF"/>
                        </a:solidFill>
                        <a:ln w="9525">
                          <a:solidFill>
                            <a:srgbClr val="000000"/>
                          </a:solidFill>
                          <a:miter lim="800000"/>
                          <a:headEnd/>
                          <a:tailEnd/>
                        </a:ln>
                      </wps:spPr>
                      <wps:txbx>
                        <w:txbxContent>
                          <w:p w14:paraId="6836353C" w14:textId="02FE944C" w:rsidR="00B01411" w:rsidRPr="004C4E26" w:rsidRDefault="00B01411" w:rsidP="00AA7F7B">
                            <w:pPr>
                              <w:spacing w:before="0" w:after="0"/>
                              <w:rPr>
                                <w:rFonts w:asciiTheme="minorHAnsi" w:hAnsiTheme="minorHAnsi" w:cstheme="minorHAnsi"/>
                              </w:rPr>
                            </w:pPr>
                            <w:r>
                              <w:rPr>
                                <w:rFonts w:asciiTheme="minorHAnsi" w:hAnsiTheme="minorHAnsi" w:cstheme="minorHAnsi"/>
                              </w:rPr>
                              <w:t xml:space="preserve">For </w:t>
                            </w:r>
                            <w:r w:rsidRPr="004C4E26">
                              <w:rPr>
                                <w:rFonts w:asciiTheme="minorHAnsi" w:hAnsiTheme="minorHAnsi" w:cstheme="minorHAnsi"/>
                              </w:rPr>
                              <w:t>combined confidence aspects the following ranges are used for the classification:</w:t>
                            </w:r>
                          </w:p>
                          <w:p w14:paraId="02A51D5C" w14:textId="77777777" w:rsidR="00B01411" w:rsidRPr="004C4E26" w:rsidRDefault="00B01411" w:rsidP="00AA7F7B">
                            <w:pPr>
                              <w:spacing w:before="0" w:after="0"/>
                              <w:ind w:firstLine="720"/>
                              <w:rPr>
                                <w:rFonts w:asciiTheme="minorHAnsi" w:hAnsiTheme="minorHAnsi" w:cstheme="minorHAnsi"/>
                              </w:rPr>
                            </w:pPr>
                            <w:r w:rsidRPr="004C4E26">
                              <w:rPr>
                                <w:rFonts w:asciiTheme="minorHAnsi" w:hAnsiTheme="minorHAnsi" w:cstheme="minorHAnsi"/>
                              </w:rPr>
                              <w:t>High &gt; 75</w:t>
                            </w:r>
                          </w:p>
                          <w:p w14:paraId="13640EBE" w14:textId="77777777" w:rsidR="00B01411" w:rsidRPr="004C4E26" w:rsidRDefault="00B01411" w:rsidP="00AA7F7B">
                            <w:pPr>
                              <w:spacing w:before="0" w:after="0"/>
                              <w:ind w:firstLine="720"/>
                              <w:rPr>
                                <w:rFonts w:asciiTheme="minorHAnsi" w:hAnsiTheme="minorHAnsi" w:cstheme="minorHAnsi"/>
                              </w:rPr>
                            </w:pPr>
                            <w:r w:rsidRPr="004C4E26">
                              <w:rPr>
                                <w:rFonts w:asciiTheme="minorHAnsi" w:hAnsiTheme="minorHAnsi" w:cstheme="minorHAnsi"/>
                              </w:rPr>
                              <w:t>Moderate 50-75</w:t>
                            </w:r>
                          </w:p>
                          <w:p w14:paraId="00964AF9" w14:textId="77777777" w:rsidR="00B01411" w:rsidRPr="004C4E26" w:rsidRDefault="00B01411" w:rsidP="00AA7F7B">
                            <w:pPr>
                              <w:spacing w:before="0" w:after="0"/>
                              <w:ind w:firstLine="720"/>
                              <w:rPr>
                                <w:rFonts w:asciiTheme="minorHAnsi" w:hAnsiTheme="minorHAnsi" w:cstheme="minorHAnsi"/>
                              </w:rPr>
                            </w:pPr>
                            <w:r w:rsidRPr="004C4E26">
                              <w:rPr>
                                <w:rFonts w:asciiTheme="minorHAnsi" w:hAnsiTheme="minorHAnsi" w:cstheme="minorHAnsi"/>
                              </w:rPr>
                              <w:t xml:space="preserve">low &lt; 50 </w:t>
                            </w:r>
                          </w:p>
                          <w:p w14:paraId="05326E41" w14:textId="77777777" w:rsidR="00B01411" w:rsidRPr="00AA7F7B" w:rsidRDefault="00B01411" w:rsidP="00AA7F7B">
                            <w:pPr>
                              <w:pStyle w:val="Default"/>
                              <w:jc w:val="both"/>
                              <w:rPr>
                                <w:rFonts w:asciiTheme="minorHAnsi" w:hAnsiTheme="minorHAnsi" w:cstheme="minorHAnsi"/>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D4B9F" id="_x0000_s1043" type="#_x0000_t202" style="position:absolute;margin-left:10.1pt;margin-top:.6pt;width:445.25pt;height:66.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j5FgIAACcEAAAOAAAAZHJzL2Uyb0RvYy54bWysk9uO2yAQhu8r9R0Q942TNM5urDirbbap&#10;Km0P0rYPgDGOUYGhQGKnT78D9mbT001VXyDGA//MfDOsb3qtyFE4L8GUdDaZUiIMh1qafUm/ftm9&#10;uqb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">
                <v:textbox>
                  <w:txbxContent>
                    <w:p w14:paraId="6836353C" w14:textId="02FE944C" w:rsidR="00B01411" w:rsidRPr="004C4E26" w:rsidRDefault="00B01411" w:rsidP="00AA7F7B">
                      <w:pPr>
                        <w:spacing w:before="0" w:after="0"/>
                        <w:rPr>
                          <w:rFonts w:asciiTheme="minorHAnsi" w:hAnsiTheme="minorHAnsi" w:cstheme="minorHAnsi"/>
                        </w:rPr>
                      </w:pPr>
                      <w:r>
                        <w:rPr>
                          <w:rFonts w:asciiTheme="minorHAnsi" w:hAnsiTheme="minorHAnsi" w:cstheme="minorHAnsi"/>
                        </w:rPr>
                        <w:t xml:space="preserve">For </w:t>
                      </w:r>
                      <w:r w:rsidRPr="004C4E26">
                        <w:rPr>
                          <w:rFonts w:asciiTheme="minorHAnsi" w:hAnsiTheme="minorHAnsi" w:cstheme="minorHAnsi"/>
                        </w:rPr>
                        <w:t>combined confidence aspects the following ranges are used for the classification:</w:t>
                      </w:r>
                    </w:p>
                    <w:p w14:paraId="02A51D5C" w14:textId="77777777" w:rsidR="00B01411" w:rsidRPr="004C4E26" w:rsidRDefault="00B01411" w:rsidP="00AA7F7B">
                      <w:pPr>
                        <w:spacing w:before="0" w:after="0"/>
                        <w:ind w:firstLine="720"/>
                        <w:rPr>
                          <w:rFonts w:asciiTheme="minorHAnsi" w:hAnsiTheme="minorHAnsi" w:cstheme="minorHAnsi"/>
                        </w:rPr>
                      </w:pPr>
                      <w:r w:rsidRPr="004C4E26">
                        <w:rPr>
                          <w:rFonts w:asciiTheme="minorHAnsi" w:hAnsiTheme="minorHAnsi" w:cstheme="minorHAnsi"/>
                        </w:rPr>
                        <w:t>High &gt; 75</w:t>
                      </w:r>
                    </w:p>
                    <w:p w14:paraId="13640EBE" w14:textId="77777777" w:rsidR="00B01411" w:rsidRPr="004C4E26" w:rsidRDefault="00B01411" w:rsidP="00AA7F7B">
                      <w:pPr>
                        <w:spacing w:before="0" w:after="0"/>
                        <w:ind w:firstLine="720"/>
                        <w:rPr>
                          <w:rFonts w:asciiTheme="minorHAnsi" w:hAnsiTheme="minorHAnsi" w:cstheme="minorHAnsi"/>
                        </w:rPr>
                      </w:pPr>
                      <w:r w:rsidRPr="004C4E26">
                        <w:rPr>
                          <w:rFonts w:asciiTheme="minorHAnsi" w:hAnsiTheme="minorHAnsi" w:cstheme="minorHAnsi"/>
                        </w:rPr>
                        <w:t>Moderate 50-75</w:t>
                      </w:r>
                    </w:p>
                    <w:p w14:paraId="00964AF9" w14:textId="77777777" w:rsidR="00B01411" w:rsidRPr="004C4E26" w:rsidRDefault="00B01411" w:rsidP="00AA7F7B">
                      <w:pPr>
                        <w:spacing w:before="0" w:after="0"/>
                        <w:ind w:firstLine="720"/>
                        <w:rPr>
                          <w:rFonts w:asciiTheme="minorHAnsi" w:hAnsiTheme="minorHAnsi" w:cstheme="minorHAnsi"/>
                        </w:rPr>
                      </w:pPr>
                      <w:r w:rsidRPr="004C4E26">
                        <w:rPr>
                          <w:rFonts w:asciiTheme="minorHAnsi" w:hAnsiTheme="minorHAnsi" w:cstheme="minorHAnsi"/>
                        </w:rPr>
                        <w:t xml:space="preserve">low &lt; 50 </w:t>
                      </w:r>
                    </w:p>
                    <w:p w14:paraId="05326E41" w14:textId="77777777" w:rsidR="00B01411" w:rsidRPr="00AA7F7B" w:rsidRDefault="00B01411" w:rsidP="00AA7F7B">
                      <w:pPr>
                        <w:pStyle w:val="Default"/>
                        <w:jc w:val="both"/>
                        <w:rPr>
                          <w:rFonts w:asciiTheme="minorHAnsi" w:hAnsiTheme="minorHAnsi" w:cstheme="minorHAnsi"/>
                          <w:sz w:val="22"/>
                          <w:szCs w:val="22"/>
                          <w:lang w:val="en-GB"/>
                        </w:rPr>
                      </w:pPr>
                    </w:p>
                  </w:txbxContent>
                </v:textbox>
                <w10:wrap type="square"/>
              </v:shape>
            </w:pict>
          </mc:Fallback>
        </mc:AlternateContent>
      </w:r>
    </w:p>
    <w:p w14:paraId="1FD31AE1" w14:textId="25F6A4D3" w:rsidR="00AA7F7B" w:rsidRDefault="00AA7F7B" w:rsidP="00AA7F7B">
      <w:pPr>
        <w:rPr>
          <w:rFonts w:asciiTheme="minorHAnsi" w:hAnsiTheme="minorHAnsi" w:cstheme="minorHAnsi"/>
        </w:rPr>
      </w:pPr>
    </w:p>
    <w:p w14:paraId="1BFED611" w14:textId="6B73A007" w:rsidR="00AA7F7B" w:rsidRDefault="00AA7F7B" w:rsidP="00AA7F7B">
      <w:pPr>
        <w:rPr>
          <w:rFonts w:asciiTheme="minorHAnsi" w:hAnsiTheme="minorHAnsi" w:cstheme="minorHAnsi"/>
        </w:rPr>
      </w:pPr>
    </w:p>
    <w:p w14:paraId="00F1D53C" w14:textId="2DCAD760" w:rsidR="00AA7F7B" w:rsidRDefault="00AA7F7B" w:rsidP="00AA7F7B">
      <w:pPr>
        <w:rPr>
          <w:rFonts w:asciiTheme="minorHAnsi" w:hAnsiTheme="minorHAnsi" w:cstheme="minorHAnsi"/>
        </w:rPr>
      </w:pPr>
    </w:p>
    <w:p w14:paraId="47B0ACF6" w14:textId="77777777" w:rsidR="00F12E7E" w:rsidRDefault="00F12E7E">
      <w:pPr>
        <w:spacing w:before="0" w:after="200" w:line="276" w:lineRule="auto"/>
      </w:pPr>
    </w:p>
    <w:p w14:paraId="36C78D9D" w14:textId="77777777" w:rsidR="00AA7F7B" w:rsidRDefault="00AA7F7B" w:rsidP="00C86B34">
      <w:pPr>
        <w:pStyle w:val="Caption"/>
      </w:pPr>
    </w:p>
    <w:sectPr w:rsidR="00AA7F7B"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C563A" w14:textId="77777777" w:rsidR="008163FC" w:rsidRDefault="008163FC" w:rsidP="00117666">
      <w:pPr>
        <w:spacing w:after="0"/>
      </w:pPr>
      <w:r>
        <w:separator/>
      </w:r>
    </w:p>
  </w:endnote>
  <w:endnote w:type="continuationSeparator" w:id="0">
    <w:p w14:paraId="7437FEC1" w14:textId="77777777" w:rsidR="008163FC" w:rsidRDefault="008163F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B01411" w:rsidRPr="00577C4C" w:rsidRDefault="00B01411">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B01411" w:rsidRPr="00577C4C" w:rsidRDefault="00B014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44"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B01411" w:rsidRPr="00577C4C" w:rsidRDefault="00B014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B01411" w:rsidRPr="00577C4C" w:rsidRDefault="00B01411">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B01411" w:rsidRPr="00577C4C" w:rsidRDefault="00B014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45"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B01411" w:rsidRPr="00577C4C" w:rsidRDefault="00B0141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B925" w14:textId="77777777" w:rsidR="00796C15" w:rsidRDefault="00796C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5325" w14:textId="77777777" w:rsidR="004B45E5" w:rsidRPr="00577C4C" w:rsidRDefault="004B45E5">
    <w:pPr>
      <w:rPr>
        <w:color w:val="C00000"/>
        <w:szCs w:val="24"/>
      </w:rPr>
    </w:pPr>
    <w:r>
      <w:rPr>
        <w:noProof/>
        <w:lang w:val="en-GB" w:eastAsia="en-GB"/>
      </w:rPr>
      <mc:AlternateContent>
        <mc:Choice Requires="wps">
          <w:drawing>
            <wp:anchor distT="0" distB="0" distL="114300" distR="114300" simplePos="0" relativeHeight="251662336" behindDoc="0" locked="0" layoutInCell="1" allowOverlap="1" wp14:anchorId="260D9F86" wp14:editId="73ADA3E1">
              <wp:simplePos x="0" y="0"/>
              <wp:positionH relativeFrom="margin">
                <wp:align>right</wp:align>
              </wp:positionH>
              <wp:positionV relativeFrom="bottomMargin">
                <wp:align>top</wp:align>
              </wp:positionV>
              <wp:extent cx="1508760" cy="3956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2CEBB2C" w14:textId="77777777" w:rsidR="004B45E5" w:rsidRPr="00577C4C" w:rsidRDefault="004B45E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60D9F86" id="_x0000_t202" coordsize="21600,21600" o:spt="202" path="m,l,21600r21600,l21600,xe">
              <v:stroke joinstyle="miter"/>
              <v:path gradientshapeok="t" o:connecttype="rect"/>
            </v:shapetype>
            <v:shape id="Text Box 21" o:spid="_x0000_s104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jO+ggyICAABBBAAADgAAAAAAAAAAAAAAAAAuAgAAZHJzL2Uyb0RvYy54bWxQSwEC&#10;LQAUAAYACAAAACEAOLASw9kAAAAEAQAADwAAAAAAAAAAAAAAAAB8BAAAZHJzL2Rvd25yZXYueG1s&#10;UEsFBgAAAAAEAAQA8wAAAIIFAAAAAA==&#10;" filled="f" stroked="f" strokeweight=".5pt">
              <v:textbox style="mso-fit-shape-to-text:t">
                <w:txbxContent>
                  <w:p w14:paraId="72CEBB2C" w14:textId="77777777" w:rsidR="004B45E5" w:rsidRPr="00577C4C" w:rsidRDefault="004B45E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3486" w14:textId="77777777" w:rsidR="004B45E5" w:rsidRPr="00577C4C" w:rsidRDefault="004B45E5">
    <w:pPr>
      <w:rPr>
        <w:b/>
        <w:sz w:val="20"/>
        <w:szCs w:val="24"/>
      </w:rPr>
    </w:pPr>
    <w:r>
      <w:rPr>
        <w:noProof/>
        <w:lang w:val="en-GB" w:eastAsia="en-GB"/>
      </w:rPr>
      <mc:AlternateContent>
        <mc:Choice Requires="wps">
          <w:drawing>
            <wp:anchor distT="0" distB="0" distL="114300" distR="114300" simplePos="0" relativeHeight="251661312" behindDoc="0" locked="0" layoutInCell="1" allowOverlap="1" wp14:anchorId="6774E486" wp14:editId="0A6FD734">
              <wp:simplePos x="0" y="0"/>
              <wp:positionH relativeFrom="margin">
                <wp:align>right</wp:align>
              </wp:positionH>
              <wp:positionV relativeFrom="bottomMargin">
                <wp:align>top</wp:align>
              </wp:positionV>
              <wp:extent cx="1508760" cy="395605"/>
              <wp:effectExtent l="0" t="0" r="0" b="0"/>
              <wp:wrapNone/>
              <wp:docPr id="1017095976" name="Text Box 101709597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FEF7B6B" w14:textId="77777777" w:rsidR="004B45E5" w:rsidRPr="00577C4C" w:rsidRDefault="004B45E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74E486" id="_x0000_t202" coordsize="21600,21600" o:spt="202" path="m,l,21600r21600,l21600,xe">
              <v:stroke joinstyle="miter"/>
              <v:path gradientshapeok="t" o:connecttype="rect"/>
            </v:shapetype>
            <v:shape id="Text Box 1017095976" o:spid="_x0000_s1047"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WIQ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" filled="f" stroked="f" strokeweight=".5pt">
              <v:textbox style="mso-fit-shape-to-text:t">
                <w:txbxContent>
                  <w:p w14:paraId="7FEF7B6B" w14:textId="77777777" w:rsidR="004B45E5" w:rsidRPr="00577C4C" w:rsidRDefault="004B45E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ECFD" w14:textId="77777777" w:rsidR="004B45E5" w:rsidRDefault="004B4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3A1FF" w14:textId="77777777" w:rsidR="008163FC" w:rsidRDefault="008163FC" w:rsidP="00117666">
      <w:pPr>
        <w:spacing w:after="0"/>
      </w:pPr>
      <w:r>
        <w:separator/>
      </w:r>
    </w:p>
  </w:footnote>
  <w:footnote w:type="continuationSeparator" w:id="0">
    <w:p w14:paraId="3B308CFD" w14:textId="77777777" w:rsidR="008163FC" w:rsidRDefault="008163F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B01411" w:rsidRPr="009151AA" w:rsidRDefault="00B0141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756E" w14:textId="77777777" w:rsidR="00796C15" w:rsidRDefault="00796C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B01411" w:rsidRDefault="00B01411"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78582863" name="Picture 77858286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C291" w14:textId="77777777" w:rsidR="004B45E5" w:rsidRPr="009151AA" w:rsidRDefault="004B45E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E35A" w14:textId="77777777" w:rsidR="004B45E5" w:rsidRDefault="004B45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5C05D" w14:textId="77777777" w:rsidR="004B45E5" w:rsidRDefault="004B45E5" w:rsidP="0093429D">
    <w:r w:rsidRPr="005A1D84">
      <w:rPr>
        <w:b/>
        <w:noProof/>
        <w:color w:val="A6A6A6" w:themeColor="background1" w:themeShade="A6"/>
        <w:lang w:val="en-GB" w:eastAsia="en-GB"/>
      </w:rPr>
      <w:drawing>
        <wp:inline distT="0" distB="0" distL="0" distR="0" wp14:anchorId="7F9F964A" wp14:editId="2855A220">
          <wp:extent cx="1382534" cy="497091"/>
          <wp:effectExtent l="0" t="0" r="0" b="0"/>
          <wp:docPr id="1017095977" name="Picture 101709597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C14386"/>
    <w:multiLevelType w:val="multilevel"/>
    <w:tmpl w:val="5E60F38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2" w15:restartNumberingAfterBreak="0">
    <w:nsid w:val="0768530B"/>
    <w:multiLevelType w:val="hybridMultilevel"/>
    <w:tmpl w:val="3AD8C1D2"/>
    <w:lvl w:ilvl="0" w:tplc="C6E61A3A">
      <w:start w:val="2"/>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82066E"/>
    <w:multiLevelType w:val="hybridMultilevel"/>
    <w:tmpl w:val="BA780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20486"/>
    <w:multiLevelType w:val="hybridMultilevel"/>
    <w:tmpl w:val="F300F6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57616F"/>
    <w:multiLevelType w:val="hybridMultilevel"/>
    <w:tmpl w:val="E3CC9B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512662"/>
    <w:multiLevelType w:val="multilevel"/>
    <w:tmpl w:val="8864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D6317"/>
    <w:multiLevelType w:val="multilevel"/>
    <w:tmpl w:val="5EA0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E5E2D"/>
    <w:multiLevelType w:val="hybridMultilevel"/>
    <w:tmpl w:val="470CF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2BE7AA3"/>
    <w:multiLevelType w:val="hybridMultilevel"/>
    <w:tmpl w:val="1C64795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4534E6"/>
    <w:multiLevelType w:val="hybridMultilevel"/>
    <w:tmpl w:val="C28891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1C4CD4"/>
    <w:multiLevelType w:val="hybridMultilevel"/>
    <w:tmpl w:val="5F34C1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2A4D049F"/>
    <w:multiLevelType w:val="hybridMultilevel"/>
    <w:tmpl w:val="C6CC0F3C"/>
    <w:lvl w:ilvl="0" w:tplc="290C102C">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D427950"/>
    <w:multiLevelType w:val="hybridMultilevel"/>
    <w:tmpl w:val="6596B4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A773DE"/>
    <w:multiLevelType w:val="hybridMultilevel"/>
    <w:tmpl w:val="14545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E7A54"/>
    <w:multiLevelType w:val="hybridMultilevel"/>
    <w:tmpl w:val="6A9A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E57D7"/>
    <w:multiLevelType w:val="multilevel"/>
    <w:tmpl w:val="2782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E4562"/>
    <w:multiLevelType w:val="hybridMultilevel"/>
    <w:tmpl w:val="110A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63B53"/>
    <w:multiLevelType w:val="hybridMultilevel"/>
    <w:tmpl w:val="4E9C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5F1F"/>
    <w:multiLevelType w:val="hybridMultilevel"/>
    <w:tmpl w:val="E85A846E"/>
    <w:lvl w:ilvl="0" w:tplc="0CCE8D86">
      <w:start w:val="1"/>
      <w:numFmt w:val="decimal"/>
      <w:lvlText w:val="3.%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50209F"/>
    <w:multiLevelType w:val="hybridMultilevel"/>
    <w:tmpl w:val="2B20E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D40A4D"/>
    <w:multiLevelType w:val="hybridMultilevel"/>
    <w:tmpl w:val="CF847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E02E2B"/>
    <w:multiLevelType w:val="singleLevel"/>
    <w:tmpl w:val="FFFFFFFF"/>
    <w:lvl w:ilvl="0">
      <w:numFmt w:val="decimal"/>
      <w:lvlText w:val="*"/>
      <w:lvlJc w:val="left"/>
    </w:lvl>
  </w:abstractNum>
  <w:abstractNum w:abstractNumId="26" w15:restartNumberingAfterBreak="0">
    <w:nsid w:val="572C0A62"/>
    <w:multiLevelType w:val="hybridMultilevel"/>
    <w:tmpl w:val="163A2660"/>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582310C6"/>
    <w:multiLevelType w:val="hybridMultilevel"/>
    <w:tmpl w:val="6E0C448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3562F99"/>
    <w:multiLevelType w:val="hybridMultilevel"/>
    <w:tmpl w:val="E212554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6A6742C0"/>
    <w:multiLevelType w:val="multilevel"/>
    <w:tmpl w:val="ABB029A4"/>
    <w:lvl w:ilvl="0">
      <w:start w:val="1"/>
      <w:numFmt w:val="decimal"/>
      <w:lvlText w:val="%1."/>
      <w:lvlJc w:val="left"/>
      <w:pPr>
        <w:ind w:left="717" w:hanging="360"/>
      </w:pPr>
    </w:lvl>
    <w:lvl w:ilvl="1">
      <w:start w:val="1"/>
      <w:numFmt w:val="decimal"/>
      <w:lvlText w:val="%1.%2."/>
      <w:lvlJc w:val="left"/>
      <w:pPr>
        <w:ind w:left="432" w:hanging="432"/>
      </w:pPr>
      <w:rPr>
        <w:b w:val="0"/>
      </w:rPr>
    </w:lvl>
    <w:lvl w:ilvl="2">
      <w:start w:val="1"/>
      <w:numFmt w:val="decimal"/>
      <w:lvlText w:val="%1.%2.%3."/>
      <w:lvlJc w:val="left"/>
      <w:pPr>
        <w:ind w:left="1581" w:hanging="504"/>
      </w:p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30" w15:restartNumberingAfterBreak="0">
    <w:nsid w:val="6D0C32ED"/>
    <w:multiLevelType w:val="hybridMultilevel"/>
    <w:tmpl w:val="B19E70B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3362F00"/>
    <w:multiLevelType w:val="hybridMultilevel"/>
    <w:tmpl w:val="951E0B06"/>
    <w:lvl w:ilvl="0" w:tplc="40069A94">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D50AF5"/>
    <w:multiLevelType w:val="hybridMultilevel"/>
    <w:tmpl w:val="AA5AEC94"/>
    <w:lvl w:ilvl="0" w:tplc="C6E61A3A">
      <w:start w:val="2"/>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A8A415B"/>
    <w:multiLevelType w:val="singleLevel"/>
    <w:tmpl w:val="90AE0BA8"/>
    <w:lvl w:ilvl="0">
      <w:start w:val="1"/>
      <w:numFmt w:val="lowerLetter"/>
      <w:lvlText w:val="%1."/>
      <w:lvlJc w:val="left"/>
      <w:pPr>
        <w:tabs>
          <w:tab w:val="num" w:pos="1137"/>
        </w:tabs>
        <w:ind w:left="1137" w:hanging="570"/>
      </w:pPr>
      <w:rPr>
        <w:b w:val="0"/>
        <w:i w:val="0"/>
      </w:rPr>
    </w:lvl>
  </w:abstractNum>
  <w:abstractNum w:abstractNumId="34" w15:restartNumberingAfterBreak="0">
    <w:nsid w:val="7B4D055A"/>
    <w:multiLevelType w:val="multilevel"/>
    <w:tmpl w:val="7D52566C"/>
    <w:lvl w:ilvl="0">
      <w:start w:val="1"/>
      <w:numFmt w:val="decimal"/>
      <w:lvlText w:val="%1."/>
      <w:lvlJc w:val="left"/>
      <w:pPr>
        <w:ind w:left="360" w:hanging="360"/>
      </w:pPr>
      <w:rPr>
        <w:rFonts w:ascii="Calibri" w:eastAsia="Times New Roman" w:hAnsi="Calibri" w:cs="Times New Roman"/>
      </w:rPr>
    </w:lvl>
    <w:lvl w:ilvl="1">
      <w:start w:val="1"/>
      <w:numFmt w:val="lowerLetter"/>
      <w:lvlText w:val="%2."/>
      <w:lvlJc w:val="left"/>
      <w:pPr>
        <w:ind w:left="360" w:hanging="360"/>
      </w:pPr>
    </w:lvl>
    <w:lvl w:ilvl="2">
      <w:start w:val="1"/>
      <w:numFmt w:val="lowerRoman"/>
      <w:lvlText w:val="%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E056C1C"/>
    <w:multiLevelType w:val="hybridMultilevel"/>
    <w:tmpl w:val="76589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0886876">
    <w:abstractNumId w:val="10"/>
  </w:num>
  <w:num w:numId="2" w16cid:durableId="1574197156">
    <w:abstractNumId w:val="9"/>
  </w:num>
  <w:num w:numId="3" w16cid:durableId="1995722258">
    <w:abstractNumId w:val="9"/>
    <w:lvlOverride w:ilvl="0"/>
  </w:num>
  <w:num w:numId="4" w16cid:durableId="1099762873">
    <w:abstractNumId w:val="14"/>
  </w:num>
  <w:num w:numId="5" w16cid:durableId="99754041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16cid:durableId="210581424">
    <w:abstractNumId w:val="20"/>
  </w:num>
  <w:num w:numId="7" w16cid:durableId="703823120">
    <w:abstractNumId w:val="24"/>
  </w:num>
  <w:num w:numId="8" w16cid:durableId="546841468">
    <w:abstractNumId w:val="4"/>
  </w:num>
  <w:num w:numId="9" w16cid:durableId="506672244">
    <w:abstractNumId w:val="5"/>
  </w:num>
  <w:num w:numId="10" w16cid:durableId="967275038">
    <w:abstractNumId w:val="15"/>
  </w:num>
  <w:num w:numId="11" w16cid:durableId="22953947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 w16cid:durableId="1726024000">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3" w16cid:durableId="1827282999">
    <w:abstractNumId w:val="19"/>
  </w:num>
  <w:num w:numId="14" w16cid:durableId="94256090">
    <w:abstractNumId w:val="23"/>
  </w:num>
  <w:num w:numId="15" w16cid:durableId="1793861822">
    <w:abstractNumId w:val="16"/>
  </w:num>
  <w:num w:numId="16" w16cid:durableId="940181172">
    <w:abstractNumId w:val="33"/>
  </w:num>
  <w:num w:numId="17" w16cid:durableId="2135557953">
    <w:abstractNumId w:val="21"/>
  </w:num>
  <w:num w:numId="18" w16cid:durableId="725495946">
    <w:abstractNumId w:val="22"/>
  </w:num>
  <w:num w:numId="19" w16cid:durableId="1645769108">
    <w:abstractNumId w:val="31"/>
  </w:num>
  <w:num w:numId="20" w16cid:durableId="1389452644">
    <w:abstractNumId w:val="3"/>
  </w:num>
  <w:num w:numId="21" w16cid:durableId="1675111744">
    <w:abstractNumId w:val="29"/>
  </w:num>
  <w:num w:numId="22" w16cid:durableId="4867552">
    <w:abstractNumId w:val="26"/>
  </w:num>
  <w:num w:numId="23" w16cid:durableId="8911587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1506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74617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6" w16cid:durableId="1099182827">
    <w:abstractNumId w:val="34"/>
  </w:num>
  <w:num w:numId="27" w16cid:durableId="1311861005">
    <w:abstractNumId w:val="0"/>
    <w:lvlOverride w:ilvl="0">
      <w:lvl w:ilvl="0">
        <w:start w:val="1"/>
        <w:numFmt w:val="bullet"/>
        <w:lvlText w:val=""/>
        <w:legacy w:legacy="1" w:legacySpace="0" w:legacyIndent="283"/>
        <w:lvlJc w:val="left"/>
        <w:pPr>
          <w:ind w:left="1003" w:hanging="283"/>
        </w:pPr>
        <w:rPr>
          <w:rFonts w:ascii="Symbol" w:hAnsi="Symbol" w:hint="default"/>
          <w:sz w:val="20"/>
        </w:rPr>
      </w:lvl>
    </w:lvlOverride>
  </w:num>
  <w:num w:numId="28" w16cid:durableId="757094320">
    <w:abstractNumId w:val="30"/>
  </w:num>
  <w:num w:numId="29" w16cid:durableId="1749040541">
    <w:abstractNumId w:val="1"/>
  </w:num>
  <w:num w:numId="30" w16cid:durableId="2132362915">
    <w:abstractNumId w:val="35"/>
  </w:num>
  <w:num w:numId="31" w16cid:durableId="1391228693">
    <w:abstractNumId w:val="12"/>
  </w:num>
  <w:num w:numId="32" w16cid:durableId="674453800">
    <w:abstractNumId w:val="32"/>
  </w:num>
  <w:num w:numId="33" w16cid:durableId="1775783492">
    <w:abstractNumId w:val="2"/>
  </w:num>
  <w:num w:numId="34" w16cid:durableId="1639068754">
    <w:abstractNumId w:val="25"/>
  </w:num>
  <w:num w:numId="35" w16cid:durableId="197220008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58502085">
    <w:abstractNumId w:val="8"/>
  </w:num>
  <w:num w:numId="37" w16cid:durableId="241381014">
    <w:abstractNumId w:val="11"/>
  </w:num>
  <w:num w:numId="38" w16cid:durableId="930508856">
    <w:abstractNumId w:val="27"/>
  </w:num>
  <w:num w:numId="39" w16cid:durableId="363190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248B"/>
    <w:rsid w:val="00077D53"/>
    <w:rsid w:val="00105FD9"/>
    <w:rsid w:val="00117666"/>
    <w:rsid w:val="001549D3"/>
    <w:rsid w:val="00160065"/>
    <w:rsid w:val="00177D84"/>
    <w:rsid w:val="001B0AD7"/>
    <w:rsid w:val="001D6694"/>
    <w:rsid w:val="00225DC4"/>
    <w:rsid w:val="002276AF"/>
    <w:rsid w:val="00254D5B"/>
    <w:rsid w:val="00260883"/>
    <w:rsid w:val="00267D18"/>
    <w:rsid w:val="002868E2"/>
    <w:rsid w:val="002869C3"/>
    <w:rsid w:val="002936E4"/>
    <w:rsid w:val="002B4A57"/>
    <w:rsid w:val="002C74CA"/>
    <w:rsid w:val="002F5827"/>
    <w:rsid w:val="0034165B"/>
    <w:rsid w:val="003544FB"/>
    <w:rsid w:val="003D2F2D"/>
    <w:rsid w:val="003F33B6"/>
    <w:rsid w:val="00401590"/>
    <w:rsid w:val="00420EAD"/>
    <w:rsid w:val="00447801"/>
    <w:rsid w:val="00452E9C"/>
    <w:rsid w:val="004735C8"/>
    <w:rsid w:val="004953CE"/>
    <w:rsid w:val="004961FF"/>
    <w:rsid w:val="004B45E5"/>
    <w:rsid w:val="004C1CE2"/>
    <w:rsid w:val="00517A89"/>
    <w:rsid w:val="005250F2"/>
    <w:rsid w:val="00593EEA"/>
    <w:rsid w:val="005A5EEE"/>
    <w:rsid w:val="005C1498"/>
    <w:rsid w:val="006375C7"/>
    <w:rsid w:val="00654E8F"/>
    <w:rsid w:val="00660D05"/>
    <w:rsid w:val="006820B1"/>
    <w:rsid w:val="006825FF"/>
    <w:rsid w:val="006B7D14"/>
    <w:rsid w:val="006E0DAB"/>
    <w:rsid w:val="006F33B0"/>
    <w:rsid w:val="00701727"/>
    <w:rsid w:val="0070330E"/>
    <w:rsid w:val="0070566C"/>
    <w:rsid w:val="00714C50"/>
    <w:rsid w:val="00725A7D"/>
    <w:rsid w:val="007501BE"/>
    <w:rsid w:val="00790BB3"/>
    <w:rsid w:val="00796C15"/>
    <w:rsid w:val="007C206C"/>
    <w:rsid w:val="007F23BD"/>
    <w:rsid w:val="00803D24"/>
    <w:rsid w:val="008057B3"/>
    <w:rsid w:val="00811495"/>
    <w:rsid w:val="008163FC"/>
    <w:rsid w:val="00817DD6"/>
    <w:rsid w:val="00885156"/>
    <w:rsid w:val="009151AA"/>
    <w:rsid w:val="0093429D"/>
    <w:rsid w:val="00943573"/>
    <w:rsid w:val="00970F7D"/>
    <w:rsid w:val="00994A3D"/>
    <w:rsid w:val="009C2B12"/>
    <w:rsid w:val="009C70F3"/>
    <w:rsid w:val="00A174D9"/>
    <w:rsid w:val="00A41E40"/>
    <w:rsid w:val="00A569CD"/>
    <w:rsid w:val="00A64E33"/>
    <w:rsid w:val="00AA7F7B"/>
    <w:rsid w:val="00AB6715"/>
    <w:rsid w:val="00AD0416"/>
    <w:rsid w:val="00AD4FB0"/>
    <w:rsid w:val="00B01411"/>
    <w:rsid w:val="00B02126"/>
    <w:rsid w:val="00B1671E"/>
    <w:rsid w:val="00B25EB8"/>
    <w:rsid w:val="00B354E1"/>
    <w:rsid w:val="00B37F4D"/>
    <w:rsid w:val="00BD302E"/>
    <w:rsid w:val="00BD6615"/>
    <w:rsid w:val="00C52A7B"/>
    <w:rsid w:val="00C56BAF"/>
    <w:rsid w:val="00C679AA"/>
    <w:rsid w:val="00C75972"/>
    <w:rsid w:val="00C81B10"/>
    <w:rsid w:val="00C86B34"/>
    <w:rsid w:val="00CC0A3A"/>
    <w:rsid w:val="00CD066B"/>
    <w:rsid w:val="00CE4FEE"/>
    <w:rsid w:val="00CF3A1F"/>
    <w:rsid w:val="00CF5CD5"/>
    <w:rsid w:val="00D13DB8"/>
    <w:rsid w:val="00D7698C"/>
    <w:rsid w:val="00D76D21"/>
    <w:rsid w:val="00DB59C3"/>
    <w:rsid w:val="00DC259A"/>
    <w:rsid w:val="00DE23E8"/>
    <w:rsid w:val="00E30072"/>
    <w:rsid w:val="00E52377"/>
    <w:rsid w:val="00E64E17"/>
    <w:rsid w:val="00E866C9"/>
    <w:rsid w:val="00EA3D3C"/>
    <w:rsid w:val="00EB6B42"/>
    <w:rsid w:val="00F12E7E"/>
    <w:rsid w:val="00F12FA8"/>
    <w:rsid w:val="00F46900"/>
    <w:rsid w:val="00F61D89"/>
    <w:rsid w:val="00FD2779"/>
    <w:rsid w:val="00FD68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aliases w:val="Footer1"/>
    <w:basedOn w:val="Normal"/>
    <w:link w:val="FooterChar"/>
    <w:uiPriority w:val="99"/>
    <w:unhideWhenUsed/>
    <w:rsid w:val="00AB6715"/>
    <w:pPr>
      <w:tabs>
        <w:tab w:val="center" w:pos="4844"/>
        <w:tab w:val="right" w:pos="9689"/>
      </w:tabs>
      <w:spacing w:after="0"/>
    </w:pPr>
  </w:style>
  <w:style w:type="character" w:customStyle="1" w:styleId="FooterChar">
    <w:name w:val="Footer Char"/>
    <w:aliases w:val="Footer1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semiHidden/>
    <w:unhideWhenUsed/>
    <w:rsid w:val="00AB6715"/>
    <w:rPr>
      <w:vertAlign w:val="superscript"/>
    </w:rPr>
  </w:style>
  <w:style w:type="paragraph" w:styleId="FootnoteText">
    <w:name w:val="footnote text"/>
    <w:basedOn w:val="Normal"/>
    <w:link w:val="FootnoteTextChar"/>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aliases w:val="Header1"/>
    <w:basedOn w:val="Normal"/>
    <w:link w:val="HeaderChar"/>
    <w:uiPriority w:val="99"/>
    <w:unhideWhenUsed/>
    <w:rsid w:val="00AB6715"/>
    <w:pPr>
      <w:tabs>
        <w:tab w:val="center" w:pos="4844"/>
        <w:tab w:val="right" w:pos="9689"/>
      </w:tabs>
    </w:pPr>
    <w:rPr>
      <w:b/>
    </w:rPr>
  </w:style>
  <w:style w:type="character" w:customStyle="1" w:styleId="HeaderChar">
    <w:name w:val="Header Char"/>
    <w:aliases w:val="Header1 Char"/>
    <w:basedOn w:val="DefaultParagraphFont"/>
    <w:link w:val="Header"/>
    <w:uiPriority w:val="99"/>
    <w:rsid w:val="00AB6715"/>
    <w:rPr>
      <w:rFonts w:ascii="Times New Roman" w:hAnsi="Times New Roman"/>
      <w:b/>
      <w:sz w:val="24"/>
    </w:rPr>
  </w:style>
  <w:style w:type="paragraph" w:styleId="ListParagraph">
    <w:name w:val="List Paragraph"/>
    <w:aliases w:val="Heading 2_sj,List Paragraph1,Listenabsatz1,_Bullet,Normal bullet 2,Bullet list,Dot pt,Parágrafo da Lista"/>
    <w:basedOn w:val="Normal"/>
    <w:link w:val="ListParagraphChar"/>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Docheader">
    <w:name w:val="Doc header"/>
    <w:basedOn w:val="Normal"/>
    <w:rsid w:val="0034165B"/>
    <w:pPr>
      <w:tabs>
        <w:tab w:val="left" w:pos="567"/>
      </w:tabs>
      <w:spacing w:before="0" w:after="120" w:line="280" w:lineRule="exact"/>
    </w:pPr>
    <w:rPr>
      <w:rFonts w:ascii="Arial" w:eastAsia="Times New Roman" w:hAnsi="Arial" w:cs="Times New Roman"/>
      <w:szCs w:val="20"/>
    </w:rPr>
  </w:style>
  <w:style w:type="paragraph" w:customStyle="1" w:styleId="Style1">
    <w:name w:val="Style1"/>
    <w:basedOn w:val="Heading3"/>
    <w:next w:val="Normal"/>
    <w:rsid w:val="0034165B"/>
    <w:pPr>
      <w:keepNext w:val="0"/>
      <w:keepLines w:val="0"/>
      <w:numPr>
        <w:ilvl w:val="0"/>
        <w:numId w:val="0"/>
      </w:numPr>
      <w:spacing w:before="240" w:after="60"/>
      <w:jc w:val="both"/>
    </w:pPr>
    <w:rPr>
      <w:rFonts w:eastAsia="Times New Roman" w:cs="Times New Roman"/>
      <w:b w:val="0"/>
      <w:bCs/>
      <w:sz w:val="22"/>
      <w:szCs w:val="20"/>
      <w:lang w:val="en-GB"/>
    </w:rPr>
  </w:style>
  <w:style w:type="paragraph" w:customStyle="1" w:styleId="msonormal0">
    <w:name w:val="msonormal"/>
    <w:basedOn w:val="Normal"/>
    <w:rsid w:val="0034165B"/>
    <w:pPr>
      <w:spacing w:before="100" w:beforeAutospacing="1" w:after="100" w:afterAutospacing="1"/>
    </w:pPr>
    <w:rPr>
      <w:rFonts w:eastAsia="Times New Roman" w:cs="Times New Roman"/>
      <w:szCs w:val="24"/>
      <w:lang w:val="nl-NL" w:eastAsia="nl-NL"/>
    </w:rPr>
  </w:style>
  <w:style w:type="paragraph" w:customStyle="1" w:styleId="font5">
    <w:name w:val="font5"/>
    <w:basedOn w:val="Normal"/>
    <w:rsid w:val="0034165B"/>
    <w:pPr>
      <w:spacing w:before="100" w:beforeAutospacing="1" w:after="100" w:afterAutospacing="1"/>
    </w:pPr>
    <w:rPr>
      <w:rFonts w:ascii="Calibri" w:eastAsia="Times New Roman" w:hAnsi="Calibri" w:cs="Calibri"/>
      <w:b/>
      <w:bCs/>
      <w:sz w:val="22"/>
      <w:lang w:val="nl-NL" w:eastAsia="nl-NL"/>
    </w:rPr>
  </w:style>
  <w:style w:type="paragraph" w:customStyle="1" w:styleId="xl65">
    <w:name w:val="xl65"/>
    <w:basedOn w:val="Normal"/>
    <w:rsid w:val="0034165B"/>
    <w:pPr>
      <w:spacing w:before="100" w:beforeAutospacing="1" w:after="100" w:afterAutospacing="1"/>
    </w:pPr>
    <w:rPr>
      <w:rFonts w:eastAsia="Times New Roman" w:cs="Times New Roman"/>
      <w:szCs w:val="24"/>
      <w:lang w:val="nl-NL" w:eastAsia="nl-NL"/>
    </w:rPr>
  </w:style>
  <w:style w:type="paragraph" w:customStyle="1" w:styleId="xl66">
    <w:name w:val="xl66"/>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67">
    <w:name w:val="xl67"/>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68">
    <w:name w:val="xl68"/>
    <w:basedOn w:val="Normal"/>
    <w:rsid w:val="0034165B"/>
    <w:pPr>
      <w:spacing w:before="100" w:beforeAutospacing="1" w:after="100" w:afterAutospacing="1"/>
    </w:pPr>
    <w:rPr>
      <w:rFonts w:eastAsia="Times New Roman" w:cs="Times New Roman"/>
      <w:szCs w:val="24"/>
      <w:lang w:val="nl-NL" w:eastAsia="nl-NL"/>
    </w:rPr>
  </w:style>
  <w:style w:type="paragraph" w:customStyle="1" w:styleId="xl69">
    <w:name w:val="xl69"/>
    <w:basedOn w:val="Normal"/>
    <w:rsid w:val="0034165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70">
    <w:name w:val="xl70"/>
    <w:basedOn w:val="Normal"/>
    <w:rsid w:val="0034165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71">
    <w:name w:val="xl71"/>
    <w:basedOn w:val="Normal"/>
    <w:rsid w:val="0034165B"/>
    <w:pPr>
      <w:pBdr>
        <w:top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72">
    <w:name w:val="xl72"/>
    <w:basedOn w:val="Normal"/>
    <w:rsid w:val="0034165B"/>
    <w:pPr>
      <w:pBdr>
        <w:top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73">
    <w:name w:val="xl73"/>
    <w:basedOn w:val="Normal"/>
    <w:rsid w:val="0034165B"/>
    <w:pPr>
      <w:pBdr>
        <w:top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74">
    <w:name w:val="xl74"/>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75">
    <w:name w:val="xl75"/>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76">
    <w:name w:val="xl76"/>
    <w:basedOn w:val="Normal"/>
    <w:rsid w:val="0034165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77">
    <w:name w:val="xl77"/>
    <w:basedOn w:val="Normal"/>
    <w:rsid w:val="0034165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78">
    <w:name w:val="xl78"/>
    <w:basedOn w:val="Normal"/>
    <w:rsid w:val="0034165B"/>
    <w:pPr>
      <w:pBdr>
        <w:top w:val="single" w:sz="4" w:space="0" w:color="auto"/>
        <w:left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79">
    <w:name w:val="xl79"/>
    <w:basedOn w:val="Normal"/>
    <w:rsid w:val="0034165B"/>
    <w:pPr>
      <w:pBdr>
        <w:left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0">
    <w:name w:val="xl80"/>
    <w:basedOn w:val="Normal"/>
    <w:rsid w:val="0034165B"/>
    <w:pPr>
      <w:pBdr>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1">
    <w:name w:val="xl81"/>
    <w:basedOn w:val="Normal"/>
    <w:rsid w:val="0034165B"/>
    <w:pPr>
      <w:pBdr>
        <w:top w:val="single" w:sz="4" w:space="0" w:color="auto"/>
        <w:left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2">
    <w:name w:val="xl82"/>
    <w:basedOn w:val="Normal"/>
    <w:rsid w:val="0034165B"/>
    <w:pPr>
      <w:pBdr>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3">
    <w:name w:val="xl83"/>
    <w:basedOn w:val="Normal"/>
    <w:rsid w:val="0034165B"/>
    <w:pPr>
      <w:pBdr>
        <w:left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4">
    <w:name w:val="xl84"/>
    <w:basedOn w:val="Normal"/>
    <w:rsid w:val="0034165B"/>
    <w:pPr>
      <w:pBdr>
        <w:top w:val="single" w:sz="4" w:space="0" w:color="auto"/>
        <w:lef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85">
    <w:name w:val="xl85"/>
    <w:basedOn w:val="Normal"/>
    <w:rsid w:val="0034165B"/>
    <w:pPr>
      <w:pBdr>
        <w:lef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86">
    <w:name w:val="xl86"/>
    <w:basedOn w:val="Normal"/>
    <w:rsid w:val="0034165B"/>
    <w:pPr>
      <w:pBdr>
        <w:left w:val="single" w:sz="4" w:space="0" w:color="auto"/>
        <w:bottom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87">
    <w:name w:val="xl87"/>
    <w:basedOn w:val="Normal"/>
    <w:rsid w:val="0034165B"/>
    <w:pPr>
      <w:pBdr>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8">
    <w:name w:val="xl88"/>
    <w:basedOn w:val="Normal"/>
    <w:rsid w:val="0034165B"/>
    <w:pPr>
      <w:pBdr>
        <w:bottom w:val="single" w:sz="8"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89">
    <w:name w:val="xl89"/>
    <w:basedOn w:val="Normal"/>
    <w:rsid w:val="0034165B"/>
    <w:pPr>
      <w:pBdr>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0">
    <w:name w:val="xl90"/>
    <w:basedOn w:val="Normal"/>
    <w:rsid w:val="0034165B"/>
    <w:pPr>
      <w:pBdr>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1">
    <w:name w:val="xl91"/>
    <w:basedOn w:val="Normal"/>
    <w:rsid w:val="0034165B"/>
    <w:pPr>
      <w:pBdr>
        <w:top w:val="single" w:sz="4" w:space="0" w:color="auto"/>
        <w:left w:val="single" w:sz="4" w:space="0" w:color="auto"/>
        <w:right w:val="single" w:sz="8"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2">
    <w:name w:val="xl92"/>
    <w:basedOn w:val="Normal"/>
    <w:rsid w:val="0034165B"/>
    <w:pPr>
      <w:pBdr>
        <w:left w:val="single" w:sz="4" w:space="0" w:color="auto"/>
        <w:right w:val="single" w:sz="8"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3">
    <w:name w:val="xl93"/>
    <w:basedOn w:val="Normal"/>
    <w:rsid w:val="0034165B"/>
    <w:pPr>
      <w:pBdr>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4">
    <w:name w:val="xl94"/>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lang w:val="nl-NL" w:eastAsia="nl-NL"/>
    </w:rPr>
  </w:style>
  <w:style w:type="paragraph" w:customStyle="1" w:styleId="xl95">
    <w:name w:val="xl95"/>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lang w:val="nl-NL" w:eastAsia="nl-NL"/>
    </w:rPr>
  </w:style>
  <w:style w:type="paragraph" w:customStyle="1" w:styleId="xl96">
    <w:name w:val="xl96"/>
    <w:basedOn w:val="Normal"/>
    <w:rsid w:val="0034165B"/>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7">
    <w:name w:val="xl97"/>
    <w:basedOn w:val="Normal"/>
    <w:rsid w:val="0034165B"/>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8">
    <w:name w:val="xl98"/>
    <w:basedOn w:val="Normal"/>
    <w:rsid w:val="0034165B"/>
    <w:pPr>
      <w:pBdr>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99">
    <w:name w:val="xl99"/>
    <w:basedOn w:val="Normal"/>
    <w:rsid w:val="0034165B"/>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0">
    <w:name w:val="xl100"/>
    <w:basedOn w:val="Normal"/>
    <w:rsid w:val="0034165B"/>
    <w:pPr>
      <w:pBdr>
        <w:left w:val="single" w:sz="8"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1">
    <w:name w:val="xl101"/>
    <w:basedOn w:val="Normal"/>
    <w:rsid w:val="0034165B"/>
    <w:pPr>
      <w:pBdr>
        <w:left w:val="single" w:sz="8"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2">
    <w:name w:val="xl102"/>
    <w:basedOn w:val="Normal"/>
    <w:rsid w:val="0034165B"/>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3">
    <w:name w:val="xl103"/>
    <w:basedOn w:val="Normal"/>
    <w:rsid w:val="0034165B"/>
    <w:pPr>
      <w:pBdr>
        <w:left w:val="single" w:sz="8" w:space="0" w:color="auto"/>
        <w:right w:val="single" w:sz="8"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4">
    <w:name w:val="xl104"/>
    <w:basedOn w:val="Normal"/>
    <w:rsid w:val="0034165B"/>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5">
    <w:name w:val="xl105"/>
    <w:basedOn w:val="Normal"/>
    <w:rsid w:val="0034165B"/>
    <w:pPr>
      <w:pBdr>
        <w:top w:val="single" w:sz="8" w:space="0" w:color="auto"/>
        <w:left w:val="single" w:sz="4" w:space="0" w:color="auto"/>
        <w:right w:val="single" w:sz="4" w:space="0" w:color="auto"/>
      </w:pBdr>
      <w:spacing w:before="100" w:beforeAutospacing="1" w:after="100" w:afterAutospacing="1"/>
      <w:textAlignment w:val="center"/>
    </w:pPr>
    <w:rPr>
      <w:rFonts w:eastAsia="Times New Roman" w:cs="Times New Roman"/>
      <w:szCs w:val="24"/>
      <w:lang w:val="nl-NL" w:eastAsia="nl-NL"/>
    </w:rPr>
  </w:style>
  <w:style w:type="paragraph" w:customStyle="1" w:styleId="xl106">
    <w:name w:val="xl106"/>
    <w:basedOn w:val="Normal"/>
    <w:rsid w:val="0034165B"/>
    <w:pPr>
      <w:pBdr>
        <w:left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paragraph" w:customStyle="1" w:styleId="xl107">
    <w:name w:val="xl107"/>
    <w:basedOn w:val="Normal"/>
    <w:rsid w:val="0034165B"/>
    <w:pPr>
      <w:pBdr>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nl-NL" w:eastAsia="nl-NL"/>
    </w:rPr>
  </w:style>
  <w:style w:type="character" w:styleId="PageNumber">
    <w:name w:val="page number"/>
    <w:basedOn w:val="DefaultParagraphFont"/>
    <w:rsid w:val="0034165B"/>
  </w:style>
  <w:style w:type="character" w:styleId="UnresolvedMention">
    <w:name w:val="Unresolved Mention"/>
    <w:basedOn w:val="DefaultParagraphFont"/>
    <w:uiPriority w:val="99"/>
    <w:semiHidden/>
    <w:unhideWhenUsed/>
    <w:rsid w:val="0034165B"/>
    <w:rPr>
      <w:color w:val="605E5C"/>
      <w:shd w:val="clear" w:color="auto" w:fill="E1DFDD"/>
    </w:rPr>
  </w:style>
  <w:style w:type="character" w:customStyle="1" w:styleId="FootnoteTextChar1">
    <w:name w:val="Footnote Text Char1"/>
    <w:semiHidden/>
    <w:rsid w:val="0034165B"/>
    <w:rPr>
      <w:rFonts w:ascii="Calibri" w:eastAsia="Times New Roman" w:hAnsi="Calibri" w:cs="Times New Roman"/>
      <w:sz w:val="18"/>
      <w:szCs w:val="20"/>
    </w:rPr>
  </w:style>
  <w:style w:type="character" w:customStyle="1" w:styleId="ListParagraphChar">
    <w:name w:val="List Paragraph Char"/>
    <w:aliases w:val="Heading 2_sj Char,List Paragraph1 Char,Listenabsatz1 Char,_Bullet Char,Normal bullet 2 Char,Bullet list Char,Dot pt Char,Parágrafo da Lista Char"/>
    <w:basedOn w:val="DefaultParagraphFont"/>
    <w:link w:val="ListParagraph"/>
    <w:uiPriority w:val="34"/>
    <w:qFormat/>
    <w:rsid w:val="0034165B"/>
    <w:rPr>
      <w:rFonts w:ascii="Times New Roman" w:eastAsia="Cambria" w:hAnsi="Times New Roman" w:cs="Times New Roman"/>
      <w:sz w:val="24"/>
      <w:szCs w:val="24"/>
    </w:rPr>
  </w:style>
  <w:style w:type="paragraph" w:customStyle="1" w:styleId="BodyText22">
    <w:name w:val="Body Text 22"/>
    <w:basedOn w:val="Normal"/>
    <w:rsid w:val="0034165B"/>
    <w:pPr>
      <w:widowControl w:val="0"/>
      <w:autoSpaceDE w:val="0"/>
      <w:autoSpaceDN w:val="0"/>
      <w:spacing w:after="0"/>
      <w:jc w:val="both"/>
    </w:pPr>
    <w:rPr>
      <w:rFonts w:ascii="Calibri" w:eastAsia="Times New Roman" w:hAnsi="Calibri" w:cs="Times New Roman"/>
      <w:sz w:val="22"/>
      <w:szCs w:val="20"/>
      <w:lang w:val="en-GB"/>
    </w:rPr>
  </w:style>
  <w:style w:type="paragraph" w:customStyle="1" w:styleId="Default">
    <w:name w:val="Default"/>
    <w:rsid w:val="0034165B"/>
    <w:pPr>
      <w:autoSpaceDE w:val="0"/>
      <w:autoSpaceDN w:val="0"/>
      <w:adjustRightInd w:val="0"/>
      <w:spacing w:after="0" w:line="240" w:lineRule="auto"/>
    </w:pPr>
    <w:rPr>
      <w:rFonts w:ascii="Calibri" w:hAnsi="Calibri" w:cs="Calibri"/>
      <w:color w:val="000000"/>
      <w:sz w:val="24"/>
      <w:szCs w:val="24"/>
      <w:lang w:val="de-DE"/>
    </w:rPr>
  </w:style>
  <w:style w:type="table" w:customStyle="1" w:styleId="TableGrid1">
    <w:name w:val="Table Grid1"/>
    <w:basedOn w:val="TableNormal"/>
    <w:next w:val="TableGrid"/>
    <w:rsid w:val="0034165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4165B"/>
  </w:style>
  <w:style w:type="character" w:customStyle="1" w:styleId="UnresolvedMention1">
    <w:name w:val="Unresolved Mention1"/>
    <w:basedOn w:val="DefaultParagraphFont"/>
    <w:uiPriority w:val="99"/>
    <w:semiHidden/>
    <w:unhideWhenUsed/>
    <w:rsid w:val="0034165B"/>
    <w:rPr>
      <w:color w:val="605E5C"/>
      <w:shd w:val="clear" w:color="auto" w:fill="E1DFDD"/>
    </w:rPr>
  </w:style>
  <w:style w:type="paragraph" w:customStyle="1" w:styleId="Normal00">
    <w:name w:val="Normal00"/>
    <w:qFormat/>
    <w:rsid w:val="0034165B"/>
    <w:pPr>
      <w:spacing w:after="120"/>
      <w:jc w:val="both"/>
    </w:pPr>
    <w:rPr>
      <w:rFonts w:ascii="Calibri" w:eastAsia="Calibri" w:hAnsi="Calibri" w:cs="Calibri"/>
      <w:lang w:val="en-GB" w:eastAsia="de-DE"/>
    </w:rPr>
  </w:style>
  <w:style w:type="character" w:customStyle="1" w:styleId="FooterChar1">
    <w:name w:val="Footer Char1"/>
    <w:aliases w:val="Footer1 Char1"/>
    <w:basedOn w:val="DefaultParagraphFont"/>
    <w:semiHidden/>
    <w:rsid w:val="0034165B"/>
    <w:rPr>
      <w:rFonts w:ascii="Calibri" w:eastAsia="Times New Roman" w:hAnsi="Calibri" w:cs="Times New Roman"/>
      <w:szCs w:val="20"/>
    </w:rPr>
  </w:style>
  <w:style w:type="paragraph" w:styleId="TOCHeading">
    <w:name w:val="TOC Heading"/>
    <w:basedOn w:val="Heading1"/>
    <w:next w:val="Normal"/>
    <w:uiPriority w:val="39"/>
    <w:unhideWhenUsed/>
    <w:qFormat/>
    <w:rsid w:val="0034165B"/>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4165B"/>
    <w:pPr>
      <w:spacing w:before="0" w:after="100" w:line="276" w:lineRule="auto"/>
      <w:jc w:val="both"/>
    </w:pPr>
    <w:rPr>
      <w:rFonts w:ascii="Calibri" w:eastAsia="Times New Roman" w:hAnsi="Calibri" w:cs="Times New Roman"/>
      <w:sz w:val="22"/>
      <w:szCs w:val="20"/>
      <w:lang w:val="en-GB"/>
    </w:rPr>
  </w:style>
  <w:style w:type="paragraph" w:styleId="TOC3">
    <w:name w:val="toc 3"/>
    <w:basedOn w:val="Normal"/>
    <w:next w:val="Normal"/>
    <w:autoRedefine/>
    <w:uiPriority w:val="39"/>
    <w:unhideWhenUsed/>
    <w:rsid w:val="0034165B"/>
    <w:pPr>
      <w:spacing w:before="0" w:after="100" w:line="276" w:lineRule="auto"/>
      <w:ind w:left="440"/>
      <w:jc w:val="both"/>
    </w:pPr>
    <w:rPr>
      <w:rFonts w:ascii="Calibri" w:eastAsia="Times New Roman" w:hAnsi="Calibri" w:cs="Times New Roman"/>
      <w:sz w:val="22"/>
      <w:szCs w:val="20"/>
      <w:lang w:val="en-GB"/>
    </w:rPr>
  </w:style>
  <w:style w:type="paragraph" w:styleId="TOC2">
    <w:name w:val="toc 2"/>
    <w:basedOn w:val="Normal"/>
    <w:next w:val="Normal"/>
    <w:autoRedefine/>
    <w:uiPriority w:val="39"/>
    <w:unhideWhenUsed/>
    <w:rsid w:val="0034165B"/>
    <w:pPr>
      <w:spacing w:before="0" w:after="100" w:line="276" w:lineRule="auto"/>
      <w:ind w:left="220"/>
      <w:jc w:val="both"/>
    </w:pPr>
    <w:rPr>
      <w:rFonts w:ascii="Calibri" w:eastAsia="Times New Roman" w:hAnsi="Calibri" w:cs="Times New Roman"/>
      <w:sz w:val="22"/>
      <w:szCs w:val="20"/>
      <w:lang w:val="en-GB"/>
    </w:rPr>
  </w:style>
  <w:style w:type="paragraph" w:customStyle="1" w:styleId="paragraph">
    <w:name w:val="paragraph"/>
    <w:basedOn w:val="Normal"/>
    <w:rsid w:val="0034165B"/>
    <w:pPr>
      <w:spacing w:before="100" w:beforeAutospacing="1" w:after="100" w:afterAutospacing="1"/>
    </w:pPr>
    <w:rPr>
      <w:rFonts w:eastAsia="Times New Roman" w:cs="Times New Roman"/>
      <w:szCs w:val="24"/>
      <w:lang w:val="de-DE" w:eastAsia="de-DE"/>
    </w:rPr>
  </w:style>
  <w:style w:type="character" w:customStyle="1" w:styleId="normaltextrun">
    <w:name w:val="normaltextrun"/>
    <w:basedOn w:val="DefaultParagraphFont"/>
    <w:rsid w:val="0034165B"/>
  </w:style>
  <w:style w:type="character" w:customStyle="1" w:styleId="eop">
    <w:name w:val="eop"/>
    <w:basedOn w:val="DefaultParagraphFont"/>
    <w:rsid w:val="0034165B"/>
  </w:style>
  <w:style w:type="paragraph" w:customStyle="1" w:styleId="font6">
    <w:name w:val="font6"/>
    <w:basedOn w:val="Normal"/>
    <w:rsid w:val="0034165B"/>
    <w:pPr>
      <w:spacing w:before="100" w:beforeAutospacing="1" w:after="100" w:afterAutospacing="1"/>
    </w:pPr>
    <w:rPr>
      <w:rFonts w:ascii="Tahoma" w:eastAsia="Times New Roman" w:hAnsi="Tahoma" w:cs="Tahoma"/>
      <w:color w:val="000000"/>
      <w:sz w:val="18"/>
      <w:szCs w:val="18"/>
      <w:lang w:val="en-GB" w:eastAsia="en-GB"/>
    </w:rPr>
  </w:style>
  <w:style w:type="paragraph" w:customStyle="1" w:styleId="font7">
    <w:name w:val="font7"/>
    <w:basedOn w:val="Normal"/>
    <w:rsid w:val="0034165B"/>
    <w:pPr>
      <w:spacing w:before="100" w:beforeAutospacing="1" w:after="100" w:afterAutospacing="1"/>
    </w:pPr>
    <w:rPr>
      <w:rFonts w:ascii="Tahoma" w:eastAsia="Times New Roman" w:hAnsi="Tahoma" w:cs="Tahoma"/>
      <w:b/>
      <w:bCs/>
      <w:color w:val="000000"/>
      <w:sz w:val="18"/>
      <w:szCs w:val="18"/>
      <w:lang w:val="en-GB" w:eastAsia="en-GB"/>
    </w:rPr>
  </w:style>
  <w:style w:type="paragraph" w:customStyle="1" w:styleId="font8">
    <w:name w:val="font8"/>
    <w:basedOn w:val="Normal"/>
    <w:rsid w:val="0034165B"/>
    <w:pPr>
      <w:spacing w:before="100" w:beforeAutospacing="1" w:after="100" w:afterAutospacing="1"/>
    </w:pPr>
    <w:rPr>
      <w:rFonts w:ascii="Tahoma" w:eastAsia="Times New Roman" w:hAnsi="Tahoma" w:cs="Tahoma"/>
      <w:color w:val="000000"/>
      <w:sz w:val="18"/>
      <w:szCs w:val="18"/>
      <w:lang w:val="en-GB" w:eastAsia="en-GB"/>
    </w:rPr>
  </w:style>
  <w:style w:type="paragraph" w:customStyle="1" w:styleId="font9">
    <w:name w:val="font9"/>
    <w:basedOn w:val="Normal"/>
    <w:rsid w:val="0034165B"/>
    <w:pPr>
      <w:spacing w:before="100" w:beforeAutospacing="1" w:after="100" w:afterAutospacing="1"/>
    </w:pPr>
    <w:rPr>
      <w:rFonts w:ascii="Tahoma" w:eastAsia="Times New Roman" w:hAnsi="Tahoma" w:cs="Tahoma"/>
      <w:b/>
      <w:bCs/>
      <w:color w:val="000000"/>
      <w:sz w:val="18"/>
      <w:szCs w:val="18"/>
      <w:lang w:val="en-GB" w:eastAsia="en-GB"/>
    </w:rPr>
  </w:style>
  <w:style w:type="paragraph" w:customStyle="1" w:styleId="xl63">
    <w:name w:val="xl63"/>
    <w:basedOn w:val="Normal"/>
    <w:rsid w:val="0034165B"/>
    <w:pPr>
      <w:spacing w:before="100" w:beforeAutospacing="1" w:after="100" w:afterAutospacing="1"/>
    </w:pPr>
    <w:rPr>
      <w:rFonts w:eastAsia="Times New Roman" w:cs="Times New Roman"/>
      <w:b/>
      <w:bCs/>
      <w:szCs w:val="24"/>
      <w:lang w:val="en-GB" w:eastAsia="en-GB"/>
    </w:rPr>
  </w:style>
  <w:style w:type="paragraph" w:customStyle="1" w:styleId="xl64">
    <w:name w:val="xl64"/>
    <w:basedOn w:val="Normal"/>
    <w:rsid w:val="00341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lang w:val="en-GB" w:eastAsia="en-GB"/>
    </w:rPr>
  </w:style>
  <w:style w:type="table" w:styleId="GridTable1Light">
    <w:name w:val="Grid Table 1 Light"/>
    <w:basedOn w:val="TableNormal"/>
    <w:uiPriority w:val="46"/>
    <w:rsid w:val="0034165B"/>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run">
    <w:name w:val="textrun"/>
    <w:basedOn w:val="DefaultParagraphFont"/>
    <w:rsid w:val="0034165B"/>
  </w:style>
  <w:style w:type="paragraph" w:styleId="TableofFigures">
    <w:name w:val="table of figures"/>
    <w:basedOn w:val="Normal"/>
    <w:next w:val="Normal"/>
    <w:uiPriority w:val="99"/>
    <w:unhideWhenUsed/>
    <w:rsid w:val="001D669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96996366">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10.emf"/><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github.com/ices-tools-dev/COMPEA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michelle.devlin@cefas.gov.uk"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oter" Target="footer3.xml"/><Relationship Id="rId38"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5CB6FB86-AE97-41DD-BB2F-A292D826643C}">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40</Pages>
  <Words>8586</Words>
  <Characters>48943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Michelle Devlin (Cefas)</cp:lastModifiedBy>
  <cp:revision>17</cp:revision>
  <cp:lastPrinted>2013-10-03T12:51:00Z</cp:lastPrinted>
  <dcterms:created xsi:type="dcterms:W3CDTF">2023-06-15T09:32:00Z</dcterms:created>
  <dcterms:modified xsi:type="dcterms:W3CDTF">2023-07-05T04:45:00Z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SIP_Label_a0c2ddd0-afbf-49e4-8b02-da81def1ba6b_Enabled">
    <vt:lpwstr>True</vt:lpwstr>
  </property>
  <property fmtid="{D5CDD505-2E9C-101B-9397-08002B2CF9AE}" pid="11" name="MSIP_Label_a0c2ddd0-afbf-49e4-8b02-da81def1ba6b_SiteId">
    <vt:lpwstr>eeea3199-afa0-41eb-bbf2-f6e42c3da7cf</vt:lpwstr>
  </property>
  <property fmtid="{D5CDD505-2E9C-101B-9397-08002B2CF9AE}" pid="12" name="MSIP_Label_a0c2ddd0-afbf-49e4-8b02-da81def1ba6b_Owner">
    <vt:lpwstr>michelle.devlin@cefas.gov.uk</vt:lpwstr>
  </property>
  <property fmtid="{D5CDD505-2E9C-101B-9397-08002B2CF9AE}" pid="13" name="MSIP_Label_a0c2ddd0-afbf-49e4-8b02-da81def1ba6b_SetDate">
    <vt:lpwstr>2023-06-15T09:31:38.0203722Z</vt:lpwstr>
  </property>
  <property fmtid="{D5CDD505-2E9C-101B-9397-08002B2CF9AE}" pid="14" name="MSIP_Label_a0c2ddd0-afbf-49e4-8b02-da81def1ba6b_Name">
    <vt:lpwstr>Official</vt:lpwstr>
  </property>
  <property fmtid="{D5CDD505-2E9C-101B-9397-08002B2CF9AE}" pid="15" name="MSIP_Label_a0c2ddd0-afbf-49e4-8b02-da81def1ba6b_Application">
    <vt:lpwstr>Microsoft Azure Information Protection</vt:lpwstr>
  </property>
  <property fmtid="{D5CDD505-2E9C-101B-9397-08002B2CF9AE}" pid="16" name="MSIP_Label_a0c2ddd0-afbf-49e4-8b02-da81def1ba6b_ActionId">
    <vt:lpwstr>8374b45d-46ed-4866-8758-faaba4284455</vt:lpwstr>
  </property>
  <property fmtid="{D5CDD505-2E9C-101B-9397-08002B2CF9AE}" pid="17" name="MSIP_Label_a0c2ddd0-afbf-49e4-8b02-da81def1ba6b_Extended_MSFT_Method">
    <vt:lpwstr>Automatic</vt:lpwstr>
  </property>
  <property fmtid="{D5CDD505-2E9C-101B-9397-08002B2CF9AE}" pid="18" name="Sensitivity">
    <vt:lpwstr>Official</vt:lpwstr>
  </property>
</Properties>
</file>