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D91F" w14:textId="77777777" w:rsidR="00E251DD" w:rsidRDefault="00E251DD" w:rsidP="00E251DD"/>
    <w:p w14:paraId="63077E1E" w14:textId="1F478B85" w:rsidR="00703642" w:rsidRDefault="00703642" w:rsidP="00E251D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Material </w:t>
      </w:r>
    </w:p>
    <w:p w14:paraId="71A7755E" w14:textId="53C260C6" w:rsidR="00E251DD" w:rsidRPr="00E251DD" w:rsidRDefault="00E251DD" w:rsidP="00E251D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94">
        <w:rPr>
          <w:rFonts w:ascii="Times New Roman" w:hAnsi="Times New Roman" w:cs="Times New Roman"/>
          <w:b/>
          <w:sz w:val="24"/>
          <w:szCs w:val="24"/>
        </w:rPr>
        <w:t xml:space="preserve">Bycatch in Drift Gillnet Fisheries: a sink for Indian Ocean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642C94">
        <w:rPr>
          <w:rFonts w:ascii="Times New Roman" w:hAnsi="Times New Roman" w:cs="Times New Roman"/>
          <w:b/>
          <w:sz w:val="24"/>
          <w:szCs w:val="24"/>
        </w:rPr>
        <w:t>etaceans</w:t>
      </w:r>
    </w:p>
    <w:p w14:paraId="404E81C6" w14:textId="77777777" w:rsidR="00E251DD" w:rsidRPr="007108F5" w:rsidRDefault="00E251DD" w:rsidP="00E251DD">
      <w:pPr>
        <w:jc w:val="center"/>
        <w:rPr>
          <w:sz w:val="28"/>
          <w:szCs w:val="28"/>
        </w:rPr>
      </w:pPr>
    </w:p>
    <w:p w14:paraId="5F3DF052" w14:textId="49C199F3" w:rsidR="00E251DD" w:rsidRDefault="00E251DD" w:rsidP="00735DE9">
      <w:pPr>
        <w:pStyle w:val="Default"/>
        <w:jc w:val="center"/>
      </w:pPr>
      <w:r>
        <w:rPr>
          <w:b/>
          <w:bCs/>
        </w:rPr>
        <w:t>Authors:</w:t>
      </w:r>
      <w:r>
        <w:t xml:space="preserve"> Brianna Elliott</w:t>
      </w:r>
      <w:r>
        <w:rPr>
          <w:vertAlign w:val="superscript"/>
        </w:rPr>
        <w:t>1*</w:t>
      </w:r>
      <w:r>
        <w:t>, Jeremy J. Kiszka</w:t>
      </w:r>
      <w:r>
        <w:rPr>
          <w:vertAlign w:val="superscript"/>
        </w:rPr>
        <w:t>2</w:t>
      </w:r>
      <w:r>
        <w:t>, Sylvain Bonhommeau</w:t>
      </w:r>
      <w:r>
        <w:rPr>
          <w:vertAlign w:val="superscript"/>
        </w:rPr>
        <w:t>3</w:t>
      </w:r>
      <w:r>
        <w:t>, Umair Shahid</w:t>
      </w:r>
      <w:r>
        <w:rPr>
          <w:vertAlign w:val="superscript"/>
        </w:rPr>
        <w:t>4</w:t>
      </w:r>
      <w:r>
        <w:t>,</w:t>
      </w:r>
      <w:r>
        <w:rPr>
          <w:vertAlign w:val="superscript"/>
        </w:rPr>
        <w:t xml:space="preserve"> </w:t>
      </w:r>
      <w:r>
        <w:t>Rebecca Lent</w:t>
      </w:r>
      <w:r>
        <w:rPr>
          <w:vertAlign w:val="superscript"/>
        </w:rPr>
        <w:t>5</w:t>
      </w:r>
      <w:r>
        <w:t>, Lauren Nelson</w:t>
      </w:r>
      <w:r>
        <w:rPr>
          <w:vertAlign w:val="superscript"/>
        </w:rPr>
        <w:t>6</w:t>
      </w:r>
      <w:r>
        <w:t>, Andrew J. Read</w:t>
      </w:r>
      <w:r>
        <w:rPr>
          <w:vertAlign w:val="superscript"/>
        </w:rPr>
        <w:t>1</w:t>
      </w:r>
    </w:p>
    <w:p w14:paraId="41D6C750" w14:textId="77777777" w:rsidR="00E251DD" w:rsidRDefault="00E251DD" w:rsidP="00E251DD">
      <w:pPr>
        <w:pStyle w:val="Default"/>
        <w:jc w:val="center"/>
      </w:pPr>
    </w:p>
    <w:p w14:paraId="096154A1" w14:textId="0E0D883D" w:rsidR="00F87059" w:rsidRPr="00735DE9" w:rsidRDefault="00E251DD" w:rsidP="00735DE9">
      <w:pPr>
        <w:jc w:val="center"/>
        <w:rPr>
          <w:rFonts w:ascii="Times New Roman" w:hAnsi="Times New Roman" w:cs="Times New Roman"/>
        </w:rPr>
      </w:pPr>
      <w:r w:rsidRPr="00703642">
        <w:rPr>
          <w:rFonts w:ascii="Times New Roman" w:hAnsi="Times New Roman" w:cs="Times New Roman"/>
        </w:rPr>
        <w:t xml:space="preserve">Corresponding author: </w:t>
      </w:r>
      <w:hyperlink r:id="rId6" w:history="1">
        <w:r w:rsidRPr="00703642">
          <w:rPr>
            <w:rStyle w:val="Hyperlink"/>
            <w:rFonts w:ascii="Times New Roman" w:hAnsi="Times New Roman" w:cs="Times New Roman"/>
          </w:rPr>
          <w:t>bwe2@duke.edu</w:t>
        </w:r>
      </w:hyperlink>
    </w:p>
    <w:p w14:paraId="4A5F9418" w14:textId="77777777" w:rsidR="007110D8" w:rsidRDefault="007110D8" w:rsidP="00E251DD">
      <w:pPr>
        <w:rPr>
          <w:b/>
        </w:rPr>
      </w:pPr>
    </w:p>
    <w:p w14:paraId="1209B44D" w14:textId="1F969A6D" w:rsidR="00E251DD" w:rsidRDefault="00E251DD" w:rsidP="00E25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Table </w:t>
      </w:r>
      <w:r w:rsidR="007110D8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1. Overview of relevant I</w:t>
      </w:r>
      <w:r w:rsidR="007110D8">
        <w:rPr>
          <w:rFonts w:ascii="Times New Roman" w:hAnsi="Times New Roman" w:cs="Times New Roman"/>
          <w:b/>
        </w:rPr>
        <w:t xml:space="preserve">ndian </w:t>
      </w:r>
      <w:r>
        <w:rPr>
          <w:rFonts w:ascii="Times New Roman" w:hAnsi="Times New Roman" w:cs="Times New Roman"/>
          <w:b/>
        </w:rPr>
        <w:t>O</w:t>
      </w:r>
      <w:r w:rsidR="007110D8">
        <w:rPr>
          <w:rFonts w:ascii="Times New Roman" w:hAnsi="Times New Roman" w:cs="Times New Roman"/>
          <w:b/>
        </w:rPr>
        <w:t xml:space="preserve">cean </w:t>
      </w:r>
      <w:r>
        <w:rPr>
          <w:rFonts w:ascii="Times New Roman" w:hAnsi="Times New Roman" w:cs="Times New Roman"/>
          <w:b/>
        </w:rPr>
        <w:t>T</w:t>
      </w:r>
      <w:r w:rsidR="007110D8">
        <w:rPr>
          <w:rFonts w:ascii="Times New Roman" w:hAnsi="Times New Roman" w:cs="Times New Roman"/>
          <w:b/>
        </w:rPr>
        <w:t xml:space="preserve">una </w:t>
      </w:r>
      <w:r>
        <w:rPr>
          <w:rFonts w:ascii="Times New Roman" w:hAnsi="Times New Roman" w:cs="Times New Roman"/>
          <w:b/>
        </w:rPr>
        <w:t>C</w:t>
      </w:r>
      <w:r w:rsidR="007110D8">
        <w:rPr>
          <w:rFonts w:ascii="Times New Roman" w:hAnsi="Times New Roman" w:cs="Times New Roman"/>
          <w:b/>
        </w:rPr>
        <w:t>ommission (IOTC)</w:t>
      </w:r>
      <w:r>
        <w:rPr>
          <w:rFonts w:ascii="Times New Roman" w:hAnsi="Times New Roman" w:cs="Times New Roman"/>
          <w:b/>
        </w:rPr>
        <w:t xml:space="preserve"> Conservation and Management Measures</w:t>
      </w:r>
      <w:r w:rsidR="007110D8">
        <w:rPr>
          <w:rFonts w:ascii="Times New Roman" w:hAnsi="Times New Roman" w:cs="Times New Roman"/>
          <w:b/>
        </w:rPr>
        <w:t xml:space="preserve"> (CMM</w:t>
      </w:r>
      <w:r w:rsidR="00703642">
        <w:rPr>
          <w:rFonts w:ascii="Times New Roman" w:hAnsi="Times New Roman" w:cs="Times New Roman"/>
          <w:b/>
        </w:rPr>
        <w:t>s</w:t>
      </w:r>
      <w:r w:rsidR="007110D8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to cetacean bycatch in gillnets and their application to artisanal versus other vessels. </w:t>
      </w:r>
    </w:p>
    <w:p w14:paraId="62F06375" w14:textId="4FC12D57" w:rsidR="00E251DD" w:rsidRDefault="00E251DD">
      <w:pPr>
        <w:suppressAutoHyphens w:val="0"/>
        <w:rPr>
          <w:rFonts w:ascii="Times New Roman" w:hAnsi="Times New Roman" w:cs="Times New Roman"/>
          <w:b/>
        </w:rPr>
      </w:pPr>
    </w:p>
    <w:p w14:paraId="690E14AB" w14:textId="77777777" w:rsidR="00E251DD" w:rsidRDefault="00E251DD" w:rsidP="00E251D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8883" w:type="dxa"/>
        <w:tblLayout w:type="fixed"/>
        <w:tblLook w:val="04A0" w:firstRow="1" w:lastRow="0" w:firstColumn="1" w:lastColumn="0" w:noHBand="0" w:noVBand="1"/>
      </w:tblPr>
      <w:tblGrid>
        <w:gridCol w:w="3921"/>
        <w:gridCol w:w="1565"/>
        <w:gridCol w:w="1529"/>
        <w:gridCol w:w="1868"/>
      </w:tblGrid>
      <w:tr w:rsidR="00E251DD" w14:paraId="10C5F839" w14:textId="77777777" w:rsidTr="00031B55">
        <w:tc>
          <w:tcPr>
            <w:tcW w:w="3920" w:type="dxa"/>
          </w:tcPr>
          <w:p w14:paraId="3B2471C5" w14:textId="2F0634C7" w:rsidR="00E251DD" w:rsidRDefault="00E251DD" w:rsidP="00031B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IOTC </w:t>
            </w:r>
            <w:r w:rsidR="00703642">
              <w:rPr>
                <w:rFonts w:ascii="Times New Roman" w:eastAsia="Calibri" w:hAnsi="Times New Roman" w:cs="Times New Roman"/>
                <w:b/>
              </w:rPr>
              <w:t>CMM</w:t>
            </w:r>
          </w:p>
        </w:tc>
        <w:tc>
          <w:tcPr>
            <w:tcW w:w="1565" w:type="dxa"/>
          </w:tcPr>
          <w:p w14:paraId="002D6C7C" w14:textId="77777777" w:rsidR="00E251DD" w:rsidRDefault="00E251DD" w:rsidP="00031B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Fishing on high seas (any vessel length)</w:t>
            </w:r>
          </w:p>
        </w:tc>
        <w:tc>
          <w:tcPr>
            <w:tcW w:w="1529" w:type="dxa"/>
          </w:tcPr>
          <w:p w14:paraId="69A78352" w14:textId="353A431A" w:rsidR="00E251DD" w:rsidRDefault="00E251DD" w:rsidP="00031B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&gt;24</w:t>
            </w:r>
            <w:r w:rsidR="007110D8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 xml:space="preserve">m in EEZ </w:t>
            </w:r>
          </w:p>
        </w:tc>
        <w:tc>
          <w:tcPr>
            <w:tcW w:w="1868" w:type="dxa"/>
          </w:tcPr>
          <w:p w14:paraId="5A65DC6C" w14:textId="172CFBEA" w:rsidR="00E251DD" w:rsidRDefault="00E251DD" w:rsidP="00031B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&lt;24</w:t>
            </w:r>
            <w:r w:rsidR="007110D8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m in EEZ (artisanal)</w:t>
            </w:r>
          </w:p>
        </w:tc>
      </w:tr>
      <w:tr w:rsidR="00E251DD" w14:paraId="0B4AC5AB" w14:textId="77777777" w:rsidTr="00031B55">
        <w:tc>
          <w:tcPr>
            <w:tcW w:w="3920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5D06625" w14:textId="77777777" w:rsidR="00E251DD" w:rsidRDefault="00E251DD" w:rsidP="0003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Resolution 22/04, “On a Regional Observer Scheme”</w:t>
            </w:r>
          </w:p>
        </w:tc>
        <w:tc>
          <w:tcPr>
            <w:tcW w:w="1565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14:paraId="76EB5F32" w14:textId="77777777" w:rsidR="00E251DD" w:rsidRDefault="00E251DD" w:rsidP="0003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Applies</w:t>
            </w:r>
          </w:p>
        </w:tc>
        <w:tc>
          <w:tcPr>
            <w:tcW w:w="1529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2CC" w:themeFill="accent4" w:themeFillTint="33"/>
          </w:tcPr>
          <w:p w14:paraId="3EB0057D" w14:textId="77777777" w:rsidR="00E251DD" w:rsidRDefault="00E251DD" w:rsidP="0003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Exempt</w:t>
            </w:r>
          </w:p>
        </w:tc>
        <w:tc>
          <w:tcPr>
            <w:tcW w:w="1868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2CC" w:themeFill="accent4" w:themeFillTint="33"/>
          </w:tcPr>
          <w:p w14:paraId="01CF5DB6" w14:textId="77777777" w:rsidR="00E251DD" w:rsidRDefault="00E251DD" w:rsidP="0003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Exempt</w:t>
            </w:r>
          </w:p>
        </w:tc>
      </w:tr>
      <w:tr w:rsidR="00E251DD" w14:paraId="26EAAF67" w14:textId="77777777" w:rsidTr="00031B55">
        <w:tc>
          <w:tcPr>
            <w:tcW w:w="39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E8DED97" w14:textId="77777777" w:rsidR="00E251DD" w:rsidRDefault="00E251DD" w:rsidP="0003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Resolution 23/06, “On the Conservation of Cetaceans”</w:t>
            </w:r>
          </w:p>
        </w:tc>
        <w:tc>
          <w:tcPr>
            <w:tcW w:w="15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14:paraId="35E09ABB" w14:textId="77777777" w:rsidR="00E251DD" w:rsidRDefault="00E251DD" w:rsidP="0003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Applies</w:t>
            </w:r>
          </w:p>
        </w:tc>
        <w:tc>
          <w:tcPr>
            <w:tcW w:w="15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14:paraId="049CBD2C" w14:textId="77777777" w:rsidR="00E251DD" w:rsidRDefault="00E251DD" w:rsidP="0003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Applies</w:t>
            </w:r>
          </w:p>
        </w:tc>
        <w:tc>
          <w:tcPr>
            <w:tcW w:w="18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2CC" w:themeFill="accent4" w:themeFillTint="33"/>
          </w:tcPr>
          <w:p w14:paraId="0C11EE2B" w14:textId="77777777" w:rsidR="00E251DD" w:rsidRDefault="00E251DD" w:rsidP="0003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Exempt</w:t>
            </w:r>
          </w:p>
        </w:tc>
      </w:tr>
      <w:tr w:rsidR="00E251DD" w14:paraId="16B2BACC" w14:textId="77777777" w:rsidTr="00031B55">
        <w:tc>
          <w:tcPr>
            <w:tcW w:w="39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457DCB6" w14:textId="77777777" w:rsidR="00E251DD" w:rsidRDefault="00E251DD" w:rsidP="0003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Resolution 15/03, “On the Vessel Monitoring System (VMS)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Programme</w:t>
            </w:r>
            <w:proofErr w:type="spellEnd"/>
            <w:r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15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14:paraId="09BAE0E0" w14:textId="77777777" w:rsidR="00E251DD" w:rsidRDefault="00E251DD" w:rsidP="0003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Applies</w:t>
            </w:r>
          </w:p>
        </w:tc>
        <w:tc>
          <w:tcPr>
            <w:tcW w:w="15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14:paraId="6151B209" w14:textId="77777777" w:rsidR="00E251DD" w:rsidRDefault="00E251DD" w:rsidP="0003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Applies</w:t>
            </w:r>
          </w:p>
        </w:tc>
        <w:tc>
          <w:tcPr>
            <w:tcW w:w="18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2CC" w:themeFill="accent4" w:themeFillTint="33"/>
          </w:tcPr>
          <w:p w14:paraId="1627FA1C" w14:textId="77777777" w:rsidR="00E251DD" w:rsidRDefault="00E251DD" w:rsidP="0003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Exempt</w:t>
            </w:r>
          </w:p>
        </w:tc>
      </w:tr>
      <w:tr w:rsidR="00E251DD" w14:paraId="7948DBC0" w14:textId="77777777" w:rsidTr="00031B55">
        <w:tc>
          <w:tcPr>
            <w:tcW w:w="39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1B4E78B" w14:textId="77777777" w:rsidR="00E251DD" w:rsidRDefault="00E251DD" w:rsidP="0003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Resolution 19/04, “Concerning the IOTC Record of Vessels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Authorised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to Operate in the IOTC area of Competence”</w:t>
            </w:r>
          </w:p>
        </w:tc>
        <w:tc>
          <w:tcPr>
            <w:tcW w:w="15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14:paraId="7423AB9D" w14:textId="77777777" w:rsidR="00E251DD" w:rsidRDefault="00E251DD" w:rsidP="0003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Applies</w:t>
            </w:r>
          </w:p>
        </w:tc>
        <w:tc>
          <w:tcPr>
            <w:tcW w:w="15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14:paraId="177BAA5C" w14:textId="77777777" w:rsidR="00E251DD" w:rsidRDefault="00E251DD" w:rsidP="0003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Applies</w:t>
            </w:r>
          </w:p>
        </w:tc>
        <w:tc>
          <w:tcPr>
            <w:tcW w:w="18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2CC" w:themeFill="accent4" w:themeFillTint="33"/>
          </w:tcPr>
          <w:p w14:paraId="7E435CB7" w14:textId="77777777" w:rsidR="00E251DD" w:rsidRDefault="00E251DD" w:rsidP="0003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Exempt</w:t>
            </w:r>
          </w:p>
        </w:tc>
      </w:tr>
      <w:tr w:rsidR="00E251DD" w14:paraId="64D28446" w14:textId="77777777" w:rsidTr="00031B55">
        <w:tc>
          <w:tcPr>
            <w:tcW w:w="39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B235DF1" w14:textId="77777777" w:rsidR="00E251DD" w:rsidRDefault="00E251DD" w:rsidP="0003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Resolution 17/07, “On the prohibition to use large-scale driftnets in the IOTC area”</w:t>
            </w:r>
          </w:p>
        </w:tc>
        <w:tc>
          <w:tcPr>
            <w:tcW w:w="15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14:paraId="16D7D6DF" w14:textId="77777777" w:rsidR="00E251DD" w:rsidRDefault="00E251DD" w:rsidP="0003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Applies</w:t>
            </w:r>
          </w:p>
        </w:tc>
        <w:tc>
          <w:tcPr>
            <w:tcW w:w="15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14:paraId="715AE746" w14:textId="77777777" w:rsidR="00E251DD" w:rsidRDefault="00E251DD" w:rsidP="0003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Applies</w:t>
            </w:r>
          </w:p>
        </w:tc>
        <w:tc>
          <w:tcPr>
            <w:tcW w:w="18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2CC" w:themeFill="accent4" w:themeFillTint="33"/>
          </w:tcPr>
          <w:p w14:paraId="47676675" w14:textId="77777777" w:rsidR="00E251DD" w:rsidRDefault="00E251DD" w:rsidP="0003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Exempt</w:t>
            </w:r>
          </w:p>
        </w:tc>
      </w:tr>
      <w:tr w:rsidR="00E251DD" w14:paraId="1B09655A" w14:textId="77777777" w:rsidTr="00031B55">
        <w:tc>
          <w:tcPr>
            <w:tcW w:w="39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B294F3D" w14:textId="77777777" w:rsidR="00E251DD" w:rsidRDefault="00E251DD" w:rsidP="0003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Resolution 21/01, “On an Interim Plan for Rebuilding the Indian Ocean Yellowfin Tuna Stock in the IOTC Area of Competence”</w:t>
            </w:r>
          </w:p>
        </w:tc>
        <w:tc>
          <w:tcPr>
            <w:tcW w:w="15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14:paraId="7AD1C0E1" w14:textId="77777777" w:rsidR="00E251DD" w:rsidRDefault="00E251DD" w:rsidP="0003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Applies</w:t>
            </w:r>
          </w:p>
        </w:tc>
        <w:tc>
          <w:tcPr>
            <w:tcW w:w="15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14:paraId="5BE18354" w14:textId="77777777" w:rsidR="00E251DD" w:rsidRDefault="00E251DD" w:rsidP="0003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Applies</w:t>
            </w:r>
          </w:p>
        </w:tc>
        <w:tc>
          <w:tcPr>
            <w:tcW w:w="18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14:paraId="757816A3" w14:textId="77777777" w:rsidR="00E251DD" w:rsidRDefault="00E251DD" w:rsidP="0003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Applies</w:t>
            </w:r>
          </w:p>
        </w:tc>
      </w:tr>
      <w:tr w:rsidR="00E251DD" w14:paraId="1555CFA5" w14:textId="77777777" w:rsidTr="00031B55">
        <w:tc>
          <w:tcPr>
            <w:tcW w:w="39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281E404" w14:textId="77777777" w:rsidR="00E251DD" w:rsidRDefault="00E251DD" w:rsidP="0003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Resolution 15/01, “On the Recording of Catch and Effort Data by Fishing Vessels in the IOTC Area of Competence”</w:t>
            </w:r>
          </w:p>
        </w:tc>
        <w:tc>
          <w:tcPr>
            <w:tcW w:w="15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14:paraId="5C1561BE" w14:textId="77777777" w:rsidR="00E251DD" w:rsidRDefault="00E251DD" w:rsidP="0003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Applies</w:t>
            </w:r>
          </w:p>
        </w:tc>
        <w:tc>
          <w:tcPr>
            <w:tcW w:w="15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14:paraId="3B538C44" w14:textId="77777777" w:rsidR="00E251DD" w:rsidRDefault="00E251DD" w:rsidP="0003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Applies</w:t>
            </w:r>
          </w:p>
        </w:tc>
        <w:tc>
          <w:tcPr>
            <w:tcW w:w="18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2CC" w:themeFill="accent4" w:themeFillTint="33"/>
          </w:tcPr>
          <w:p w14:paraId="0F38E92B" w14:textId="77777777" w:rsidR="00E251DD" w:rsidRDefault="00E251DD" w:rsidP="0003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Exempt</w:t>
            </w:r>
            <w:r>
              <w:rPr>
                <w:rStyle w:val="FootnoteReference"/>
                <w:rFonts w:ascii="Times New Roman" w:eastAsia="Calibri" w:hAnsi="Times New Roman" w:cs="Times New Roman"/>
              </w:rPr>
              <w:footnoteReference w:id="1"/>
            </w:r>
          </w:p>
        </w:tc>
      </w:tr>
      <w:tr w:rsidR="00E251DD" w14:paraId="41BFC14D" w14:textId="77777777" w:rsidTr="00031B55">
        <w:tc>
          <w:tcPr>
            <w:tcW w:w="39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80BA930" w14:textId="77777777" w:rsidR="00E251DD" w:rsidRDefault="00E251DD" w:rsidP="0003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Resolution 15/02, “Mandatory Statistical Reporting Requirements for IOTC Contracting Parties and Cooperating Non-contracting Parties (CPCs)”</w:t>
            </w:r>
          </w:p>
        </w:tc>
        <w:tc>
          <w:tcPr>
            <w:tcW w:w="15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14:paraId="12664B6A" w14:textId="77777777" w:rsidR="00E251DD" w:rsidRDefault="00E251DD" w:rsidP="0003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Applies</w:t>
            </w:r>
          </w:p>
        </w:tc>
        <w:tc>
          <w:tcPr>
            <w:tcW w:w="15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14:paraId="7967E517" w14:textId="77777777" w:rsidR="00E251DD" w:rsidRDefault="00E251DD" w:rsidP="0003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Applies</w:t>
            </w:r>
          </w:p>
        </w:tc>
        <w:tc>
          <w:tcPr>
            <w:tcW w:w="186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2EFD9" w:themeFill="accent6" w:themeFillTint="33"/>
          </w:tcPr>
          <w:p w14:paraId="21CC9D6A" w14:textId="77777777" w:rsidR="00E251DD" w:rsidRDefault="00E251DD" w:rsidP="0003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Applies</w:t>
            </w:r>
          </w:p>
        </w:tc>
      </w:tr>
    </w:tbl>
    <w:p w14:paraId="5DD8F7A8" w14:textId="77777777" w:rsidR="00E251DD" w:rsidRDefault="00E251DD"/>
    <w:sectPr w:rsidR="00E25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A9D3F" w14:textId="77777777" w:rsidR="00E909BA" w:rsidRDefault="00E909BA" w:rsidP="00E251DD">
      <w:r>
        <w:separator/>
      </w:r>
    </w:p>
  </w:endnote>
  <w:endnote w:type="continuationSeparator" w:id="0">
    <w:p w14:paraId="0A8B8BA1" w14:textId="77777777" w:rsidR="00E909BA" w:rsidRDefault="00E909BA" w:rsidP="00E2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C3D8" w14:textId="77777777" w:rsidR="00E909BA" w:rsidRDefault="00E909BA" w:rsidP="00E251DD">
      <w:r>
        <w:separator/>
      </w:r>
    </w:p>
  </w:footnote>
  <w:footnote w:type="continuationSeparator" w:id="0">
    <w:p w14:paraId="2CEB9BD5" w14:textId="77777777" w:rsidR="00E909BA" w:rsidRDefault="00E909BA" w:rsidP="00E251DD">
      <w:r>
        <w:continuationSeparator/>
      </w:r>
    </w:p>
  </w:footnote>
  <w:footnote w:id="1">
    <w:p w14:paraId="74677FFC" w14:textId="08EDA319" w:rsidR="00E251DD" w:rsidRPr="00C94FDD" w:rsidRDefault="00E251DD" w:rsidP="00E251DD">
      <w:pPr>
        <w:pStyle w:val="FootnoteText"/>
        <w:rPr>
          <w:rFonts w:ascii="Times New Roman" w:hAnsi="Times New Roman" w:cs="Times New Roman"/>
        </w:rPr>
      </w:pPr>
      <w:r w:rsidRPr="00C94FDD">
        <w:rPr>
          <w:rStyle w:val="FootnoteReference"/>
          <w:rFonts w:ascii="Times New Roman" w:hAnsi="Times New Roman" w:cs="Times New Roman"/>
        </w:rPr>
        <w:footnoteRef/>
      </w:r>
      <w:r w:rsidRPr="00C94FDD">
        <w:rPr>
          <w:rFonts w:ascii="Times New Roman" w:hAnsi="Times New Roman" w:cs="Times New Roman"/>
        </w:rPr>
        <w:t xml:space="preserve"> Note, paragraph 11 of 15/01 calls for </w:t>
      </w:r>
      <w:r>
        <w:rPr>
          <w:rFonts w:ascii="Times New Roman" w:hAnsi="Times New Roman" w:cs="Times New Roman"/>
        </w:rPr>
        <w:t xml:space="preserve">developing Members </w:t>
      </w:r>
      <w:r w:rsidRPr="00C94FDD">
        <w:rPr>
          <w:rFonts w:ascii="Times New Roman" w:hAnsi="Times New Roman" w:cs="Times New Roman"/>
        </w:rPr>
        <w:t>with vessels less than 24</w:t>
      </w:r>
      <w:r w:rsidR="00703642">
        <w:rPr>
          <w:rFonts w:ascii="Times New Roman" w:hAnsi="Times New Roman" w:cs="Times New Roman"/>
        </w:rPr>
        <w:t xml:space="preserve"> </w:t>
      </w:r>
      <w:r w:rsidRPr="00C94FDD">
        <w:rPr>
          <w:rFonts w:ascii="Times New Roman" w:hAnsi="Times New Roman" w:cs="Times New Roman"/>
        </w:rPr>
        <w:t>m LOA operating inside the EEZ to progressively implement this measure from 1 July 2016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DD"/>
    <w:rsid w:val="005A2EEF"/>
    <w:rsid w:val="0063701C"/>
    <w:rsid w:val="00703642"/>
    <w:rsid w:val="007110D8"/>
    <w:rsid w:val="00735DE9"/>
    <w:rsid w:val="008B7C11"/>
    <w:rsid w:val="00AA660E"/>
    <w:rsid w:val="00B0566A"/>
    <w:rsid w:val="00D409CF"/>
    <w:rsid w:val="00E251DD"/>
    <w:rsid w:val="00E909BA"/>
    <w:rsid w:val="00F87059"/>
    <w:rsid w:val="00FC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9559A"/>
  <w15:chartTrackingRefBased/>
  <w15:docId w15:val="{6F8AAB4B-A6B4-8D4E-80BE-465C1813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1DD"/>
    <w:pPr>
      <w:suppressAutoHyphens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1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E251DD"/>
    <w:rPr>
      <w:sz w:val="20"/>
      <w:szCs w:val="20"/>
    </w:rPr>
  </w:style>
  <w:style w:type="character" w:styleId="FootnoteReference">
    <w:name w:val="footnote reference"/>
    <w:rsid w:val="00E251D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251DD"/>
    <w:rPr>
      <w:kern w:val="2"/>
      <w:sz w:val="20"/>
      <w:szCs w:val="20"/>
      <w14:ligatures w14:val="standardContextual"/>
    </w:rPr>
  </w:style>
  <w:style w:type="character" w:customStyle="1" w:styleId="FootnoteTextChar1">
    <w:name w:val="Footnote Text Char1"/>
    <w:basedOn w:val="DefaultParagraphFont"/>
    <w:uiPriority w:val="99"/>
    <w:semiHidden/>
    <w:rsid w:val="00E251DD"/>
    <w:rPr>
      <w:kern w:val="0"/>
      <w:sz w:val="20"/>
      <w:szCs w:val="20"/>
      <w14:ligatures w14:val="none"/>
    </w:rPr>
  </w:style>
  <w:style w:type="table" w:styleId="TableGrid">
    <w:name w:val="Table Grid"/>
    <w:basedOn w:val="TableNormal"/>
    <w:uiPriority w:val="39"/>
    <w:rsid w:val="00E251DD"/>
    <w:pPr>
      <w:suppressAutoHyphens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Heading">
    <w:name w:val="SM Heading"/>
    <w:basedOn w:val="Heading1"/>
    <w:qFormat/>
    <w:rsid w:val="00E251DD"/>
    <w:pPr>
      <w:keepLines w:val="0"/>
      <w:suppressAutoHyphen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paragraph" w:customStyle="1" w:styleId="SMSubheading">
    <w:name w:val="SM Subheading"/>
    <w:basedOn w:val="Normal"/>
    <w:qFormat/>
    <w:rsid w:val="00E251DD"/>
    <w:pPr>
      <w:suppressAutoHyphens w:val="0"/>
    </w:pPr>
    <w:rPr>
      <w:rFonts w:ascii="Times New Roman" w:eastAsia="Times New Roman" w:hAnsi="Times New Roman" w:cs="Times New Roman"/>
      <w:szCs w:val="20"/>
      <w:u w:val="words"/>
    </w:rPr>
  </w:style>
  <w:style w:type="paragraph" w:customStyle="1" w:styleId="SMText">
    <w:name w:val="SM Text"/>
    <w:basedOn w:val="Normal"/>
    <w:qFormat/>
    <w:rsid w:val="00E251DD"/>
    <w:pPr>
      <w:suppressAutoHyphens w:val="0"/>
      <w:ind w:firstLine="480"/>
    </w:pPr>
    <w:rPr>
      <w:rFonts w:ascii="Times New Roman" w:eastAsia="Times New Roman" w:hAnsi="Times New Roman" w:cs="Times New Roman"/>
      <w:szCs w:val="20"/>
    </w:rPr>
  </w:style>
  <w:style w:type="paragraph" w:customStyle="1" w:styleId="SMcaption">
    <w:name w:val="SM caption"/>
    <w:basedOn w:val="SMText"/>
    <w:qFormat/>
    <w:rsid w:val="00E251DD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E251D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E251DD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qFormat/>
    <w:rsid w:val="00E251DD"/>
    <w:pPr>
      <w:suppressAutoHyphens/>
    </w:pPr>
    <w:rPr>
      <w:rFonts w:ascii="Times New Roman" w:eastAsia="Calibri" w:hAnsi="Times New Roman" w:cs="Times New Roman"/>
      <w:color w:val="000000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E251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we2@duk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Elliott</dc:creator>
  <cp:keywords/>
  <dc:description/>
  <cp:lastModifiedBy>Brianna Elliott</cp:lastModifiedBy>
  <cp:revision>3</cp:revision>
  <cp:lastPrinted>2023-07-10T15:49:00Z</cp:lastPrinted>
  <dcterms:created xsi:type="dcterms:W3CDTF">2023-12-14T17:56:00Z</dcterms:created>
  <dcterms:modified xsi:type="dcterms:W3CDTF">2023-12-21T19:23:00Z</dcterms:modified>
</cp:coreProperties>
</file>