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1EBA" w14:textId="77777777" w:rsidR="005E311E" w:rsidRPr="009F42C8" w:rsidRDefault="005E311E" w:rsidP="005E311E">
      <w:pPr>
        <w:jc w:val="center"/>
        <w:rPr>
          <w:rFonts w:ascii="Times New Roman" w:hAnsi="Times New Roman" w:cs="Times New Roman"/>
          <w:b/>
          <w:bCs/>
        </w:rPr>
      </w:pPr>
      <w:r w:rsidRPr="009F42C8">
        <w:rPr>
          <w:rFonts w:ascii="Times New Roman" w:hAnsi="Times New Roman" w:cs="Times New Roman"/>
          <w:b/>
          <w:bCs/>
        </w:rPr>
        <w:t>Additional file 2. Test list of relevant articles</w:t>
      </w:r>
    </w:p>
    <w:p w14:paraId="3BBA334D" w14:textId="57777FF6" w:rsidR="005C7E5E" w:rsidRPr="009F42C8" w:rsidRDefault="005E311E">
      <w:pPr>
        <w:rPr>
          <w:rFonts w:ascii="Times New Roman" w:hAnsi="Times New Roman" w:cs="Times New Roman"/>
        </w:rPr>
      </w:pPr>
      <w:r w:rsidRPr="009F42C8">
        <w:rPr>
          <w:rFonts w:ascii="Times New Roman" w:hAnsi="Times New Roman" w:cs="Times New Roman"/>
        </w:rPr>
        <w:t xml:space="preserve">Table S1. </w:t>
      </w:r>
      <w:r w:rsidRPr="009F42C8">
        <w:rPr>
          <w:rFonts w:ascii="Times New Roman" w:hAnsi="Times New Roman" w:cs="Times New Roman"/>
        </w:rPr>
        <w:t xml:space="preserve">Test list of </w:t>
      </w:r>
      <w:r w:rsidRPr="009F42C8">
        <w:rPr>
          <w:rFonts w:ascii="Times New Roman" w:hAnsi="Times New Roman" w:cs="Times New Roman"/>
        </w:rPr>
        <w:t>3</w:t>
      </w:r>
      <w:r w:rsidRPr="009F42C8">
        <w:rPr>
          <w:rFonts w:ascii="Times New Roman" w:hAnsi="Times New Roman" w:cs="Times New Roman"/>
        </w:rPr>
        <w:t>0 relevant articles predefined by the authors to develop the search string</w:t>
      </w:r>
      <w:r w:rsidRPr="009F42C8">
        <w:rPr>
          <w:rFonts w:ascii="Times New Roman" w:hAnsi="Times New Roman" w:cs="Times New Roman"/>
        </w:rPr>
        <w:t>s</w:t>
      </w:r>
      <w:r w:rsidRPr="009F42C8">
        <w:rPr>
          <w:rFonts w:ascii="Times New Roman" w:hAnsi="Times New Roman" w:cs="Times New Roman"/>
        </w:rPr>
        <w:t xml:space="preserve"> and compare the comprehensiveness of searches against each other. Note that the comprehensiveness value of </w:t>
      </w:r>
      <w:proofErr w:type="spellStart"/>
      <w:r w:rsidRPr="009F42C8">
        <w:rPr>
          <w:rFonts w:ascii="Times New Roman" w:hAnsi="Times New Roman" w:cs="Times New Roman"/>
        </w:rPr>
        <w:t>WoS</w:t>
      </w:r>
      <w:proofErr w:type="spellEnd"/>
      <w:r w:rsidRPr="009F42C8">
        <w:rPr>
          <w:rFonts w:ascii="Times New Roman" w:hAnsi="Times New Roman" w:cs="Times New Roman"/>
        </w:rPr>
        <w:t xml:space="preserve"> and Scopus databases was </w:t>
      </w:r>
      <w:r w:rsidR="00EF11A3">
        <w:rPr>
          <w:rFonts w:ascii="Times New Roman" w:hAnsi="Times New Roman" w:cs="Times New Roman"/>
        </w:rPr>
        <w:t>ca. 93</w:t>
      </w:r>
      <w:r w:rsidRPr="009F42C8">
        <w:rPr>
          <w:rFonts w:ascii="Times New Roman" w:hAnsi="Times New Roman" w:cs="Times New Roman"/>
        </w:rPr>
        <w:t>%</w:t>
      </w:r>
      <w:r w:rsidR="00EF11A3">
        <w:rPr>
          <w:rFonts w:ascii="Times New Roman" w:hAnsi="Times New Roman" w:cs="Times New Roman"/>
        </w:rPr>
        <w:t>.</w:t>
      </w:r>
    </w:p>
    <w:tbl>
      <w:tblPr>
        <w:tblW w:w="95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70"/>
        <w:gridCol w:w="2238"/>
        <w:gridCol w:w="843"/>
        <w:gridCol w:w="895"/>
        <w:gridCol w:w="1280"/>
      </w:tblGrid>
      <w:tr w:rsidR="009F42C8" w:rsidRPr="00EF11A3" w14:paraId="4B376E0B" w14:textId="77777777" w:rsidTr="00907AD3">
        <w:trPr>
          <w:trHeight w:val="28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0A70" w14:textId="77777777" w:rsidR="009F42C8" w:rsidRPr="009F42C8" w:rsidRDefault="009F42C8" w:rsidP="00EF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ID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261B" w14:textId="77777777" w:rsidR="009F42C8" w:rsidRPr="009F42C8" w:rsidRDefault="009F42C8" w:rsidP="00EF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Title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539" w14:textId="77777777" w:rsidR="009F42C8" w:rsidRPr="009F42C8" w:rsidRDefault="009F42C8" w:rsidP="00EF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 xml:space="preserve">DOI (or html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link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1643" w14:textId="77777777" w:rsidR="009F42C8" w:rsidRPr="009F42C8" w:rsidRDefault="009F42C8" w:rsidP="00EF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Presence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 xml:space="preserve"> in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WoS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D7E9" w14:textId="77777777" w:rsidR="009F42C8" w:rsidRPr="009F42C8" w:rsidRDefault="009F42C8" w:rsidP="00EF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Presence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 xml:space="preserve"> in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Scopus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219" w14:textId="77777777" w:rsidR="009F42C8" w:rsidRPr="009F42C8" w:rsidRDefault="009F42C8" w:rsidP="00EF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Comments</w:t>
            </w:r>
            <w:proofErr w:type="spellEnd"/>
          </w:p>
        </w:tc>
      </w:tr>
      <w:tr w:rsidR="00EF11A3" w:rsidRPr="00EF11A3" w14:paraId="79501514" w14:textId="77777777" w:rsidTr="00907AD3">
        <w:trPr>
          <w:trHeight w:val="28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8AAB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25807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A demand-driven approach to ecosystem services economic valuation: Lessons from Pacific island countries and territories</w:t>
            </w:r>
          </w:p>
        </w:tc>
        <w:tc>
          <w:tcPr>
            <w:tcW w:w="22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BE0D81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4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10.1016/j.ecoser.2019.100975</w:t>
              </w:r>
            </w:hyperlink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8D127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No</w:t>
            </w:r>
          </w:p>
        </w:tc>
        <w:tc>
          <w:tcPr>
            <w:tcW w:w="89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C7CFD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No</w:t>
            </w:r>
          </w:p>
        </w:tc>
        <w:tc>
          <w:tcPr>
            <w:tcW w:w="12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3DC1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No "French territory" mentioned in title/abstract/keywords</w:t>
            </w:r>
          </w:p>
        </w:tc>
      </w:tr>
      <w:tr w:rsidR="00EF11A3" w:rsidRPr="00EF11A3" w14:paraId="7EC58BE0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045AAA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B0DBC0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A framework for mapping small-scale coastal fisheries using fishers' knowledge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EB4418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5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10.1093/</w:t>
              </w:r>
              <w:proofErr w:type="spellStart"/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icesjms</w:t>
              </w:r>
              <w:proofErr w:type="spellEnd"/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/fst204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0236A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7B530F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2E06B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63E001DF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940872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3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4ED94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“It's dry, it has fewer charms!”: Do perceptions and values of intermittent rivers interact with their management?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B43D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  <w:t>10.1016/j.envsci.2022.10.003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95AF47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71DE0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609FD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32580AE8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3B4A5E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4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4D32E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An orientation for coastal disaster risks management and prevention policy in a global warming context: Case study in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Ouvea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 (New Caledonia)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5E92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6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10.1016/j.marpol.2018.12.012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D9FC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8959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300C6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0DB273C0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A7310F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5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11F0E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Assessing Perception of Climate Change by Representatives of Public Authorities and Designing Coastal Climate Services: Lessons Learnt From French Polynesia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4A444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7" w:tgtFrame="_blank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10.3389/fmars.2020.00160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E9B53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0971BA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5CDDB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7847A96D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0F3E0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6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C667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Assessing the Multidimensionality of Coastal Erosion Risks: Public Participation and Multicriteria Analysis in a Mediterranean Coastal System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4CD95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8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10.1111/j.1539-6924.2008.01026.x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FB6DA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6AE5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B6E69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3018FE22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03BC16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7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7710D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Combining participatory and socioeconomic approaches to map fishing effort in small-scale fisheries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DD72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9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10.1371/journal.pone.0176862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3E535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3D0D9F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40982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07CAFD89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DA378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8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90A2A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Critical multi-level governance issues of integrated modelling: An example of low-water management in the Adour-Garonne basin (France)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BC1F54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0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10.1016/j.jhydrol.2014.09.043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0ACAB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05375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E7C15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10BE828E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16D2453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9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17366E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Depolderisation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 policy against coastal flooding and social acceptability on the French Atlantic coast: The case of the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Arcachon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 Bay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FEF3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1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10.1016/j.ocecoaman.2015.07.001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D97908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51680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D0A3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51E2D6A0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A3447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10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879DD8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Earth observation and coastal climate services for small islands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BF3BE9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2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10.1016/j.cliser.2020.100168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6A4EAF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95EC5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5AB8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49C6BBD1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509DE2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11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C58DD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Ecosystem Services Assessment for the Conservation of Mangroves in French Guiana Using Fuzzy Cognitive Mapping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F476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3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10.3389/ffgc.2021.769182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C3DDAA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B9E1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8CE8A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13139CE5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2016A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12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1189F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 xml:space="preserve">Garonne 2050: a prospective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study</w:t>
            </w:r>
            <w:proofErr w:type="spellEnd"/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784C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4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10.1051/</w:t>
              </w:r>
              <w:proofErr w:type="spellStart"/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lhb</w:t>
              </w:r>
              <w:proofErr w:type="spellEnd"/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/2016057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DDA64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0BF6B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C4C9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4C2CC149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76B4B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13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FF9AC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Guidance for stakeholder consultation to support national ecosystem services assessment: A case study from French marine assessment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E2D83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5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10.1016/j.ecoser.2022.101408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8E31E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1CC53B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C7344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6D617DC5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FFEA47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14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BA10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How seasonal forecast could help a decision maker: an example of climate service for water resource management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E41E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  <w:t>10.5194/asr-13-51-2016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3B82D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9D6E1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9536BA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453A9BB5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22E6AD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15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F85B47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Lessons learnt from the application of a participatory modelling approach in the framework of a river restoration project: case of the Gave de Pau River, Hautes-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Pyrénées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, France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D2AA3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6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10.1016/j.ifacol.2020.12.1097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D96171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BF4E3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6E4ADA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267D7422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745B2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16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AA0D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Modeling Soft Institutional Change and the Improvement of Freshwater Governance in the Coastal Zone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85941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  <w:t>10.5751/ES-04294-160415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4D89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D63215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4C3AEE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0B38FF9B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DD149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17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6CCA2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Participatory Bayesian modelling for sustainable and efficient river restoration projects: Feedback from the case study of the Gave de Pau River, Hautes-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Pyrénées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, France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9576A4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7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10.1111/1468-5973.12312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F55E4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2F78F3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FFF7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23B2E0DE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4B2A2B2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18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1841C8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Participatory Qualitative Modeling to Assess the Sustainability of a Coastal Socio-Ecological System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07B8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8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10.3389/fevo.2021.635857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B0F7F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2672F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1611B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22549ADC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69656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19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63756A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Participatory simulation to foster social learning on coastal flooding prevention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9C0CF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19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10.1016/j.envsoft.2017.09.003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9648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33763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0936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39E9EF0F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2C5B0BB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20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19C25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Perceptions of the services provided by pond fish farming in Lorraine (France)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4227C1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0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10.1016/j.ecolecon.2014.10.007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FBD2E8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D6E62D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9024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1B224F75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84D6EF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21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36696A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Testing integrated coastal zone management in France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76D22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1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10.1016/j.ocecoaman.2011.11.004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685F43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1B38F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64912D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22A60E1F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4EF96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22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272E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The Failure of the Largest Project to Dismantle Hydroelectric Dams in Europe? </w:t>
            </w: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(Sélune River, France, 2009-2017)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DFDB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2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https://www.water-alternatives.org/index.php/alldoc/articles/vol10/v10issue3/376-a10-3-2/file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C8AB0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156F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12BB3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7EC02E6A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787182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23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7758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The role of knowledge and research in facilitating social learning among stakeholders in natural resources management in the French Atlantic coastal wetlands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555639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3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10.1016/j.envsci.2007.01.012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D9A4CB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93E2A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6AF185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4A1FD53D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C19411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24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5A236B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The role of technical protocols and partnership engagement in developing a decision support framework for fisheries management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DB881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4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10.1016/j.jenvman.2018.06.063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6C17C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No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D95BA7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No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9DE325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No "French territory" mentioned in title/abstract/keywords</w:t>
            </w:r>
          </w:p>
        </w:tc>
      </w:tr>
      <w:tr w:rsidR="00EF11A3" w:rsidRPr="00EF11A3" w14:paraId="5FC5F88A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4453F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25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6C7A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The view from the inside: institutional dimensions of public communication of two coastal and marine protected area networks in France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755F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5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10.1080/08920753.2020.1754088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908CA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3327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37CC1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45A71221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DCACDC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26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E04EE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Towards coastal risk management in France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F219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6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10.1016/j.ocecoaman.2010.04.013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F7C65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0CB74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09DE6E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2F2E0369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6F52A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lastRenderedPageBreak/>
              <w:t>27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3BD1F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Using a quantitative model for participatory geo-foresight: ISIS-Fish and fishing governance in the Bay of Biscay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B14E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hyperlink r:id="rId27" w:tgtFrame="_blank" w:tooltip="Persistent link using digital object identifier" w:history="1">
              <w:r w:rsidRPr="009F42C8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vertAlign w:val="subscript"/>
                  <w:lang w:val="fr-FR" w:eastAsia="fr-FR"/>
                </w:rPr>
                <w:t>10.1016/j.marpol.2018.08.015</w:t>
              </w:r>
            </w:hyperlink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9E603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E5746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C72046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1E07CF04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458ECA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28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83A556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Using biodiversity to </w:t>
            </w:r>
            <w:proofErr w:type="spellStart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valorise</w:t>
            </w:r>
            <w:proofErr w:type="spellEnd"/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 xml:space="preserve"> local food products: the case of fish ponds in a cultural landscape, their biodiversity, and carp production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6AB8C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  <w:t>10.1007/s10499-013-9641-x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403AF5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22A278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FAAC9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3CB519C5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9D98CE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29</w:t>
            </w:r>
          </w:p>
        </w:tc>
        <w:tc>
          <w:tcPr>
            <w:tcW w:w="3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BF433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Identifying Consensus on Coastal Lagoons Ecosystem Services and Conservation Priorities for an Effective Decision Making: A Q Approach</w:t>
            </w:r>
          </w:p>
        </w:tc>
        <w:tc>
          <w:tcPr>
            <w:tcW w:w="22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D40871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val="fr-FR" w:eastAsia="fr-FR"/>
              </w:rPr>
              <w:t>10.1016/j.ecolecon.2018.07.018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54AE92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B9D082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80F148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  <w:tr w:rsidR="00EF11A3" w:rsidRPr="00EF11A3" w14:paraId="1EB6E70E" w14:textId="77777777" w:rsidTr="00907AD3">
        <w:trPr>
          <w:trHeight w:val="28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AA6067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30</w:t>
            </w:r>
          </w:p>
        </w:tc>
        <w:tc>
          <w:tcPr>
            <w:tcW w:w="387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10DFC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fr-FR"/>
              </w:rPr>
              <w:t>Water Management in the Camargue Biosphere Reserve: Insights from Comparative Mental Models Analysis</w:t>
            </w:r>
          </w:p>
        </w:tc>
        <w:tc>
          <w:tcPr>
            <w:tcW w:w="223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249B8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vertAlign w:val="subscript"/>
                <w:lang w:eastAsia="fr-FR"/>
              </w:rPr>
              <w:t>https://www.ecologyandsociety.org/vol16/iss1/art43/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1B7F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89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9029" w14:textId="77777777" w:rsidR="009F42C8" w:rsidRPr="009F42C8" w:rsidRDefault="009F42C8" w:rsidP="009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  <w:r w:rsidRPr="009F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  <w:t>Yes</w:t>
            </w:r>
          </w:p>
        </w:tc>
        <w:tc>
          <w:tcPr>
            <w:tcW w:w="128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3122" w14:textId="77777777" w:rsidR="009F42C8" w:rsidRPr="009F42C8" w:rsidRDefault="009F42C8" w:rsidP="00907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val="fr-FR" w:eastAsia="fr-FR"/>
              </w:rPr>
            </w:pPr>
          </w:p>
        </w:tc>
      </w:tr>
    </w:tbl>
    <w:p w14:paraId="70619F08" w14:textId="3A9F52CD" w:rsidR="005E311E" w:rsidRDefault="005E311E">
      <w:pPr>
        <w:rPr>
          <w:rFonts w:ascii="Times New Roman" w:hAnsi="Times New Roman" w:cs="Times New Roman"/>
        </w:rPr>
      </w:pPr>
    </w:p>
    <w:p w14:paraId="0D384AC8" w14:textId="77777777" w:rsidR="00EF11A3" w:rsidRPr="009F42C8" w:rsidRDefault="00EF11A3">
      <w:pPr>
        <w:rPr>
          <w:rFonts w:ascii="Times New Roman" w:hAnsi="Times New Roman" w:cs="Times New Roman"/>
        </w:rPr>
      </w:pPr>
    </w:p>
    <w:sectPr w:rsidR="00EF11A3" w:rsidRPr="009F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99"/>
    <w:rsid w:val="005C7E5E"/>
    <w:rsid w:val="005E311E"/>
    <w:rsid w:val="00907AD3"/>
    <w:rsid w:val="00975899"/>
    <w:rsid w:val="009F42C8"/>
    <w:rsid w:val="00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277"/>
  <w15:chartTrackingRefBased/>
  <w15:docId w15:val="{668C309F-B6FA-499D-87C5-C1CE4AF9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1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42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539-6924.2008.01026.x" TargetMode="External"/><Relationship Id="rId13" Type="http://schemas.openxmlformats.org/officeDocument/2006/relationships/hyperlink" Target="https://doi.org/10.3389/ffgc.2021.769182" TargetMode="External"/><Relationship Id="rId18" Type="http://schemas.openxmlformats.org/officeDocument/2006/relationships/hyperlink" Target="https://doi.org/10.3389/fevo.2021.635857" TargetMode="External"/><Relationship Id="rId26" Type="http://schemas.openxmlformats.org/officeDocument/2006/relationships/hyperlink" Target="https://doi.org/10.1016/j.ocecoaman.2010.04.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16/j.ocecoaman.2011.11.004" TargetMode="External"/><Relationship Id="rId7" Type="http://schemas.openxmlformats.org/officeDocument/2006/relationships/hyperlink" Target="https://dx.doi.org/10.3389/fmars.2020.00160" TargetMode="External"/><Relationship Id="rId12" Type="http://schemas.openxmlformats.org/officeDocument/2006/relationships/hyperlink" Target="https://doi.org/10.1016/j.cliser.2020.100168" TargetMode="External"/><Relationship Id="rId17" Type="http://schemas.openxmlformats.org/officeDocument/2006/relationships/hyperlink" Target="https://doi.org/10.1111/1468-5973.12312" TargetMode="External"/><Relationship Id="rId25" Type="http://schemas.openxmlformats.org/officeDocument/2006/relationships/hyperlink" Target="https://doi.org/10.1080/08920753.2020.1754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ifacol.2020.12.1097" TargetMode="External"/><Relationship Id="rId20" Type="http://schemas.openxmlformats.org/officeDocument/2006/relationships/hyperlink" Target="https://doi.org/10.1016/j.ecolecon.2014.10.00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i.org/10.1016/j.marpol.2018.12.012" TargetMode="External"/><Relationship Id="rId11" Type="http://schemas.openxmlformats.org/officeDocument/2006/relationships/hyperlink" Target="https://doi.org/10.1016/j.ocecoaman.2015.07.001" TargetMode="External"/><Relationship Id="rId24" Type="http://schemas.openxmlformats.org/officeDocument/2006/relationships/hyperlink" Target="https://doi.org/10.1016/j.jenvman.2018.06.063" TargetMode="External"/><Relationship Id="rId5" Type="http://schemas.openxmlformats.org/officeDocument/2006/relationships/hyperlink" Target="https://doi.org/10.1093/icesjms/fst204" TargetMode="External"/><Relationship Id="rId15" Type="http://schemas.openxmlformats.org/officeDocument/2006/relationships/hyperlink" Target="https://doi.org/10.1016/j.ecoser.2022.101408" TargetMode="External"/><Relationship Id="rId23" Type="http://schemas.openxmlformats.org/officeDocument/2006/relationships/hyperlink" Target="https://doi.org/10.1016/j.envsci.2007.01.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16/j.jhydrol.2014.09.043" TargetMode="External"/><Relationship Id="rId19" Type="http://schemas.openxmlformats.org/officeDocument/2006/relationships/hyperlink" Target="https://doi.org/10.1016/j.envsoft.2017.09.003" TargetMode="External"/><Relationship Id="rId4" Type="http://schemas.openxmlformats.org/officeDocument/2006/relationships/hyperlink" Target="https://doi.org/10.1016/j.ecoser.2019.100975" TargetMode="External"/><Relationship Id="rId9" Type="http://schemas.openxmlformats.org/officeDocument/2006/relationships/hyperlink" Target="https://doi.org/10.1371/journal.pone.0176862" TargetMode="External"/><Relationship Id="rId14" Type="http://schemas.openxmlformats.org/officeDocument/2006/relationships/hyperlink" Target="https://doi.org/10.1051/lhb/2016057" TargetMode="External"/><Relationship Id="rId22" Type="http://schemas.openxmlformats.org/officeDocument/2006/relationships/hyperlink" Target="https://www.water-alternatives.org/index.php/alldoc/articles/vol10/v10issue3/376-a10-3-2/file" TargetMode="External"/><Relationship Id="rId27" Type="http://schemas.openxmlformats.org/officeDocument/2006/relationships/hyperlink" Target="https://doi.org/10.1016/j.marpol.2018.08.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Moullec</dc:creator>
  <cp:keywords/>
  <dc:description/>
  <cp:lastModifiedBy>Fabien Moullec</cp:lastModifiedBy>
  <cp:revision>2</cp:revision>
  <dcterms:created xsi:type="dcterms:W3CDTF">2023-01-12T10:32:00Z</dcterms:created>
  <dcterms:modified xsi:type="dcterms:W3CDTF">2023-01-12T16:13:00Z</dcterms:modified>
</cp:coreProperties>
</file>