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749" w:rsidRPr="00B37753" w:rsidRDefault="00535749" w:rsidP="00535749">
      <w:pPr>
        <w:pStyle w:val="Title"/>
        <w:spacing w:line="480" w:lineRule="auto"/>
        <w:rPr>
          <w:rFonts w:asciiTheme="minorHAnsi" w:hAnsiTheme="minorHAnsi" w:cstheme="minorHAnsi"/>
          <w:sz w:val="40"/>
          <w:szCs w:val="22"/>
        </w:rPr>
      </w:pPr>
      <w:r w:rsidRPr="00B37753">
        <w:rPr>
          <w:rFonts w:asciiTheme="minorHAnsi" w:hAnsiTheme="minorHAnsi" w:cstheme="minorHAnsi"/>
          <w:sz w:val="40"/>
          <w:szCs w:val="22"/>
        </w:rPr>
        <w:t>Subtropical coastal microbiome variations due to massive river run-off after a cyclonic event</w:t>
      </w:r>
    </w:p>
    <w:p w:rsidR="00535749" w:rsidRPr="00B37753" w:rsidRDefault="00535749" w:rsidP="00535749">
      <w:pPr>
        <w:spacing w:line="480" w:lineRule="auto"/>
        <w:jc w:val="both"/>
        <w:rPr>
          <w:rFonts w:cstheme="minorHAnsi"/>
          <w:b/>
          <w:lang w:eastAsia="fr-FR"/>
        </w:rPr>
      </w:pPr>
      <w:r w:rsidRPr="00B37753">
        <w:rPr>
          <w:rFonts w:cstheme="minorHAnsi"/>
          <w:b/>
          <w:lang w:eastAsia="fr-FR"/>
        </w:rPr>
        <w:t xml:space="preserve">Authors: </w:t>
      </w:r>
    </w:p>
    <w:p w:rsidR="00535749" w:rsidRPr="00B37753" w:rsidRDefault="00535749" w:rsidP="00535749">
      <w:pPr>
        <w:spacing w:line="480" w:lineRule="auto"/>
        <w:jc w:val="both"/>
        <w:rPr>
          <w:rFonts w:cstheme="minorHAnsi"/>
          <w:sz w:val="28"/>
          <w:vertAlign w:val="superscript"/>
        </w:rPr>
      </w:pPr>
      <w:r w:rsidRPr="00B37753">
        <w:rPr>
          <w:rFonts w:cstheme="minorHAnsi"/>
          <w:sz w:val="28"/>
        </w:rPr>
        <w:t>M.Meyneng</w:t>
      </w:r>
      <w:r w:rsidRPr="00B37753">
        <w:rPr>
          <w:rFonts w:cstheme="minorHAnsi"/>
          <w:sz w:val="28"/>
          <w:vertAlign w:val="superscript"/>
        </w:rPr>
        <w:t>1</w:t>
      </w:r>
      <w:r w:rsidRPr="00B37753">
        <w:rPr>
          <w:rFonts w:cstheme="minorHAnsi"/>
          <w:sz w:val="28"/>
        </w:rPr>
        <w:t>, H. Lemonnier</w:t>
      </w:r>
      <w:r w:rsidRPr="00B37753">
        <w:rPr>
          <w:rFonts w:cstheme="minorHAnsi"/>
          <w:sz w:val="28"/>
          <w:vertAlign w:val="superscript"/>
        </w:rPr>
        <w:t>2</w:t>
      </w:r>
      <w:r w:rsidRPr="00B37753">
        <w:rPr>
          <w:rFonts w:cstheme="minorHAnsi"/>
          <w:sz w:val="28"/>
        </w:rPr>
        <w:t>, R. Le Gendre</w:t>
      </w:r>
      <w:r w:rsidRPr="00B37753">
        <w:rPr>
          <w:rFonts w:cstheme="minorHAnsi"/>
          <w:sz w:val="28"/>
          <w:vertAlign w:val="superscript"/>
        </w:rPr>
        <w:t>2</w:t>
      </w:r>
      <w:r w:rsidRPr="00B37753">
        <w:rPr>
          <w:rFonts w:cstheme="minorHAnsi"/>
          <w:sz w:val="28"/>
        </w:rPr>
        <w:t>, G. Plougoulen</w:t>
      </w:r>
      <w:r w:rsidRPr="00B37753">
        <w:rPr>
          <w:rFonts w:cstheme="minorHAnsi"/>
          <w:sz w:val="28"/>
          <w:vertAlign w:val="superscript"/>
        </w:rPr>
        <w:t>2</w:t>
      </w:r>
      <w:r w:rsidRPr="00B37753">
        <w:rPr>
          <w:rFonts w:cstheme="minorHAnsi"/>
          <w:sz w:val="28"/>
        </w:rPr>
        <w:t>, F. Antypas</w:t>
      </w:r>
      <w:r w:rsidRPr="00B37753">
        <w:rPr>
          <w:rFonts w:cstheme="minorHAnsi"/>
          <w:sz w:val="28"/>
          <w:vertAlign w:val="superscript"/>
        </w:rPr>
        <w:t>2</w:t>
      </w:r>
      <w:r w:rsidRPr="00B37753">
        <w:rPr>
          <w:rFonts w:cstheme="minorHAnsi"/>
          <w:sz w:val="28"/>
        </w:rPr>
        <w:t>, D. Ansquer</w:t>
      </w:r>
      <w:r w:rsidRPr="00B37753">
        <w:rPr>
          <w:rFonts w:cstheme="minorHAnsi"/>
          <w:sz w:val="28"/>
          <w:vertAlign w:val="superscript"/>
        </w:rPr>
        <w:t>2</w:t>
      </w:r>
      <w:r w:rsidRPr="00B37753">
        <w:rPr>
          <w:rFonts w:cstheme="minorHAnsi"/>
          <w:sz w:val="28"/>
        </w:rPr>
        <w:t>, J. Serghine</w:t>
      </w:r>
      <w:r w:rsidRPr="00B37753">
        <w:rPr>
          <w:rFonts w:cstheme="minorHAnsi"/>
          <w:sz w:val="28"/>
          <w:vertAlign w:val="superscript"/>
        </w:rPr>
        <w:t>1</w:t>
      </w:r>
      <w:r w:rsidRPr="00B37753">
        <w:rPr>
          <w:rFonts w:cstheme="minorHAnsi"/>
          <w:sz w:val="28"/>
        </w:rPr>
        <w:t>, S. Schmitt</w:t>
      </w:r>
      <w:r w:rsidRPr="00B37753">
        <w:rPr>
          <w:rFonts w:cstheme="minorHAnsi"/>
          <w:sz w:val="28"/>
          <w:vertAlign w:val="superscript"/>
        </w:rPr>
        <w:t>1</w:t>
      </w:r>
      <w:r w:rsidRPr="00B37753">
        <w:rPr>
          <w:rFonts w:cstheme="minorHAnsi"/>
          <w:sz w:val="28"/>
        </w:rPr>
        <w:t>, R. Si</w:t>
      </w:r>
      <w:bookmarkStart w:id="0" w:name="_GoBack"/>
      <w:bookmarkEnd w:id="0"/>
      <w:r w:rsidRPr="00B37753">
        <w:rPr>
          <w:rFonts w:cstheme="minorHAnsi"/>
          <w:sz w:val="28"/>
        </w:rPr>
        <w:t>ano</w:t>
      </w:r>
      <w:r w:rsidRPr="00B37753">
        <w:rPr>
          <w:rFonts w:cstheme="minorHAnsi"/>
          <w:sz w:val="28"/>
          <w:vertAlign w:val="superscript"/>
        </w:rPr>
        <w:t>1</w:t>
      </w:r>
    </w:p>
    <w:p w:rsidR="00535749" w:rsidRPr="00B37753" w:rsidRDefault="00535749" w:rsidP="00535749">
      <w:pPr>
        <w:spacing w:line="480" w:lineRule="auto"/>
        <w:jc w:val="both"/>
        <w:rPr>
          <w:rFonts w:cstheme="minorHAnsi"/>
          <w:sz w:val="28"/>
          <w:lang w:val="en-US"/>
        </w:rPr>
      </w:pPr>
      <w:r w:rsidRPr="00B37753">
        <w:rPr>
          <w:rFonts w:cstheme="minorHAnsi"/>
          <w:sz w:val="28"/>
          <w:vertAlign w:val="superscript"/>
          <w:lang w:val="en-US"/>
        </w:rPr>
        <w:t xml:space="preserve">1 </w:t>
      </w:r>
      <w:r w:rsidRPr="00B37753">
        <w:rPr>
          <w:rFonts w:cstheme="minorHAnsi"/>
          <w:sz w:val="28"/>
          <w:lang w:val="en-US"/>
        </w:rPr>
        <w:t>IFREMER, DYNECO, BP70, Plouzané, France</w:t>
      </w:r>
    </w:p>
    <w:p w:rsidR="00535749" w:rsidRPr="00B37753" w:rsidRDefault="00535749" w:rsidP="00535749">
      <w:pPr>
        <w:spacing w:line="480" w:lineRule="auto"/>
        <w:jc w:val="both"/>
        <w:rPr>
          <w:rFonts w:cstheme="minorHAnsi"/>
          <w:sz w:val="28"/>
          <w:lang w:val="en-US"/>
        </w:rPr>
      </w:pPr>
      <w:r w:rsidRPr="00B37753">
        <w:rPr>
          <w:rFonts w:cstheme="minorHAnsi"/>
          <w:sz w:val="28"/>
          <w:vertAlign w:val="superscript"/>
          <w:lang w:val="en-US"/>
        </w:rPr>
        <w:t>2</w:t>
      </w:r>
      <w:r w:rsidRPr="00B37753">
        <w:rPr>
          <w:rFonts w:cstheme="minorHAnsi"/>
          <w:sz w:val="28"/>
          <w:lang w:val="en-US"/>
        </w:rPr>
        <w:t xml:space="preserve"> IFREMER, LEAD, BP2059, 98846 Nouméa, New Caledonia</w:t>
      </w:r>
    </w:p>
    <w:p w:rsidR="00535749" w:rsidRPr="00B37753" w:rsidRDefault="00535749" w:rsidP="00535749">
      <w:pPr>
        <w:spacing w:line="480" w:lineRule="auto"/>
        <w:jc w:val="both"/>
        <w:rPr>
          <w:rFonts w:cstheme="minorHAnsi"/>
          <w:b/>
          <w:lang w:val="en-US"/>
        </w:rPr>
      </w:pPr>
      <w:r w:rsidRPr="00B37753">
        <w:rPr>
          <w:rFonts w:cstheme="minorHAnsi"/>
          <w:b/>
          <w:lang w:val="en-US"/>
        </w:rPr>
        <w:t xml:space="preserve">Mail addresses: </w:t>
      </w:r>
    </w:p>
    <w:p w:rsidR="00535749" w:rsidRPr="00B37753" w:rsidRDefault="00535749" w:rsidP="00535749">
      <w:pPr>
        <w:spacing w:line="480" w:lineRule="auto"/>
        <w:jc w:val="both"/>
        <w:rPr>
          <w:rFonts w:cstheme="minorHAnsi"/>
          <w:sz w:val="28"/>
          <w:lang w:val="en-US"/>
        </w:rPr>
      </w:pPr>
      <w:r w:rsidRPr="00B37753">
        <w:rPr>
          <w:rFonts w:cstheme="minorHAnsi"/>
          <w:sz w:val="28"/>
          <w:lang w:val="en-US"/>
        </w:rPr>
        <w:t xml:space="preserve">Corresponding authors: </w:t>
      </w:r>
      <w:hyperlink r:id="rId6" w:history="1">
        <w:r w:rsidRPr="00B37753">
          <w:rPr>
            <w:rStyle w:val="Hyperlink"/>
            <w:rFonts w:cstheme="minorHAnsi"/>
            <w:color w:val="auto"/>
            <w:sz w:val="28"/>
            <w:lang w:val="en-US"/>
          </w:rPr>
          <w:t>raffaele.siano@ifremer.fr</w:t>
        </w:r>
      </w:hyperlink>
    </w:p>
    <w:p w:rsidR="00535749" w:rsidRPr="00B37753" w:rsidRDefault="00535749" w:rsidP="00535749">
      <w:pPr>
        <w:spacing w:line="480" w:lineRule="auto"/>
        <w:jc w:val="both"/>
        <w:rPr>
          <w:rFonts w:cstheme="minorHAnsi"/>
          <w:lang w:val="en-US"/>
        </w:rPr>
      </w:pPr>
    </w:p>
    <w:p w:rsidR="00535749" w:rsidRPr="00B37753" w:rsidRDefault="00535749" w:rsidP="00535749">
      <w:pPr>
        <w:spacing w:line="480" w:lineRule="auto"/>
        <w:jc w:val="both"/>
        <w:rPr>
          <w:rFonts w:cstheme="minorHAnsi"/>
          <w:lang w:val="en-US"/>
        </w:rPr>
      </w:pPr>
    </w:p>
    <w:p w:rsidR="00535749" w:rsidRPr="00B37753" w:rsidRDefault="00535749" w:rsidP="00535749">
      <w:pPr>
        <w:spacing w:line="480" w:lineRule="auto"/>
        <w:jc w:val="both"/>
        <w:rPr>
          <w:rFonts w:cstheme="minorHAnsi"/>
          <w:lang w:val="en-US"/>
        </w:rPr>
      </w:pPr>
    </w:p>
    <w:p w:rsidR="00535749" w:rsidRPr="00B37753" w:rsidRDefault="00535749" w:rsidP="00535749">
      <w:pPr>
        <w:spacing w:line="480" w:lineRule="auto"/>
        <w:jc w:val="both"/>
        <w:rPr>
          <w:rFonts w:cstheme="minorHAnsi"/>
          <w:lang w:val="en-US"/>
        </w:rPr>
      </w:pPr>
    </w:p>
    <w:p w:rsidR="00535749" w:rsidRPr="00B37753" w:rsidRDefault="00535749" w:rsidP="00535749">
      <w:pPr>
        <w:spacing w:line="480" w:lineRule="auto"/>
        <w:jc w:val="both"/>
        <w:rPr>
          <w:rFonts w:cstheme="minorHAnsi"/>
          <w:lang w:val="en-US"/>
        </w:rPr>
      </w:pPr>
    </w:p>
    <w:p w:rsidR="00535749" w:rsidRPr="00B37753" w:rsidRDefault="00535749" w:rsidP="00535749">
      <w:pPr>
        <w:spacing w:line="480" w:lineRule="auto"/>
        <w:jc w:val="both"/>
        <w:rPr>
          <w:rFonts w:cstheme="minorHAnsi"/>
          <w:lang w:val="en-US"/>
        </w:rPr>
      </w:pPr>
    </w:p>
    <w:p w:rsidR="00535749" w:rsidRPr="00B37753" w:rsidRDefault="00535749" w:rsidP="00535749">
      <w:pPr>
        <w:spacing w:line="480" w:lineRule="auto"/>
        <w:jc w:val="both"/>
        <w:rPr>
          <w:rFonts w:cstheme="minorHAnsi"/>
          <w:lang w:val="en-US"/>
        </w:rPr>
      </w:pPr>
    </w:p>
    <w:p w:rsidR="00535749" w:rsidRPr="00B37753" w:rsidRDefault="00535749" w:rsidP="00535749">
      <w:pPr>
        <w:spacing w:line="480" w:lineRule="auto"/>
        <w:jc w:val="both"/>
        <w:rPr>
          <w:rFonts w:cstheme="minorHAnsi"/>
          <w:lang w:val="en-US"/>
        </w:rPr>
      </w:pPr>
    </w:p>
    <w:p w:rsidR="00C90750" w:rsidRPr="00B37753" w:rsidRDefault="00C90750" w:rsidP="00535749">
      <w:pPr>
        <w:spacing w:line="480" w:lineRule="auto"/>
        <w:jc w:val="both"/>
        <w:rPr>
          <w:rFonts w:cstheme="minorHAnsi"/>
          <w:lang w:val="en-US"/>
        </w:rPr>
      </w:pPr>
    </w:p>
    <w:p w:rsidR="00C90750" w:rsidRPr="00B37753" w:rsidRDefault="00C90750" w:rsidP="00535749">
      <w:pPr>
        <w:spacing w:line="480" w:lineRule="auto"/>
        <w:jc w:val="both"/>
        <w:rPr>
          <w:rFonts w:cstheme="minorHAnsi"/>
          <w:lang w:val="en-US"/>
        </w:rPr>
      </w:pPr>
    </w:p>
    <w:p w:rsidR="00535749" w:rsidRPr="00B37753" w:rsidRDefault="00734826" w:rsidP="00535749">
      <w:pPr>
        <w:spacing w:line="480" w:lineRule="auto"/>
        <w:jc w:val="both"/>
        <w:rPr>
          <w:rFonts w:cstheme="minorHAnsi"/>
          <w:b/>
          <w:sz w:val="28"/>
          <w:lang w:val="en-US"/>
        </w:rPr>
      </w:pPr>
      <w:r w:rsidRPr="00B37753">
        <w:rPr>
          <w:rFonts w:cstheme="minorHAnsi"/>
          <w:b/>
          <w:sz w:val="28"/>
          <w:lang w:val="en-US"/>
        </w:rPr>
        <w:lastRenderedPageBreak/>
        <w:t>Additional file 1</w:t>
      </w:r>
    </w:p>
    <w:p w:rsidR="00734826" w:rsidRPr="00B37753" w:rsidRDefault="00734826" w:rsidP="00C90750">
      <w:pPr>
        <w:spacing w:after="0" w:line="480" w:lineRule="auto"/>
        <w:rPr>
          <w:rFonts w:cstheme="minorHAnsi"/>
          <w:b/>
          <w:lang w:val="en-US"/>
        </w:rPr>
      </w:pPr>
      <w:r w:rsidRPr="00B37753">
        <w:rPr>
          <w:rFonts w:cstheme="minorHAnsi"/>
          <w:b/>
          <w:lang w:val="en-US"/>
        </w:rPr>
        <w:t xml:space="preserve">Heterogeneity of the sampling area and the anthropogenic pressures  </w:t>
      </w:r>
    </w:p>
    <w:p w:rsidR="00734826" w:rsidRPr="00B37753" w:rsidRDefault="00734826" w:rsidP="00C90750">
      <w:pPr>
        <w:spacing w:after="0" w:line="480" w:lineRule="auto"/>
        <w:ind w:firstLine="708"/>
        <w:jc w:val="both"/>
        <w:rPr>
          <w:rFonts w:cstheme="minorHAnsi"/>
          <w:lang w:val="en-US"/>
        </w:rPr>
      </w:pPr>
      <w:r w:rsidRPr="00B37753">
        <w:rPr>
          <w:rFonts w:eastAsia="Calibri" w:cstheme="minorHAnsi"/>
          <w:lang w:val="en-US"/>
        </w:rPr>
        <w:t xml:space="preserve">Watersheds </w:t>
      </w:r>
      <w:r w:rsidRPr="00B37753">
        <w:rPr>
          <w:rFonts w:cstheme="minorHAnsi"/>
          <w:lang w:val="en-US"/>
        </w:rPr>
        <w:t>are exposed to various land uses that result in different types of anthropogenic pressures on estuaries and adjacent bays</w:t>
      </w:r>
      <w:r w:rsidRPr="00B37753">
        <w:rPr>
          <w:rStyle w:val="CommentReference"/>
          <w:rFonts w:cstheme="minorHAnsi"/>
          <w:sz w:val="22"/>
          <w:szCs w:val="22"/>
          <w:lang w:val="en-US" w:eastAsia="fr-FR"/>
        </w:rPr>
        <w:t xml:space="preserve">. </w:t>
      </w:r>
      <w:r w:rsidR="00635CAA" w:rsidRPr="00B37753">
        <w:rPr>
          <w:rStyle w:val="CommentReference"/>
          <w:rFonts w:cstheme="minorHAnsi"/>
          <w:sz w:val="22"/>
          <w:szCs w:val="22"/>
          <w:lang w:val="en-US" w:eastAsia="fr-FR"/>
        </w:rPr>
        <w:t>D</w:t>
      </w:r>
      <w:r w:rsidRPr="00B37753">
        <w:rPr>
          <w:rFonts w:cstheme="minorHAnsi"/>
          <w:lang w:val="en-US"/>
        </w:rPr>
        <w:t xml:space="preserve">umbéa </w:t>
      </w:r>
      <w:r w:rsidRPr="00B37753">
        <w:rPr>
          <w:rFonts w:eastAsia="Calibri" w:cstheme="minorHAnsi"/>
          <w:lang w:val="en-US"/>
        </w:rPr>
        <w:t>Bay</w:t>
      </w:r>
      <w:r w:rsidRPr="00B37753">
        <w:rPr>
          <w:rFonts w:cstheme="minorHAnsi"/>
          <w:lang w:val="en-US"/>
        </w:rPr>
        <w:t xml:space="preserve"> (DB) is under urbanization </w:t>
      </w:r>
      <w:r w:rsidRPr="00B37753">
        <w:rPr>
          <w:rFonts w:eastAsia="Calibri" w:cstheme="minorHAnsi"/>
          <w:lang w:val="en-US"/>
        </w:rPr>
        <w:t>pressure,</w:t>
      </w:r>
      <w:r w:rsidRPr="00B37753">
        <w:rPr>
          <w:rFonts w:cstheme="minorHAnsi"/>
          <w:lang w:val="en-US"/>
        </w:rPr>
        <w:t xml:space="preserve"> and the terrigenous influences of the Dumbéa River </w:t>
      </w:r>
      <w:r w:rsidRPr="00B37753">
        <w:rPr>
          <w:rFonts w:eastAsia="Calibri" w:cstheme="minorHAnsi"/>
          <w:lang w:val="en-US"/>
        </w:rPr>
        <w:t xml:space="preserve">are </w:t>
      </w:r>
      <w:r w:rsidRPr="00B37753">
        <w:rPr>
          <w:rFonts w:cstheme="minorHAnsi"/>
          <w:lang w:val="en-US"/>
        </w:rPr>
        <w:t xml:space="preserve">composed of five principal tributaries. </w:t>
      </w:r>
      <w:r w:rsidRPr="00B37753">
        <w:rPr>
          <w:rFonts w:eastAsia="Calibri" w:cstheme="minorHAnsi"/>
          <w:lang w:val="en-US"/>
        </w:rPr>
        <w:t xml:space="preserve">Grande </w:t>
      </w:r>
      <w:r w:rsidRPr="00B37753">
        <w:rPr>
          <w:rFonts w:cstheme="minorHAnsi"/>
          <w:lang w:val="en-US"/>
        </w:rPr>
        <w:t xml:space="preserve">Rade </w:t>
      </w:r>
      <w:r w:rsidRPr="00B37753">
        <w:rPr>
          <w:rFonts w:eastAsia="Calibri" w:cstheme="minorHAnsi"/>
          <w:lang w:val="en-US"/>
        </w:rPr>
        <w:t>Bay</w:t>
      </w:r>
      <w:r w:rsidRPr="00B37753">
        <w:rPr>
          <w:rFonts w:cstheme="minorHAnsi"/>
          <w:lang w:val="en-US"/>
        </w:rPr>
        <w:t xml:space="preserve"> (GR) is impacted by urbanization and industrial activities, especially by </w:t>
      </w:r>
      <w:r w:rsidRPr="00B37753">
        <w:rPr>
          <w:rFonts w:eastAsia="Calibri" w:cstheme="minorHAnsi"/>
          <w:lang w:val="en-US"/>
        </w:rPr>
        <w:t xml:space="preserve">the </w:t>
      </w:r>
      <w:r w:rsidRPr="00B37753">
        <w:rPr>
          <w:rFonts w:cstheme="minorHAnsi"/>
          <w:lang w:val="en-US"/>
        </w:rPr>
        <w:t xml:space="preserve">nickel metallurgic plant of the SLN (Société Le Nickel) industry. Despite </w:t>
      </w:r>
      <w:r w:rsidRPr="00B37753">
        <w:rPr>
          <w:rFonts w:eastAsia="Calibri" w:cstheme="minorHAnsi"/>
          <w:lang w:val="en-US"/>
        </w:rPr>
        <w:t xml:space="preserve">the </w:t>
      </w:r>
      <w:r w:rsidRPr="00B37753">
        <w:rPr>
          <w:rFonts w:cstheme="minorHAnsi"/>
          <w:lang w:val="en-US"/>
        </w:rPr>
        <w:t xml:space="preserve">recent installation of sewage treatment systems, Sainte Marie </w:t>
      </w:r>
      <w:r w:rsidRPr="00B37753">
        <w:rPr>
          <w:rFonts w:eastAsia="Calibri" w:cstheme="minorHAnsi"/>
          <w:lang w:val="en-US"/>
        </w:rPr>
        <w:t>Bay</w:t>
      </w:r>
      <w:r w:rsidRPr="00B37753">
        <w:rPr>
          <w:rFonts w:cstheme="minorHAnsi"/>
          <w:lang w:val="en-US"/>
        </w:rPr>
        <w:t xml:space="preserve"> (SM) is still submitted to domestic wastewater runoff from Nouméa town, together with Coulée </w:t>
      </w:r>
      <w:r w:rsidRPr="00B37753">
        <w:rPr>
          <w:rFonts w:eastAsia="Calibri" w:cstheme="minorHAnsi"/>
          <w:lang w:val="en-US"/>
        </w:rPr>
        <w:t>River</w:t>
      </w:r>
      <w:r w:rsidRPr="00B37753">
        <w:rPr>
          <w:rFonts w:cstheme="minorHAnsi"/>
          <w:lang w:val="en-US"/>
        </w:rPr>
        <w:t xml:space="preserve"> runoff </w:t>
      </w:r>
      <w:r w:rsidRPr="00B37753">
        <w:rPr>
          <w:rFonts w:cstheme="minorHAnsi"/>
        </w:rPr>
        <w:fldChar w:fldCharType="begin"/>
      </w:r>
      <w:r w:rsidRPr="00B37753">
        <w:rPr>
          <w:rFonts w:cstheme="minorHAnsi"/>
          <w:lang w:val="en-US"/>
        </w:rPr>
        <w:instrText xml:space="preserve"> ADDIN ZOTERO_ITEM CSL_CITATION {"citationID":"8p7d56DH","properties":{"formattedCitation":"[1]","plainCitation":"[1]","noteIndex":0},"citationItems":[{"id":"TeqPcKqL/jvBF447C","uris":["http://zotero.org/users/local/CQLamypH/items/NJRETHAZ"],"itemData":{"id":"jYfK1MgU/b9u3r7iC","type":"article-journal","abstract":"Open-cast mining for Ni, Cr and Co was conducted in the south-west part of New Caledonia during the 20th century. Abandoned mining and prospecting sites were severely affected by erosion, resulting in an increase in the load of terrigenous particles transported to the coral reef lagoon. This article assesses the impact of a typical small catchment area (La Coulée River, 85km2 watershed) on two bays (Boulari and Sainte Marie) located near Noumea, New Caledonia’s main city. This multi-disciplinary study combines geochemical, sedimentological, and hydrodynamic approaches. Ni and Cr concentrations contained in the geochemical matrix phase of the pelitic fraction were determined. The study of the geochemical signatures together with sedimentological data and 3D numerical simulations of the transport of non-settling particles throughout the lagoon demonstrated that terrigenous inputs from the Coulée River were mainly transported and deposited along the shoreline, reaching areas as distant as Sainte Marie Bay. Although quantitatively low (about 3% of the pelite mass of the bay sediments), the terrigenous inputs in Sainte Marie Bay originating from the Coulée River could be traced. The metal content in suspended matter was over 7000mgkg−1 for Ni and 4200mgkg−1 for Cr.","container-title":"Marine Pollution Bulletin","DOI":"10.1016/j.marpolbul.2005.09.010","ISSN":"0025-326X","issue":"3","journalAbbreviation":"Marine Pollution Bulletin","language":"en","page":"320-331","source":"ScienceDirect","title":"A combined modelling and geochemical study of the fate of terrigenous inputs from mixed natural and mining sources in a coral reef lagoon (New Caledonia)","volume":"52","author":[{"family":"Fernandez","given":"Jean-Michel"},{"family":"Ouillon","given":"Sylvain"},{"family":"Chevillon","given":"Christophe"},{"family":"Douillet","given":"Pascal"},{"family":"Fichez","given":"Renaud"},{"family":"Gendre","given":"Romain Le"}],"issued":{"date-parts":[["2006",3,1]]}}}],"schema":"https://github.com/citation-style-language/schema/raw/master/csl-citation.json"} </w:instrText>
      </w:r>
      <w:r w:rsidRPr="00B37753">
        <w:rPr>
          <w:rFonts w:cstheme="minorHAnsi"/>
        </w:rPr>
        <w:fldChar w:fldCharType="separate"/>
      </w:r>
      <w:r w:rsidRPr="00B37753">
        <w:rPr>
          <w:rFonts w:cstheme="minorHAnsi"/>
          <w:lang w:val="en-US"/>
        </w:rPr>
        <w:t>[1]</w:t>
      </w:r>
      <w:r w:rsidRPr="00B37753">
        <w:rPr>
          <w:rFonts w:cstheme="minorHAnsi"/>
        </w:rPr>
        <w:fldChar w:fldCharType="end"/>
      </w:r>
      <w:r w:rsidRPr="00B37753">
        <w:rPr>
          <w:rFonts w:cstheme="minorHAnsi"/>
          <w:lang w:val="en-US"/>
        </w:rPr>
        <w:t xml:space="preserve">. GR and SM bays are affected by eutrophication due to domestic effluents </w:t>
      </w:r>
      <w:r w:rsidRPr="00B37753">
        <w:rPr>
          <w:rFonts w:cstheme="minorHAnsi"/>
        </w:rPr>
        <w:fldChar w:fldCharType="begin"/>
      </w:r>
      <w:r w:rsidRPr="00B37753">
        <w:rPr>
          <w:rFonts w:cstheme="minorHAnsi"/>
          <w:lang w:val="en-US"/>
        </w:rPr>
        <w:instrText xml:space="preserve"> ADDIN ZOTERO_ITEM CSL_CITATION {"citationID":"KTCPXrzz","properties":{"formattedCitation":"[2]","plainCitation":"[2]","noteIndex":0},"citationItems":[{"id":"TeqPcKqL/4nmp0dXZ","uris":["http://zotero.org/users/local/CQLamypH/items/SVHWVSXF"],"itemData":{"id":99,"type":"article-journal","container-title":"Marine Pollution Bulletin","DOI":"10.1016/j.marpolbul.2010.06.021","ISSN":"0025326X","issue":"7-12","journalAbbreviation":"Marine Pollution Bulletin","language":"en","page":"309-322","source":"DOI.org (Crossref)","title":"Biogeochemical typology and temporal variability of lagoon waters in a coral reef ecosystem subject to terrigeneous and anthropogenic inputs (New Caledonia)","volume":"61","author":[{"family":"Fichez","given":"R."},{"family":"Chifflet","given":"S."},{"family":"Douillet","given":"P."},{"family":"Gérard","given":"P."},{"family":"Gutierrez","given":"F."},{"family":"Jouon","given":"A."},{"family":"Ouillon","given":"S."},{"family":"Grenz","given":"C."}],"issued":{"date-parts":[["2010"]]}}}],"schema":"https://github.com/citation-style-language/schema/raw/master/csl-citation.json"} </w:instrText>
      </w:r>
      <w:r w:rsidRPr="00B37753">
        <w:rPr>
          <w:rFonts w:cstheme="minorHAnsi"/>
        </w:rPr>
        <w:fldChar w:fldCharType="separate"/>
      </w:r>
      <w:r w:rsidRPr="00B37753">
        <w:rPr>
          <w:rFonts w:cstheme="minorHAnsi"/>
          <w:lang w:val="en-US"/>
        </w:rPr>
        <w:t>[2]</w:t>
      </w:r>
      <w:r w:rsidRPr="00B37753">
        <w:rPr>
          <w:rFonts w:cstheme="minorHAnsi"/>
        </w:rPr>
        <w:fldChar w:fldCharType="end"/>
      </w:r>
      <w:r w:rsidRPr="00B37753">
        <w:rPr>
          <w:rFonts w:cstheme="minorHAnsi"/>
          <w:lang w:val="en-US"/>
        </w:rPr>
        <w:t>. Boulari Bay receives inputs from the Coulée and Pirogue rivers.</w:t>
      </w:r>
      <w:r w:rsidRPr="00B37753">
        <w:rPr>
          <w:rFonts w:eastAsia="Calibri" w:cstheme="minorHAnsi"/>
          <w:lang w:val="en-US"/>
        </w:rPr>
        <w:t xml:space="preserve"> The</w:t>
      </w:r>
      <w:r w:rsidRPr="00B37753">
        <w:rPr>
          <w:rFonts w:cstheme="minorHAnsi"/>
          <w:lang w:val="en-US"/>
        </w:rPr>
        <w:t xml:space="preserve"> Coulée River, composed of the upstream Coulée source and its main tributary named Lembi, delivers </w:t>
      </w:r>
      <w:r w:rsidRPr="00B37753">
        <w:rPr>
          <w:rFonts w:eastAsia="Calibri" w:cstheme="minorHAnsi"/>
          <w:lang w:val="en-US"/>
        </w:rPr>
        <w:t xml:space="preserve">an </w:t>
      </w:r>
      <w:r w:rsidRPr="00B37753">
        <w:rPr>
          <w:rFonts w:cstheme="minorHAnsi"/>
          <w:lang w:val="en-US"/>
        </w:rPr>
        <w:t xml:space="preserve">important amount of lateritic material due to soil erosion impacted by mining </w:t>
      </w:r>
      <w:r w:rsidRPr="00B37753">
        <w:rPr>
          <w:rFonts w:cstheme="minorHAnsi"/>
          <w:lang w:val="en-GB"/>
        </w:rPr>
        <w:fldChar w:fldCharType="begin"/>
      </w:r>
      <w:r w:rsidRPr="00B37753">
        <w:rPr>
          <w:rFonts w:cstheme="minorHAnsi"/>
          <w:lang w:val="en-GB"/>
        </w:rPr>
        <w:instrText xml:space="preserve"> ADDIN ZOTERO_ITEM CSL_CITATION {"citationID":"chObu8k4","properties":{"formattedCitation":"[1, 3]","plainCitation":"[1, 3]","noteIndex":0},"citationItems":[{"id":"TeqPcKqL/jvBF447C","uris":["http://zotero.org/users/local/CQLamypH/items/NJRETHAZ"],"itemData":{"id":70,"type":"article-journal","abstract":"Open-cast mining for Ni, Cr and Co was conducted in the south-west part of New Caledonia during the 20th century. Abandoned mining and prospecting sites were severely affected by erosion, resulting in an increase in the load of terrigenous particles transported to the coral reef lagoon. This article assesses the impact of a typical small catchment area (La Coulée River, 85km2 watershed) on two bays (Boulari and Sainte Marie) located near Noumea, New Caledonia’s main city. This multi-disciplinary study combines geochemical, sedimentological, and hydrodynamic approaches. Ni and Cr concentrations contained in the geochemical matrix phase of the pelitic fraction were determined. The study of the geochemical signatures together with sedimentological data and 3D numerical simulations of the transport of non-settling particles throughout the lagoon demonstrated that terrigenous inputs from the Coulée River were mainly transported and deposited along the shoreline, reaching areas as distant as Sainte Marie Bay. Although quantitatively low (about 3% of the pelite mass of the bay sediments), the terrigenous inputs in Sainte Marie Bay originating from the Coulée River could be traced. The metal content in suspended matter was over 7000mgkg−1 for Ni and 4200mgkg−1 for Cr.","container-title":"Marine Pollution Bulletin","DOI":"10.1016/j.marpolbul.2005.09.010","ISSN":"0025-326X","issue":"3","journalAbbreviation":"Marine Pollution Bulletin","language":"en","page":"320-331","source":"ScienceDirect","title":"A combined modelling and geochemical study of the fate of terrigenous inputs from mixed natural and mining sources in a coral reef lagoon (New Caledonia)","volume":"52","author":[{"family":"Fernandez","given":"Jean-Michel"},{"family":"Ouillon","given":"Sylvain"},{"family":"Chevillon","given":"Christophe"},{"family":"Douillet","given":"Pascal"},{"family":"Fichez","given":"Renaud"},{"family":"Gendre","given":"Romain Le"}],"issued":{"date-parts":[["2006",3,1]]}}},{"id":"TeqPcKqL/VSco3RrX","uris":["http://zotero.org/users/local/CQLamypH/items/V8S8ND2B"],"itemData":{"id":547,"type":"article-journal","abstract":"The concentrations of nine elements (Ag, As, Cd, Co, Cr, Cu, Mn, Ni and Zn) were measured in the oyster Isognomon isognomon and the edible clam Gafrarium tumidum from different sites along the SW New Caledonian coast which is subjected to important chemical inputs due to intense land-based mining activities (New Caledonia is the third world producer of nickel). Results indicate that concentrations in the two organisms mirrored the geographical differences in contamination levels as established through element analyses in sediment. On the basis of organism analyses, two out of the seven investigated stations can be considered as relative “reference” sites, except for As, for which very high levels were detected in clam and oyster tissues (up to 441μgg−1drywt for clams). Overall, our results indicate that both tropical organisms investigated could be used as valuable bioindicator species for surveying metal contamination in the coastal waters of New Caledonia with reasonable perspectives of wider application to other coral reef environments.","container-title":"Ecotoxicology and Environmental Safety","DOI":"10.1016/j.ecoenv.2008.04.004","ISSN":"0147-6513","issue":"2","journalAbbreviation":"Ecotoxicology and Environmental Safety","language":"en","page":"372-381","source":"ScienceDirect","title":"Trends in concentrations of selected metalloid and metals in two bivalves from the coral reefs in the SW lagoon of New Caledonia","volume":"72","author":[{"family":"Hédouin","given":"L."},{"family":"Bustamante","given":"P."},{"family":"Churlaud","given":"C."},{"family":"Pringault","given":"O."},{"family":"Fichez","given":"R."},{"family":"Warnau","given":"M."}],"issued":{"date-parts":[["2009",2,1]]}}}],"schema":"https://github.com/citation-style-language/schema/raw/master/csl-citation.json"} </w:instrText>
      </w:r>
      <w:r w:rsidRPr="00B37753">
        <w:rPr>
          <w:rFonts w:cstheme="minorHAnsi"/>
          <w:lang w:val="en-GB"/>
        </w:rPr>
        <w:fldChar w:fldCharType="separate"/>
      </w:r>
      <w:r w:rsidRPr="00B37753">
        <w:rPr>
          <w:rFonts w:cstheme="minorHAnsi"/>
          <w:lang w:val="en-US"/>
        </w:rPr>
        <w:t>[1, 3]</w:t>
      </w:r>
      <w:r w:rsidRPr="00B37753">
        <w:rPr>
          <w:rFonts w:cstheme="minorHAnsi"/>
          <w:lang w:val="en-GB"/>
        </w:rPr>
        <w:fldChar w:fldCharType="end"/>
      </w:r>
      <w:r w:rsidRPr="00B37753">
        <w:rPr>
          <w:rFonts w:eastAsia="Calibri" w:cstheme="minorHAnsi"/>
          <w:lang w:val="en-US"/>
        </w:rPr>
        <w:t xml:space="preserve"> and</w:t>
      </w:r>
      <w:r w:rsidRPr="00B37753">
        <w:rPr>
          <w:rFonts w:cstheme="minorHAnsi"/>
          <w:lang w:val="en-US"/>
        </w:rPr>
        <w:t xml:space="preserve"> agricultural and urbanization activities. The Pirogue River is essentially impacted by the mining industry.</w:t>
      </w:r>
    </w:p>
    <w:p w:rsidR="00C90750" w:rsidRPr="00B37753" w:rsidRDefault="00C90750" w:rsidP="00734826">
      <w:pPr>
        <w:spacing w:after="0" w:line="480" w:lineRule="auto"/>
        <w:ind w:firstLine="708"/>
        <w:jc w:val="both"/>
        <w:rPr>
          <w:rFonts w:cstheme="minorHAnsi"/>
          <w:lang w:val="en-US"/>
        </w:rPr>
      </w:pPr>
    </w:p>
    <w:p w:rsidR="00084D6C" w:rsidRPr="00B37753" w:rsidRDefault="0082756E" w:rsidP="0082756E">
      <w:pPr>
        <w:spacing w:after="0" w:line="480" w:lineRule="auto"/>
        <w:jc w:val="both"/>
        <w:rPr>
          <w:rFonts w:cstheme="minorHAnsi"/>
          <w:b/>
          <w:lang w:val="en-US"/>
        </w:rPr>
      </w:pPr>
      <w:r w:rsidRPr="00B37753">
        <w:rPr>
          <w:rFonts w:cstheme="minorHAnsi"/>
          <w:b/>
          <w:lang w:val="en-US"/>
        </w:rPr>
        <w:t>Dissolved</w:t>
      </w:r>
      <w:r w:rsidR="00084D6C" w:rsidRPr="00B37753">
        <w:rPr>
          <w:rFonts w:cstheme="minorHAnsi"/>
          <w:b/>
          <w:lang w:val="en-US"/>
        </w:rPr>
        <w:t xml:space="preserve"> and particulate m</w:t>
      </w:r>
      <w:r w:rsidRPr="00B37753">
        <w:rPr>
          <w:rFonts w:cstheme="minorHAnsi"/>
          <w:b/>
          <w:lang w:val="en-US"/>
        </w:rPr>
        <w:t>atter analyses</w:t>
      </w:r>
    </w:p>
    <w:p w:rsidR="00084D6C" w:rsidRPr="00B37753" w:rsidRDefault="00084D6C" w:rsidP="00084D6C">
      <w:pPr>
        <w:spacing w:after="0" w:line="480" w:lineRule="auto"/>
        <w:ind w:firstLine="708"/>
        <w:jc w:val="both"/>
        <w:rPr>
          <w:rFonts w:cstheme="minorHAnsi"/>
          <w:lang w:val="en-US"/>
        </w:rPr>
      </w:pPr>
      <w:r w:rsidRPr="00B37753">
        <w:rPr>
          <w:rFonts w:cstheme="minorHAnsi"/>
          <w:lang w:val="en-US"/>
        </w:rPr>
        <w:t xml:space="preserve">For dissolved organic matter (DOM), water samples were filtered </w:t>
      </w:r>
      <w:r w:rsidRPr="00B37753">
        <w:rPr>
          <w:rFonts w:eastAsia="Calibri" w:cstheme="minorHAnsi"/>
          <w:lang w:val="en-US"/>
        </w:rPr>
        <w:t>through</w:t>
      </w:r>
      <w:r w:rsidRPr="00B37753">
        <w:rPr>
          <w:rFonts w:cstheme="minorHAnsi"/>
          <w:lang w:val="en-US"/>
        </w:rPr>
        <w:t xml:space="preserve"> 0.2 µm </w:t>
      </w:r>
      <w:r w:rsidRPr="00B37753">
        <w:rPr>
          <w:rFonts w:eastAsia="Calibri" w:cstheme="minorHAnsi"/>
          <w:lang w:val="en-US"/>
        </w:rPr>
        <w:t xml:space="preserve">filters </w:t>
      </w:r>
      <w:r w:rsidRPr="00B37753">
        <w:rPr>
          <w:rFonts w:cstheme="minorHAnsi"/>
          <w:lang w:val="en-US"/>
        </w:rPr>
        <w:t>with Whatman</w:t>
      </w:r>
      <w:r w:rsidRPr="00B37753">
        <w:rPr>
          <w:rFonts w:cstheme="minorHAnsi"/>
          <w:iCs/>
          <w:lang w:val="en-US"/>
        </w:rPr>
        <w:t>®</w:t>
      </w:r>
      <w:r w:rsidRPr="00B37753">
        <w:rPr>
          <w:rFonts w:cstheme="minorHAnsi"/>
          <w:lang w:val="en-US"/>
        </w:rPr>
        <w:t xml:space="preserve"> nucleopore filters. Absorbance spectra were measured from 250 to 700 nm in 10 cm pathlength quartz cells with a double beam Shimadzu UV-1800 spectrometer, with Milli-Q water as </w:t>
      </w:r>
      <w:r w:rsidRPr="00B37753">
        <w:rPr>
          <w:rFonts w:eastAsia="Calibri" w:cstheme="minorHAnsi"/>
          <w:lang w:val="en-US"/>
        </w:rPr>
        <w:t xml:space="preserve">a </w:t>
      </w:r>
      <w:r w:rsidRPr="00B37753">
        <w:rPr>
          <w:rFonts w:cstheme="minorHAnsi"/>
          <w:lang w:val="en-US"/>
        </w:rPr>
        <w:t>blank. The cell was rinsed three times between samples with HCl at 10% and three times with demineralized water. Absorbance at 350 nm (A</w:t>
      </w:r>
      <w:r w:rsidRPr="00B37753">
        <w:rPr>
          <w:rFonts w:cstheme="minorHAnsi"/>
          <w:vertAlign w:val="subscript"/>
          <w:lang w:val="en-US"/>
        </w:rPr>
        <w:t>350</w:t>
      </w:r>
      <w:r w:rsidRPr="00B37753">
        <w:rPr>
          <w:rFonts w:cstheme="minorHAnsi"/>
          <w:lang w:val="en-US"/>
        </w:rPr>
        <w:t xml:space="preserve">) was measured and converted into </w:t>
      </w:r>
      <w:r w:rsidRPr="00B37753">
        <w:rPr>
          <w:rFonts w:eastAsia="Calibri" w:cstheme="minorHAnsi"/>
          <w:lang w:val="en-US"/>
        </w:rPr>
        <w:t xml:space="preserve">the </w:t>
      </w:r>
      <w:r w:rsidRPr="00B37753">
        <w:rPr>
          <w:rFonts w:cstheme="minorHAnsi"/>
          <w:lang w:val="en-US"/>
        </w:rPr>
        <w:t>colored dissolved organic matter (CDOM) absorption coefficient (a</w:t>
      </w:r>
      <w:r w:rsidRPr="00B37753">
        <w:rPr>
          <w:rFonts w:cstheme="minorHAnsi"/>
          <w:vertAlign w:val="subscript"/>
          <w:lang w:val="en-US"/>
        </w:rPr>
        <w:t>350</w:t>
      </w:r>
      <w:r w:rsidRPr="00B37753">
        <w:rPr>
          <w:rFonts w:cstheme="minorHAnsi"/>
          <w:lang w:val="en-US"/>
        </w:rPr>
        <w:t xml:space="preserve">), a proxy of terrestrial input in water </w:t>
      </w:r>
      <w:r w:rsidRPr="00B37753">
        <w:rPr>
          <w:rFonts w:cstheme="minorHAnsi"/>
        </w:rPr>
        <w:fldChar w:fldCharType="begin"/>
      </w:r>
      <w:r w:rsidR="00D56F4F" w:rsidRPr="00B37753">
        <w:rPr>
          <w:rFonts w:cstheme="minorHAnsi"/>
          <w:lang w:val="en-US"/>
        </w:rPr>
        <w:instrText xml:space="preserve"> ADDIN ZOTERO_ITEM CSL_CITATION {"citationID":"AWuaMexX","properties":{"formattedCitation":"[4]","plainCitation":"[4]","noteIndex":0},"citationItems":[{"id":1803,"uris":["http://zotero.org/users/local/Tuo7XlWX/items/VAXJNHL4"],"itemData":{"id":1803,"type":"article-journal","container-title":"Frontiers in Earth Science","DOI":"10.3389/feart.2020.00054","ISSN":"2296-6463","journalAbbreviation":"Front. Earth Sci.","page":"54","source":"DOI.org (Crossref)","title":"Impact of Contrasted Weather Conditions on CDOM Absorption/Fluorescence and Biogeochemistry in the Eastern Lagoon of New Caledonia","volume":"8","author":[{"family":"Dupouy","given":"Cécile"},{"family":"Röttgers","given":"Rüdiger"},{"family":"Tedetti","given":"Marc"},{"family":"Frouin","given":"Robert"},{"family":"Lantoine","given":"François"},{"family":"Rodier","given":"Martine"},{"family":"Martias","given":"Chloe"},{"family":"Goutx","given":"Madeleine"}],"issued":{"date-parts":[["2020",3,20]]}}}],"schema":"https://github.com/citation-style-language/schema/raw/master/csl-citation.json"} </w:instrText>
      </w:r>
      <w:r w:rsidRPr="00B37753">
        <w:rPr>
          <w:rFonts w:cstheme="minorHAnsi"/>
        </w:rPr>
        <w:fldChar w:fldCharType="separate"/>
      </w:r>
      <w:r w:rsidR="00D56F4F" w:rsidRPr="00B37753">
        <w:rPr>
          <w:rFonts w:cstheme="minorHAnsi"/>
          <w:lang w:val="en-US"/>
        </w:rPr>
        <w:t>[4]</w:t>
      </w:r>
      <w:r w:rsidRPr="00B37753">
        <w:rPr>
          <w:rFonts w:cstheme="minorHAnsi"/>
        </w:rPr>
        <w:fldChar w:fldCharType="end"/>
      </w:r>
      <w:r w:rsidRPr="00B37753">
        <w:rPr>
          <w:rFonts w:cstheme="minorHAnsi"/>
          <w:lang w:val="en-US"/>
        </w:rPr>
        <w:t xml:space="preserve">. The quality of the OM was analyzed with </w:t>
      </w:r>
      <w:r w:rsidRPr="00B37753">
        <w:rPr>
          <w:rFonts w:eastAsia="Calibri" w:cstheme="minorHAnsi"/>
          <w:lang w:val="en-US"/>
        </w:rPr>
        <w:t xml:space="preserve">the </w:t>
      </w:r>
      <w:r w:rsidRPr="00B37753">
        <w:rPr>
          <w:rFonts w:cstheme="minorHAnsi"/>
          <w:lang w:val="en-US"/>
        </w:rPr>
        <w:t>spectral slope derived from a</w:t>
      </w:r>
      <w:r w:rsidRPr="00B37753">
        <w:rPr>
          <w:rFonts w:cstheme="minorHAnsi"/>
          <w:vertAlign w:val="subscript"/>
          <w:lang w:val="en-US"/>
        </w:rPr>
        <w:t>275</w:t>
      </w:r>
      <w:r w:rsidRPr="00B37753">
        <w:rPr>
          <w:rFonts w:cstheme="minorHAnsi"/>
          <w:lang w:val="en-US"/>
        </w:rPr>
        <w:t xml:space="preserve"> and a</w:t>
      </w:r>
      <w:r w:rsidRPr="00B37753">
        <w:rPr>
          <w:rFonts w:cstheme="minorHAnsi"/>
          <w:vertAlign w:val="subscript"/>
          <w:lang w:val="en-US"/>
        </w:rPr>
        <w:t>295</w:t>
      </w:r>
      <w:r w:rsidRPr="00B37753">
        <w:rPr>
          <w:rFonts w:cstheme="minorHAnsi"/>
          <w:lang w:val="en-US"/>
        </w:rPr>
        <w:t xml:space="preserve">. The resulting slope (S1) </w:t>
      </w:r>
      <w:r w:rsidRPr="00B37753">
        <w:rPr>
          <w:rFonts w:eastAsia="Calibri" w:cstheme="minorHAnsi"/>
          <w:lang w:val="en-US"/>
        </w:rPr>
        <w:t xml:space="preserve">indicated </w:t>
      </w:r>
      <w:r w:rsidRPr="00B37753">
        <w:rPr>
          <w:rFonts w:cstheme="minorHAnsi"/>
          <w:lang w:val="en-US"/>
        </w:rPr>
        <w:t xml:space="preserve">the origin, molecular weight and photochemical sensitivity of CDOM </w:t>
      </w:r>
      <w:r w:rsidRPr="00B37753">
        <w:rPr>
          <w:rFonts w:cstheme="minorHAnsi"/>
        </w:rPr>
        <w:fldChar w:fldCharType="begin"/>
      </w:r>
      <w:r w:rsidR="00D56F4F" w:rsidRPr="00B37753">
        <w:rPr>
          <w:rFonts w:cstheme="minorHAnsi"/>
          <w:lang w:val="en-US"/>
        </w:rPr>
        <w:instrText xml:space="preserve"> ADDIN ZOTERO_ITEM CSL_CITATION {"citationID":"fj83K9RD","properties":{"formattedCitation":"[5, 6]","plainCitation":"[5, 6]","noteIndex":0},"citationItems":[{"id":"TeqPcKqL/JbyDcdhR","uris":["http://zotero.org/users/local/CQLamypH/items/YREUG6M8"],"itemData":{"id":692,"type":"article-journal","abstract":"A new approach for parameterizing dissolved organic matter (DOM) ultraviolet-visible absorption spectra is presented. Two distinct spectral slope regions (275-295 nm and 350-400 nm) within log-transformed absorption spectra were used to compare DOM from contrasting water types, ranging from wetlands (Great Dismal Swamp and Suwannee River) to photobleached oceanic water (Atlantic Ocean). On the basis of DOM size-fractionation studies (ultrafiltration and gel filtration chromatography), the slope of the 275-295-nm region and the ratio of these slopes (SR; 275-295-nm slope : 350-400-nm slope) were related to DOM molecular weight (MW) and to photochemically induced shifts in MW. Dark aerobic microbial alteration of chromophoric DOM (CDOM) resulted in spectral slope changes opposite of those caused by photochemistry. Along an axial transect in the Delaware Estuary, large variations in SR were measured, probably due to mixing, photodegradation, and microbial alteration of CDOM as terrestrially derived DOM transited through the estuary. Further, SR varied by over a factor of 13 between DOM-rich wetland waters and Sargasso Sea surface waters. Currently, there is no consensus on a wavelength range for log-transformed absorption spectra. We propose that the 275-295-nm slope be routinely reported in future DOM studies, as it can be measured with high precision, it facilitates comparison among dissimilar water types including CDOM-rich wetland and CDOM-poor marine waters, and it appears to be a good proxy for DOM MW.","container-title":"Limnology and Oceanography","DOI":"10.4319/lo.2008.53.3.0955","ISSN":"1939-5590","issue":"3","language":"en","note":"_eprint: https://onlinelibrary.wiley.com/doi/pdf/10.4319/lo.2008.53.3.0955","page":"955-969","source":"Wiley Online Library","title":"Absorption spectral slopes and slope ratios as indicators of molecular weight, source, and photobleaching of chromophoric dissolved organic matter","volume":"53","author":[{"family":"Helms","given":"John R."},{"family":"Stubbins","given":"Aron"},{"family":"Ritchie","given":"Jason D."},{"family":"Minor","given":"Elizabeth C."},{"family":"Kieber","given":"David J."},{"family":"Mopper","given":"Kenneth"}],"issued":{"date-parts":[["2008"]]}}},{"id":"TeqPcKqL/ReBYN4VG","uris":["http://zotero.org/users/local/CQLamypH/items/7N9UHFEU"],"itemData":{"id":695,"type":"article-journal","abstract":"Advances in spectroscopic techniques have led to an increase in the use of optical properties (absorbance and fluorescence) to assess dissolved organic matter (DOM) composition and infer sources and processing. However, little information is available to assess the impact of biological and photolytic processing on the optical properties of original DOM source materials. Over a 3.5 month laboratory study, we measured changes in commonly used optical properties and indices in DOM leached from peat soil, plants, and algae following biological and photochemical degradation to determine whether they provide unique signatures that can be linked to original DOM source. Changes in individual optical parameters varied by source material and process, with biodegradation and photodegradation often causing values to shift in opposite directions. Although values for different source materials frequently overlapped, multivariate statistical analyses showed that unique optical signatures could be linked to original DOM source material, with 17 optical properties determined by discriminant analysis to be significant (p &lt; 0.05) in distinguishing between DOM source and environmental processing. These results demonstrate that inferring source material from optical properties is possible when parameters are evaluated in combination even after extensive biological and photochemical alteration.","container-title":"Limnology and Oceanography","DOI":"10.1002/lno.10270","ISSN":"1939-5590","issue":"3","language":"en","note":"_eprint: https://onlinelibrary.wiley.com/doi/pdf/10.1002/lno.10270","page":"1015-1032","source":"Wiley Online Library","title":"Optical properties of dissolved organic matter (DOM): Effects of biological and photolytic degradation","title-short":"Optical properties of dissolved organic matter (DOM)","volume":"61","author":[{"family":"Hansen","given":"Angela M."},{"family":"Kraus","given":"Tamara E. C."},{"family":"Pellerin","given":"Brian A."},{"family":"Fleck","given":"Jacob A."},{"family":"Downing","given":"Bryan D."},{"family":"Bergamaschi","given":"Brian A."}],"issued":{"date-parts":[["2016"]]}}}],"schema":"https://github.com/citation-style-language/schema/raw/master/csl-citation.json"} </w:instrText>
      </w:r>
      <w:r w:rsidRPr="00B37753">
        <w:rPr>
          <w:rFonts w:cstheme="minorHAnsi"/>
        </w:rPr>
        <w:fldChar w:fldCharType="separate"/>
      </w:r>
      <w:r w:rsidR="00D56F4F" w:rsidRPr="00B37753">
        <w:rPr>
          <w:rFonts w:cstheme="minorHAnsi"/>
          <w:lang w:val="en-US"/>
        </w:rPr>
        <w:t>[5, 6]</w:t>
      </w:r>
      <w:r w:rsidRPr="00B37753">
        <w:rPr>
          <w:rFonts w:cstheme="minorHAnsi"/>
        </w:rPr>
        <w:fldChar w:fldCharType="end"/>
      </w:r>
      <w:r w:rsidRPr="00B37753">
        <w:rPr>
          <w:rFonts w:cstheme="minorHAnsi"/>
          <w:lang w:val="en-US"/>
        </w:rPr>
        <w:t xml:space="preserve">. High-resolution fluorescence spectroscopy was used to characterize the origin and composition of DOM </w:t>
      </w:r>
      <w:r w:rsidRPr="00B37753">
        <w:rPr>
          <w:rFonts w:cstheme="minorHAnsi"/>
        </w:rPr>
        <w:fldChar w:fldCharType="begin"/>
      </w:r>
      <w:r w:rsidR="00D56F4F" w:rsidRPr="00B37753">
        <w:rPr>
          <w:rFonts w:cstheme="minorHAnsi"/>
          <w:lang w:val="en-US"/>
        </w:rPr>
        <w:instrText xml:space="preserve"> ADDIN ZOTERO_ITEM CSL_CITATION {"citationID":"hL8R3BrK","properties":{"formattedCitation":"[7]","plainCitation":"[7]","noteIndex":0},"citationItems":[{"id":1770,"uris":["http://zotero.org/users/local/Tuo7XlWX/items/6JYQJAE3"],"itemData":{"id":1770,"type":"article-journal","abstract":"High-resolution fluorescence spectroscopy was used to characterize dissolved organic matter (DOM) in concentrated and unconcentrated water samples from a wide variety of freshwater, coastal and marine environments. Several types of fluorescent signals were observed, including humic-like, tyrosine-like, and tryptophan-like. Humic-like fluorescence consisted of two peaks, one stimulated by UV excitation (peak A) and one by visible excitation (peak C). For all samples, the positions of both excitation and emission maxima for peak C were dependent upon wavelength of observation, with a shift towards longer wavelength emission maximum at longer excitation wavelength and longer wavelength excitation maximum at longer emission wavelength. A trend was observed in the position of wavelength-independent maximum fluorescence (ExmaxEmmax) for peak C, with maximum at shorter excitation and emission wavelengths for marine samples than for freshwater samples. Mean positions of these maxima were: rivers ExmaxEmmax = 340448 nm; coastal water ExmaxEmmax = 342442 nm; marine shallow transitional ExmaxEmmax = 310423 nm; marine shallow eutrophic ExmaxEmmax = 299389 nm; and marine deep ExmaxEmmax = 340438 nm. Differences suggest that the humic material in marine surface waters is chemically different from humic material in the other environments sampled. These results explain previous conflicting reports regarding fluorescence properties of DOM from natural waters and also provide a means of distinguishing between water mass sources in the ocean.","container-title":"Marine Chemistry","DOI":"10.1016/0304-4203(95)00062-3","ISSN":"0304-4203","issue":"4","journalAbbreviation":"Marine Chemistry","language":"en","page":"325-346","source":"ScienceDirect","title":"Characterization of marine and terrestrial DOM in seawater using excitation-emission matrix spectroscopy","volume":"51","author":[{"family":"Coble","given":"Paula G."}],"issued":{"date-parts":[["1996",1,1]]}}}],"schema":"https://github.com/citation-style-language/schema/raw/master/csl-citation.json"} </w:instrText>
      </w:r>
      <w:r w:rsidRPr="00B37753">
        <w:rPr>
          <w:rFonts w:cstheme="minorHAnsi"/>
        </w:rPr>
        <w:fldChar w:fldCharType="separate"/>
      </w:r>
      <w:r w:rsidR="00D56F4F" w:rsidRPr="00B37753">
        <w:rPr>
          <w:rFonts w:cstheme="minorHAnsi"/>
          <w:lang w:val="en-US"/>
        </w:rPr>
        <w:t>[7]</w:t>
      </w:r>
      <w:r w:rsidRPr="00B37753">
        <w:rPr>
          <w:rFonts w:cstheme="minorHAnsi"/>
        </w:rPr>
        <w:fldChar w:fldCharType="end"/>
      </w:r>
      <w:r w:rsidRPr="00B37753">
        <w:rPr>
          <w:rFonts w:cstheme="minorHAnsi"/>
          <w:lang w:val="en-US"/>
        </w:rPr>
        <w:t xml:space="preserve">. The excitation emission matrices of fluorescence (FDOM) were </w:t>
      </w:r>
      <w:r w:rsidRPr="00B37753">
        <w:rPr>
          <w:rFonts w:eastAsia="Calibri" w:cstheme="minorHAnsi"/>
          <w:lang w:val="en-US"/>
        </w:rPr>
        <w:t>determined</w:t>
      </w:r>
      <w:r w:rsidRPr="00B37753">
        <w:rPr>
          <w:rFonts w:cstheme="minorHAnsi"/>
          <w:lang w:val="en-US"/>
        </w:rPr>
        <w:t xml:space="preserve"> using a Perkin Elmer LS55B from 200 to 500 nm and 280 to 550 nm for excitation and emission</w:t>
      </w:r>
      <w:r w:rsidRPr="00B37753">
        <w:rPr>
          <w:rFonts w:eastAsia="Calibri" w:cstheme="minorHAnsi"/>
          <w:lang w:val="en-US"/>
        </w:rPr>
        <w:t>,</w:t>
      </w:r>
      <w:r w:rsidRPr="00B37753">
        <w:rPr>
          <w:rFonts w:cstheme="minorHAnsi"/>
          <w:lang w:val="en-US"/>
        </w:rPr>
        <w:t xml:space="preserve"> respectively</w:t>
      </w:r>
      <w:r w:rsidRPr="00B37753">
        <w:rPr>
          <w:rFonts w:eastAsia="Calibri" w:cstheme="minorHAnsi"/>
          <w:lang w:val="en-US"/>
        </w:rPr>
        <w:t>,</w:t>
      </w:r>
      <w:r w:rsidRPr="00B37753">
        <w:rPr>
          <w:rFonts w:cstheme="minorHAnsi"/>
          <w:lang w:val="en-US"/>
        </w:rPr>
        <w:t xml:space="preserve"> using a 1 cm path </w:t>
      </w:r>
      <w:r w:rsidRPr="00B37753">
        <w:rPr>
          <w:rFonts w:cstheme="minorHAnsi"/>
          <w:lang w:val="en-US"/>
        </w:rPr>
        <w:lastRenderedPageBreak/>
        <w:t xml:space="preserve">length flow cell (more detailed in </w:t>
      </w:r>
      <w:r w:rsidRPr="00B37753">
        <w:rPr>
          <w:rFonts w:cstheme="minorHAnsi"/>
        </w:rPr>
        <w:fldChar w:fldCharType="begin"/>
      </w:r>
      <w:r w:rsidR="00D56F4F" w:rsidRPr="00B37753">
        <w:rPr>
          <w:rFonts w:cstheme="minorHAnsi"/>
          <w:lang w:val="en-US"/>
        </w:rPr>
        <w:instrText xml:space="preserve"> ADDIN ZOTERO_ITEM CSL_CITATION {"citationID":"rk6iwUPK","properties":{"formattedCitation":"[4]","plainCitation":"[4]","noteIndex":0},"citationItems":[{"id":1803,"uris":["http://zotero.org/users/local/Tuo7XlWX/items/VAXJNHL4"],"itemData":{"id":1803,"type":"article-journal","container-title":"Frontiers in Earth Science","DOI":"10.3389/feart.2020.00054","ISSN":"2296-6463","journalAbbreviation":"Front. Earth Sci.","page":"54","source":"DOI.org (Crossref)","title":"Impact of Contrasted Weather Conditions on CDOM Absorption/Fluorescence and Biogeochemistry in the Eastern Lagoon of New Caledonia","volume":"8","author":[{"family":"Dupouy","given":"Cécile"},{"family":"Röttgers","given":"Rüdiger"},{"family":"Tedetti","given":"Marc"},{"family":"Frouin","given":"Robert"},{"family":"Lantoine","given":"François"},{"family":"Rodier","given":"Martine"},{"family":"Martias","given":"Chloe"},{"family":"Goutx","given":"Madeleine"}],"issued":{"date-parts":[["2020",3,20]]}}}],"schema":"https://github.com/citation-style-language/schema/raw/master/csl-citation.json"} </w:instrText>
      </w:r>
      <w:r w:rsidRPr="00B37753">
        <w:rPr>
          <w:rFonts w:cstheme="minorHAnsi"/>
        </w:rPr>
        <w:fldChar w:fldCharType="separate"/>
      </w:r>
      <w:r w:rsidR="00D56F4F" w:rsidRPr="00B37753">
        <w:rPr>
          <w:rFonts w:cstheme="minorHAnsi"/>
          <w:lang w:val="en-US"/>
        </w:rPr>
        <w:t>[4]</w:t>
      </w:r>
      <w:r w:rsidRPr="00B37753">
        <w:rPr>
          <w:rFonts w:cstheme="minorHAnsi"/>
        </w:rPr>
        <w:fldChar w:fldCharType="end"/>
      </w:r>
      <w:r w:rsidRPr="00B37753">
        <w:rPr>
          <w:rFonts w:cstheme="minorHAnsi"/>
          <w:lang w:val="en-US"/>
        </w:rPr>
        <w:t xml:space="preserve">). The index of humification (HIX) and the autotrophic productivity (BIX) were calculated with </w:t>
      </w:r>
      <w:r w:rsidRPr="00B37753">
        <w:rPr>
          <w:rFonts w:eastAsia="Calibri" w:cstheme="minorHAnsi"/>
          <w:lang w:val="en-US"/>
        </w:rPr>
        <w:t xml:space="preserve">the </w:t>
      </w:r>
      <w:r w:rsidRPr="00B37753">
        <w:rPr>
          <w:rFonts w:cstheme="minorHAnsi"/>
          <w:lang w:val="en-US"/>
        </w:rPr>
        <w:t xml:space="preserve">fluorescence properties of CDOM </w:t>
      </w:r>
      <w:r w:rsidRPr="00B37753">
        <w:rPr>
          <w:rFonts w:cstheme="minorHAnsi"/>
        </w:rPr>
        <w:fldChar w:fldCharType="begin"/>
      </w:r>
      <w:r w:rsidR="00D56F4F" w:rsidRPr="00B37753">
        <w:rPr>
          <w:rFonts w:cstheme="minorHAnsi"/>
          <w:lang w:val="en-US"/>
        </w:rPr>
        <w:instrText xml:space="preserve"> ADDIN ZOTERO_ITEM CSL_CITATION {"citationID":"EdMWoUE1","properties":{"formattedCitation":"[8, 9]","plainCitation":"[8, 9]","noteIndex":0},"citationItems":[{"id":673,"uris":["http://zotero.org/users/local/Tuo7XlWX/items/289ET5YV"],"itemData":{"id":673,"type":"article-journal","abstract":"The isolation, characterization and study of the properties of aquatic dissolved organic matter (DOM) still represent a challenge because of the heterogeneity, complexity and low concentration of organic material in natural waters. Based on its ability to interact with contaminants and thus to modify their transport and bioavailability, DOM is of interest for environmental purposes. The objective of this work was to better characterize DOM in the Gironde Estuary (southwestern France). The estuary represents an exchange zone between the continent and the Atlantic Ocean and conditions the transfer of organic and inorganic substances from the continental to the oceanic environment. Several samples were collected along the estuary during three cruises in 2002 and 2006. They were analysed using excitation–emission matrix (EEM) spectroscopy, a sensitive technique that allows direct analysis of water samples. Fluorescent DOM and dissolved organic carbon (DOC) did not behave conservatively in this estuarine system, i.e. the organic material did not undergo simple dilution from the upstream to the downstream part of the estuary. A seasonal variability in DOC content was pointed out, whereas few seasonal variations in DOM fluorescence were observed. DOM sources and processing in the estuary were further evaluated by determining two fluorescence indices – the humification index (HIX) and the index of recent autochthonous contribution (BIX). By applying these indices, the relative degree of humification (HIX) and autotrophic productivity (BIX) could be assessed. Based on the fluorescence and DOC results, the estuary was divided into three zones depending on salinity (S) and characterized by specific DOM: (i) A turbid zone of low salinity (S&lt;5) and high suspended particulate matter concentration with increase in the intensities of the α′ and α fluorophores, characteristic of humic-like compounds. (ii) A mid-estuarine zone (5&lt;S&lt;25) characterized by low autotrophic productivity and containing strongly degraded organic material, as shown by the low values of BIX and high values of HIX. (iii) A higher salinity area (S&gt;25) characterized by increased autotrophic productivity and a marked marine influence, and associated with high and low values of BIX and HIX, respectively. The HIX and BIX indices were shown as useful tools for readily defining and classifying DOM characteristics in estuarine waters.","container-title":"Organic Geochemistry","DOI":"10.1016/j.orggeochem.2009.03.002","ISSN":"0146-6380","issue":"6","journalAbbreviation":"Organic Geochemistry","language":"en","note":"number: 6","page":"706-719","source":"ScienceDirect","title":"Properties of fluorescent dissolved organic matter in the Gironde Estuary","volume":"40","author":[{"family":"Huguet","given":"A."},{"family":"Vacher","given":"L."},{"family":"Relexans","given":"S."},{"family":"Saubusse","given":"S."},{"family":"Froidefond","given":"J. M."},{"family":"Parlanti","given":"E."}],"issued":{"date-parts":[["2009",6,1]]}}},{"id":675,"uris":["http://zotero.org/users/local/Tuo7XlWX/items/A7255T39"],"itemData":{"id":675,"type":"article-journal","abstract":"The relative fluorescence, normalised on dissolved organic carbon (DOC), and a humification index, based on the location of the fluorescence emission spectra, were used to investigate the possible sources of the increase in dissolved organic matter (DOM) when a soil is dried. From these 2 parameters it could be seen that air drying resulted in a minor increase of more humified material in DOM while the effect of oven drying was mainly due to cell lysis.","container-title":"Chemosphere","DOI":"10.1016/S0045-6535(98)00166-0","ISSN":"0045-6535","issue":"1","journalAbbreviation":"Chemosphere","language":"en","note":"number: 1","page":"45-50","source":"ScienceDirect","title":"Differentiating with fluorescence spectroscopy the sources of dissolved organic matter in soils subjected to drying","volume":"38","author":[{"family":"Zsolnay","given":"Adam"},{"family":"Baigar","given":"Erik"},{"family":"Jimenez","given":"Miguel"},{"family":"Steinweg","given":"Bernd"},{"family":"Saccomandi","given":"Flavia"}],"issued":{"date-parts":[["1999",1,1]]}}}],"schema":"https://github.com/citation-style-language/schema/raw/master/csl-citation.json"} </w:instrText>
      </w:r>
      <w:r w:rsidRPr="00B37753">
        <w:rPr>
          <w:rFonts w:cstheme="minorHAnsi"/>
        </w:rPr>
        <w:fldChar w:fldCharType="separate"/>
      </w:r>
      <w:r w:rsidR="00D56F4F" w:rsidRPr="00B37753">
        <w:rPr>
          <w:rFonts w:cstheme="minorHAnsi"/>
          <w:lang w:val="en-US"/>
        </w:rPr>
        <w:t>[8, 9]</w:t>
      </w:r>
      <w:r w:rsidRPr="00B37753">
        <w:rPr>
          <w:rFonts w:cstheme="minorHAnsi"/>
        </w:rPr>
        <w:fldChar w:fldCharType="end"/>
      </w:r>
      <w:r w:rsidRPr="00B37753">
        <w:rPr>
          <w:rFonts w:cstheme="minorHAnsi"/>
          <w:lang w:val="en-US"/>
        </w:rPr>
        <w:t xml:space="preserve">. </w:t>
      </w:r>
    </w:p>
    <w:p w:rsidR="00C90750" w:rsidRPr="00B37753" w:rsidRDefault="00084D6C" w:rsidP="00D56F4F">
      <w:pPr>
        <w:spacing w:after="0" w:line="480" w:lineRule="auto"/>
        <w:ind w:firstLine="708"/>
        <w:jc w:val="both"/>
        <w:rPr>
          <w:lang w:val="en-US"/>
        </w:rPr>
      </w:pPr>
      <w:r w:rsidRPr="00B37753">
        <w:rPr>
          <w:rFonts w:cstheme="minorHAnsi"/>
          <w:lang w:val="en-US"/>
        </w:rPr>
        <w:t xml:space="preserve">For </w:t>
      </w:r>
      <w:r w:rsidRPr="00B37753">
        <w:rPr>
          <w:rFonts w:eastAsia="Calibri" w:cstheme="minorHAnsi"/>
          <w:lang w:val="en-US"/>
        </w:rPr>
        <w:t>particulate organic matter</w:t>
      </w:r>
      <w:r w:rsidRPr="00B37753">
        <w:rPr>
          <w:rFonts w:cstheme="minorHAnsi"/>
          <w:lang w:val="en-US"/>
        </w:rPr>
        <w:t xml:space="preserve"> (POM) analyses, between 1 and 3 L of water samples were filtered </w:t>
      </w:r>
      <w:r w:rsidRPr="00B37753">
        <w:rPr>
          <w:rFonts w:eastAsia="Calibri" w:cstheme="minorHAnsi"/>
          <w:lang w:val="en-US"/>
        </w:rPr>
        <w:t>through a</w:t>
      </w:r>
      <w:r w:rsidRPr="00B37753">
        <w:rPr>
          <w:rFonts w:cstheme="minorHAnsi"/>
          <w:lang w:val="en-US"/>
        </w:rPr>
        <w:t xml:space="preserve"> 0.45 µm cellulose acetate Millipore filter (Merck Millipore, Billerca, MA, USA), depending on the turbidity of the water column. Extraction was </w:t>
      </w:r>
      <w:r w:rsidRPr="00B37753">
        <w:rPr>
          <w:rFonts w:eastAsia="Calibri" w:cstheme="minorHAnsi"/>
          <w:lang w:val="en-US"/>
        </w:rPr>
        <w:t>performed</w:t>
      </w:r>
      <w:r w:rsidRPr="00B37753">
        <w:rPr>
          <w:rFonts w:cstheme="minorHAnsi"/>
          <w:lang w:val="en-US"/>
        </w:rPr>
        <w:t xml:space="preserve"> by mineralization at 100 °C for </w:t>
      </w:r>
      <w:r w:rsidRPr="00B37753">
        <w:rPr>
          <w:rFonts w:eastAsia="Calibri" w:cstheme="minorHAnsi"/>
          <w:lang w:val="en-US"/>
        </w:rPr>
        <w:t>4 h</w:t>
      </w:r>
      <w:r w:rsidRPr="00B37753">
        <w:rPr>
          <w:rFonts w:cstheme="minorHAnsi"/>
          <w:lang w:val="en-US"/>
        </w:rPr>
        <w:t xml:space="preserve"> after</w:t>
      </w:r>
      <w:r w:rsidRPr="00B37753">
        <w:rPr>
          <w:rFonts w:eastAsia="Calibri" w:cstheme="minorHAnsi"/>
          <w:lang w:val="en-US"/>
        </w:rPr>
        <w:t xml:space="preserve"> the</w:t>
      </w:r>
      <w:r w:rsidRPr="00B37753">
        <w:rPr>
          <w:rFonts w:cstheme="minorHAnsi"/>
          <w:lang w:val="en-US"/>
        </w:rPr>
        <w:t xml:space="preserve"> addition of 6 mL ultrapure 37% HCl and </w:t>
      </w:r>
      <w:r w:rsidRPr="00B37753">
        <w:rPr>
          <w:rFonts w:eastAsia="Calibri" w:cstheme="minorHAnsi"/>
          <w:lang w:val="en-US"/>
        </w:rPr>
        <w:t>2 mL</w:t>
      </w:r>
      <w:r w:rsidRPr="00B37753">
        <w:rPr>
          <w:rFonts w:cstheme="minorHAnsi"/>
          <w:lang w:val="en-US"/>
        </w:rPr>
        <w:t xml:space="preserve"> nitric acid. Particulate </w:t>
      </w:r>
      <w:r w:rsidRPr="00B37753">
        <w:rPr>
          <w:rFonts w:eastAsia="Calibri" w:cstheme="minorHAnsi"/>
          <w:lang w:val="en-US"/>
        </w:rPr>
        <w:t>concentrations of nickel (Ni), cobalt (Co), manganese (Mn), iron (Fe), chromium (Cr), copper (Cu) and zinc</w:t>
      </w:r>
      <w:r w:rsidRPr="00B37753">
        <w:rPr>
          <w:rFonts w:cstheme="minorHAnsi"/>
          <w:lang w:val="en-US"/>
        </w:rPr>
        <w:t xml:space="preserve"> (Zn) were measured by inductively coupled plasma spectrometry (ICP‒OES Varian 730-ES). </w:t>
      </w:r>
      <w:r w:rsidR="005B6A0F" w:rsidRPr="00B37753">
        <w:rPr>
          <w:lang w:val="en-US"/>
        </w:rPr>
        <w:t xml:space="preserve">The </w:t>
      </w:r>
      <w:r w:rsidR="005B6A0F" w:rsidRPr="00B37753">
        <w:rPr>
          <w:rFonts w:ascii="Calibri" w:eastAsia="Calibri" w:hAnsi="Calibri" w:cs="Times New Roman"/>
          <w:lang w:val="en-US"/>
        </w:rPr>
        <w:t>particulate organic carbon</w:t>
      </w:r>
      <w:r w:rsidR="005B6A0F" w:rsidRPr="00B37753">
        <w:rPr>
          <w:lang w:val="en-US"/>
        </w:rPr>
        <w:t xml:space="preserve"> (POC) concentration was determined by filtering onto a combusted Whatman GF/F filter and after its decarbonatation with 37% fuming HCl on a SERCON integra 13C15N analyzer </w:t>
      </w:r>
      <w:r w:rsidR="005B6A0F" w:rsidRPr="00B37753">
        <w:rPr>
          <w:lang w:val="en-US"/>
        </w:rPr>
        <w:fldChar w:fldCharType="begin"/>
      </w:r>
      <w:r w:rsidR="005B6A0F" w:rsidRPr="00B37753">
        <w:rPr>
          <w:lang w:val="en-US"/>
        </w:rPr>
        <w:instrText xml:space="preserve"> ADDIN ZOTERO_ITEM CSL_CITATION {"citationID":"JKDoA76L","properties":{"formattedCitation":"[10]","plainCitation":"[10]","noteIndex":0},"citationItems":[{"id":2116,"uris":["http://zotero.org/users/local/Tuo7XlWX/items/9N2IGX7P"],"itemData":{"id":2116,"type":"article-journal","abstract":"Two methods are described for determination of organic carbon, inorganic carbon, and total nitrogen in sediments, sediment trap materials, and plankton. Both methods discriminate organic and inorganic carbon by acidification, avoid losses of acid-soluble organic and inorganic matter, and utilize an automated CHN analyzer for all elemental determinations. Short-term precisions for organic carbon and total nitrogen are about ± 1% of the measured value with blank levels &lt; 1.5 µg for each element.","container-title":"Limnology and Oceanography","DOI":"10.4319/lo.1984.29.3.0657","ISSN":"1939-5590","issue":"3","language":"en","license":"© 1984, by the Association for the Sciences of Limnology and Oceanography, Inc.","note":"_eprint: https://onlinelibrary.wiley.com/doi/pdf/10.4319/lo.1984.29.3.0657","page":"657-663","source":"Wiley Online Library","title":"Carbon and nitrogen determinations of carbonate-containing solids1","volume":"29","author":[{"family":"Hedges","given":"John I."},{"family":"Stern","given":"Jeffrey H."}],"issued":{"date-parts":[["1984"]]}}}],"schema":"https://github.com/citation-style-language/schema/raw/master/csl-citation.json"} </w:instrText>
      </w:r>
      <w:r w:rsidR="005B6A0F" w:rsidRPr="00B37753">
        <w:rPr>
          <w:lang w:val="en-US"/>
        </w:rPr>
        <w:fldChar w:fldCharType="separate"/>
      </w:r>
      <w:r w:rsidR="005B6A0F" w:rsidRPr="00B37753">
        <w:rPr>
          <w:rFonts w:ascii="Calibri" w:hAnsi="Calibri" w:cs="Calibri"/>
          <w:lang w:val="en-US"/>
        </w:rPr>
        <w:t>[10]</w:t>
      </w:r>
      <w:r w:rsidR="005B6A0F" w:rsidRPr="00B37753">
        <w:rPr>
          <w:lang w:val="en-US"/>
        </w:rPr>
        <w:fldChar w:fldCharType="end"/>
      </w:r>
      <w:r w:rsidR="005B6A0F" w:rsidRPr="00B37753">
        <w:rPr>
          <w:lang w:val="en-US"/>
        </w:rPr>
        <w:t>.</w:t>
      </w:r>
    </w:p>
    <w:p w:rsidR="005B6A0F" w:rsidRPr="00B37753" w:rsidRDefault="005B6A0F" w:rsidP="00D56F4F">
      <w:pPr>
        <w:spacing w:after="0" w:line="480" w:lineRule="auto"/>
        <w:ind w:firstLine="708"/>
        <w:jc w:val="both"/>
        <w:rPr>
          <w:rFonts w:cstheme="minorHAnsi"/>
          <w:lang w:val="en-US"/>
        </w:rPr>
      </w:pPr>
    </w:p>
    <w:p w:rsidR="007A6F67" w:rsidRPr="00B37753" w:rsidRDefault="007A6F67" w:rsidP="00C90750">
      <w:pPr>
        <w:spacing w:after="0" w:line="480" w:lineRule="auto"/>
        <w:rPr>
          <w:rFonts w:cstheme="minorHAnsi"/>
          <w:b/>
          <w:lang w:val="en-US"/>
        </w:rPr>
      </w:pPr>
      <w:r w:rsidRPr="00B37753">
        <w:rPr>
          <w:rFonts w:cstheme="minorHAnsi"/>
          <w:b/>
          <w:lang w:val="en-US"/>
        </w:rPr>
        <w:t>Amplification method</w:t>
      </w:r>
      <w:r w:rsidR="00C90750" w:rsidRPr="00B37753">
        <w:rPr>
          <w:rFonts w:cstheme="minorHAnsi"/>
          <w:b/>
          <w:lang w:val="en-US"/>
        </w:rPr>
        <w:t>s</w:t>
      </w:r>
    </w:p>
    <w:p w:rsidR="007F5D34" w:rsidRPr="00B37753" w:rsidRDefault="007F5D34" w:rsidP="00C90750">
      <w:pPr>
        <w:spacing w:after="0" w:line="480" w:lineRule="auto"/>
        <w:ind w:firstLine="708"/>
        <w:jc w:val="both"/>
        <w:rPr>
          <w:rFonts w:cstheme="minorHAnsi"/>
          <w:lang w:val="en-US"/>
        </w:rPr>
      </w:pPr>
      <w:bookmarkStart w:id="1" w:name="_Hlk139356359"/>
      <w:r w:rsidRPr="00B37753">
        <w:rPr>
          <w:rFonts w:cstheme="minorHAnsi"/>
          <w:lang w:val="en-US"/>
        </w:rPr>
        <w:t>For the V4 18S marker, t</w:t>
      </w:r>
      <w:r w:rsidR="007A6F67" w:rsidRPr="00B37753">
        <w:rPr>
          <w:rFonts w:cstheme="minorHAnsi"/>
          <w:lang w:val="en-US"/>
        </w:rPr>
        <w:t xml:space="preserve">he PCR mix recipe </w:t>
      </w:r>
      <w:r w:rsidR="007A6F67" w:rsidRPr="00B37753">
        <w:rPr>
          <w:rFonts w:eastAsia="Calibri" w:cstheme="minorHAnsi"/>
          <w:lang w:val="en-US"/>
        </w:rPr>
        <w:t xml:space="preserve">consisted </w:t>
      </w:r>
      <w:r w:rsidR="007A6F67" w:rsidRPr="00B37753">
        <w:rPr>
          <w:rFonts w:cstheme="minorHAnsi"/>
          <w:lang w:val="en-US"/>
        </w:rPr>
        <w:t>of a total volume of</w:t>
      </w:r>
      <w:r w:rsidR="007A6F67" w:rsidRPr="00B37753">
        <w:rPr>
          <w:rFonts w:eastAsia="Calibri" w:cstheme="minorHAnsi"/>
          <w:lang w:val="en-US"/>
        </w:rPr>
        <w:t xml:space="preserve"> 40 µl, including</w:t>
      </w:r>
      <w:r w:rsidR="007A6F67" w:rsidRPr="00B37753">
        <w:rPr>
          <w:rFonts w:cstheme="minorHAnsi"/>
          <w:lang w:val="en-US"/>
        </w:rPr>
        <w:t xml:space="preserve"> 0.5 µL 2x Phusion High-Fidelity DNA Polymerase (Thermo Scientific), 1 µL (10 mM) dNTP, 1.5 µL (3%) DMSO, 2 µL (10 </w:t>
      </w:r>
      <w:r w:rsidR="007A6F67" w:rsidRPr="00B37753">
        <w:rPr>
          <w:rFonts w:cstheme="minorHAnsi"/>
        </w:rPr>
        <w:t>μ</w:t>
      </w:r>
      <w:r w:rsidR="007A6F67" w:rsidRPr="00B37753">
        <w:rPr>
          <w:rFonts w:cstheme="minorHAnsi"/>
          <w:lang w:val="en-US"/>
        </w:rPr>
        <w:t>M) forward primer, 2 µl (10 µm) reverse primer, 31 µL sterile water and 2 µL of the filter-extracted eDNA sample</w:t>
      </w:r>
      <w:bookmarkEnd w:id="1"/>
      <w:r w:rsidR="007A6F67" w:rsidRPr="00B37753">
        <w:rPr>
          <w:rFonts w:cstheme="minorHAnsi"/>
          <w:lang w:val="en-US"/>
        </w:rPr>
        <w:t xml:space="preserve">. The PCR program consisted of an initial denaturation step at 98 °C for 30 s, followed by two sets of cycles (1) 12 × [98 °C (10 s), 53 °C (30 s), 72 °C (30 s)] and (2) 18 × [98 °C (10 s), 48 °C (30 s), 72 °C (30 s)]. </w:t>
      </w:r>
    </w:p>
    <w:p w:rsidR="00A45DAA" w:rsidRPr="00B37753" w:rsidRDefault="007A6F67" w:rsidP="00C90750">
      <w:pPr>
        <w:spacing w:after="0" w:line="480" w:lineRule="auto"/>
        <w:ind w:firstLine="709"/>
        <w:jc w:val="both"/>
        <w:rPr>
          <w:rFonts w:cstheme="minorHAnsi"/>
          <w:lang w:val="en-US"/>
        </w:rPr>
      </w:pPr>
      <w:r w:rsidRPr="00B37753">
        <w:rPr>
          <w:rFonts w:cstheme="minorHAnsi"/>
          <w:lang w:val="en-US"/>
        </w:rPr>
        <w:t>For V4-V5 16S</w:t>
      </w:r>
      <w:r w:rsidR="00967706" w:rsidRPr="00B37753">
        <w:rPr>
          <w:rFonts w:cstheme="minorHAnsi"/>
          <w:lang w:val="en-US"/>
        </w:rPr>
        <w:t xml:space="preserve"> marker</w:t>
      </w:r>
      <w:r w:rsidRPr="00B37753">
        <w:rPr>
          <w:rFonts w:eastAsia="Calibri" w:cstheme="minorHAnsi"/>
          <w:lang w:val="en-US"/>
        </w:rPr>
        <w:t>,</w:t>
      </w:r>
      <w:r w:rsidRPr="00B37753">
        <w:rPr>
          <w:rFonts w:cstheme="minorHAnsi"/>
          <w:lang w:val="en-US"/>
        </w:rPr>
        <w:t xml:space="preserve"> </w:t>
      </w:r>
      <w:r w:rsidR="007F5D34" w:rsidRPr="00B37753">
        <w:rPr>
          <w:rFonts w:cstheme="minorHAnsi"/>
          <w:lang w:val="en-US"/>
        </w:rPr>
        <w:t>the PCR mix consisted a total volume of 30 µL, with 0.12 µL Go Taq Flexi G2 (5 U/µL)</w:t>
      </w:r>
      <w:r w:rsidR="00921F71" w:rsidRPr="00B37753">
        <w:rPr>
          <w:rFonts w:cstheme="minorHAnsi"/>
          <w:lang w:val="en-US"/>
        </w:rPr>
        <w:t xml:space="preserve"> (Promega)</w:t>
      </w:r>
      <w:r w:rsidR="007F5D34" w:rsidRPr="00B37753">
        <w:rPr>
          <w:rFonts w:cstheme="minorHAnsi"/>
          <w:lang w:val="en-US"/>
        </w:rPr>
        <w:t xml:space="preserve">, 6 µL Buffer Go Taq 5x, 1.8 µL MgCl2 (25 mM), 0.6 µL dNTP (10 mM), 0.45 forward primer (20 µM), 0.45 reverse primer (20 µM), 18.58 µL sterile water and 2 µL of the sample. The PCR program </w:t>
      </w:r>
      <w:r w:rsidR="00062146" w:rsidRPr="00B37753">
        <w:rPr>
          <w:rFonts w:cstheme="minorHAnsi"/>
          <w:lang w:val="en-US"/>
        </w:rPr>
        <w:t xml:space="preserve">was </w:t>
      </w:r>
      <w:r w:rsidRPr="00B37753">
        <w:rPr>
          <w:rFonts w:cstheme="minorHAnsi"/>
          <w:lang w:val="en-US"/>
        </w:rPr>
        <w:t>an</w:t>
      </w:r>
      <w:r w:rsidR="00062146" w:rsidRPr="00B37753">
        <w:rPr>
          <w:rFonts w:cstheme="minorHAnsi"/>
          <w:lang w:val="en-US"/>
        </w:rPr>
        <w:t xml:space="preserve"> initial denaturation step at 95 °C for 5 min</w:t>
      </w:r>
      <w:r w:rsidRPr="00B37753">
        <w:rPr>
          <w:rFonts w:cstheme="minorHAnsi"/>
          <w:lang w:val="en-US"/>
        </w:rPr>
        <w:t xml:space="preserve">, followed </w:t>
      </w:r>
      <w:r w:rsidR="00062146" w:rsidRPr="00B37753">
        <w:rPr>
          <w:rFonts w:cstheme="minorHAnsi"/>
          <w:lang w:val="en-US"/>
        </w:rPr>
        <w:t>by 32 cycles</w:t>
      </w:r>
      <w:r w:rsidRPr="00B37753">
        <w:rPr>
          <w:rFonts w:cstheme="minorHAnsi"/>
          <w:lang w:val="en-US"/>
        </w:rPr>
        <w:t xml:space="preserve"> </w:t>
      </w:r>
      <w:r w:rsidR="00062146" w:rsidRPr="00B37753">
        <w:rPr>
          <w:rFonts w:cstheme="minorHAnsi"/>
          <w:lang w:val="en-US"/>
        </w:rPr>
        <w:t>of [95 °C (30 s), 50 °C (60 s), 72 °C (6</w:t>
      </w:r>
      <w:r w:rsidRPr="00B37753">
        <w:rPr>
          <w:rFonts w:cstheme="minorHAnsi"/>
          <w:lang w:val="en-US"/>
        </w:rPr>
        <w:t xml:space="preserve">0 s)]. </w:t>
      </w:r>
    </w:p>
    <w:p w:rsidR="007A6F67" w:rsidRPr="00B37753" w:rsidRDefault="007A6F67" w:rsidP="00C90750">
      <w:pPr>
        <w:spacing w:after="0" w:line="480" w:lineRule="auto"/>
        <w:ind w:firstLine="709"/>
        <w:jc w:val="both"/>
        <w:rPr>
          <w:rFonts w:cstheme="minorHAnsi"/>
          <w:lang w:val="en-US"/>
        </w:rPr>
      </w:pPr>
      <w:r w:rsidRPr="00B37753">
        <w:rPr>
          <w:rFonts w:cstheme="minorHAnsi"/>
          <w:lang w:val="en-US"/>
        </w:rPr>
        <w:t>For both markers</w:t>
      </w:r>
      <w:r w:rsidRPr="00B37753">
        <w:rPr>
          <w:rFonts w:eastAsia="Calibri" w:cstheme="minorHAnsi"/>
          <w:lang w:val="en-US"/>
        </w:rPr>
        <w:t>,</w:t>
      </w:r>
      <w:r w:rsidRPr="00B37753">
        <w:rPr>
          <w:rFonts w:cstheme="minorHAnsi"/>
          <w:lang w:val="en-US"/>
        </w:rPr>
        <w:t xml:space="preserve"> the last step was a final extension at 72 °C for 10 minutes.</w:t>
      </w:r>
    </w:p>
    <w:p w:rsidR="00C90750" w:rsidRPr="00B37753" w:rsidRDefault="00C90750" w:rsidP="007A6F67">
      <w:pPr>
        <w:spacing w:line="480" w:lineRule="auto"/>
        <w:jc w:val="both"/>
        <w:rPr>
          <w:rFonts w:cstheme="minorHAnsi"/>
          <w:b/>
          <w:lang w:val="en-US"/>
        </w:rPr>
      </w:pPr>
    </w:p>
    <w:p w:rsidR="00C90750" w:rsidRPr="00B37753" w:rsidRDefault="00C90750" w:rsidP="007A6F67">
      <w:pPr>
        <w:spacing w:line="480" w:lineRule="auto"/>
        <w:jc w:val="both"/>
        <w:rPr>
          <w:rFonts w:cstheme="minorHAnsi"/>
          <w:b/>
          <w:lang w:val="en-US"/>
        </w:rPr>
      </w:pPr>
    </w:p>
    <w:p w:rsidR="007A6F67" w:rsidRPr="00B37753" w:rsidRDefault="007A6F67" w:rsidP="00C90750">
      <w:pPr>
        <w:spacing w:after="0" w:line="480" w:lineRule="auto"/>
        <w:jc w:val="both"/>
        <w:rPr>
          <w:rFonts w:cstheme="minorHAnsi"/>
          <w:b/>
          <w:lang w:val="en-US"/>
        </w:rPr>
      </w:pPr>
      <w:r w:rsidRPr="00B37753">
        <w:rPr>
          <w:rFonts w:cstheme="minorHAnsi"/>
          <w:b/>
          <w:lang w:val="en-US"/>
        </w:rPr>
        <w:t>Functional classification</w:t>
      </w:r>
    </w:p>
    <w:p w:rsidR="00671D28" w:rsidRPr="00B37753" w:rsidRDefault="007A6F67" w:rsidP="00C90750">
      <w:pPr>
        <w:spacing w:after="0" w:line="480" w:lineRule="auto"/>
        <w:ind w:firstLine="708"/>
        <w:jc w:val="both"/>
        <w:rPr>
          <w:rFonts w:cstheme="minorHAnsi"/>
          <w:lang w:val="en-US"/>
        </w:rPr>
      </w:pPr>
      <w:r w:rsidRPr="00B37753">
        <w:rPr>
          <w:rFonts w:cstheme="minorHAnsi"/>
          <w:lang w:val="en-US"/>
        </w:rPr>
        <w:t>In this study</w:t>
      </w:r>
      <w:r w:rsidRPr="00B37753">
        <w:rPr>
          <w:rFonts w:eastAsia="Calibri" w:cstheme="minorHAnsi"/>
          <w:lang w:val="en-US"/>
        </w:rPr>
        <w:t>,</w:t>
      </w:r>
      <w:r w:rsidRPr="00B37753">
        <w:rPr>
          <w:rFonts w:cstheme="minorHAnsi"/>
          <w:lang w:val="en-US"/>
        </w:rPr>
        <w:t xml:space="preserve"> we focused on the change between </w:t>
      </w:r>
      <w:r w:rsidRPr="00B37753">
        <w:rPr>
          <w:rFonts w:eastAsia="Calibri" w:cstheme="minorHAnsi"/>
          <w:lang w:val="en-US"/>
        </w:rPr>
        <w:t xml:space="preserve">the </w:t>
      </w:r>
      <w:r w:rsidRPr="00B37753">
        <w:rPr>
          <w:rFonts w:cstheme="minorHAnsi"/>
          <w:lang w:val="en-US"/>
        </w:rPr>
        <w:t xml:space="preserve">heterotrophic and autotrophic </w:t>
      </w:r>
      <w:r w:rsidRPr="00B37753">
        <w:rPr>
          <w:rFonts w:eastAsia="Calibri" w:cstheme="minorHAnsi"/>
          <w:lang w:val="en-US"/>
        </w:rPr>
        <w:t>regimes</w:t>
      </w:r>
      <w:r w:rsidRPr="00B37753">
        <w:rPr>
          <w:rFonts w:cstheme="minorHAnsi"/>
          <w:lang w:val="en-US"/>
        </w:rPr>
        <w:t xml:space="preserve"> of the water system after the cyclonic event. Therefore, we voluntarily only separated autotrophic from heterotrophic taxa. For protists, taxa that own a plastid (either in a constitutive way or by having acquired it by mechanisms of endosymbiosis or kleptoplastid) were considered auto/mixo-trophic. Others were classified as heterotrophs since they cannot use light energy in any phase of their life cycle </w:t>
      </w:r>
      <w:r w:rsidRPr="00B37753">
        <w:rPr>
          <w:rFonts w:cstheme="minorHAnsi"/>
        </w:rPr>
        <w:fldChar w:fldCharType="begin"/>
      </w:r>
      <w:r w:rsidR="00D56F4F" w:rsidRPr="00B37753">
        <w:rPr>
          <w:rFonts w:cstheme="minorHAnsi"/>
          <w:lang w:val="en-US"/>
        </w:rPr>
        <w:instrText xml:space="preserve"> ADDIN ZOTERO_ITEM CSL_CITATION {"citationID":"NvcH0skH","properties":{"formattedCitation":"[10]","plainCitation":"[10]","noteIndex":0},"citationItems":[{"id":212,"uris":["http://zotero.org/users/local/Tuo7XlWX/items/93HT2ETF"],"itemData":{"id":212,"type":"article-journal","abstract":"The study of protistan functional diversity is crucial to understand the dynamics of oceanic ecological processes. We combined the metabarcoding data of various coastal ecosystems and a newly developed trait-based approach to study the link between taxonomic and functional diversity across marine protistan communities of different size-classes. Environmental DNA was extracted and the V4 18S rDNA genomic region was amplified and sequenced. In parallel, we tried to annotate the operational taxonomic units (OTUs) from our metabarcoding dataset to 30 biological traits using published and accessible information on protists. We then developed a method to study trait correlations across protists (i.e. trade-offs) in order to build the best functional groups. Based on the annotated OTUs and our functional groups, we demonstrated that the functional diversity of marine protist communities varied in parallel with their taxonomic diversity. The coupling between functional and taxonomic diversity was conserved across different protist size classes. However, the smallest size-fraction was characterized by wider taxonomic and functional groups diversity, corroborating the idea that nanoplankton and picoplankton are part of a more stable ecological background on which larger protists and metazoans might develop.","container-title":"Environmental Microbiology","DOI":"10.1111/1462-2920.14537","ISSN":"1462-2920","issue":"2","language":"en","note":"number: 2\n_eprint: https://onlinelibrary.wiley.com/doi/pdf/10.1111/1462-2920.14537","page":"730-749","source":"Wiley Online Library","title":"Coupling between taxonomic and functional diversity in protistan coastal communities","volume":"21","author":[{"family":"Ramond","given":"Pierre"},{"family":"Sourisseau","given":"Marc"},{"family":"Simon","given":"Nathalie"},{"family":"Romac","given":"Sarah"},{"family":"Schmitt","given":"Sophie"},{"family":"Rigaut-Jalabert","given":"Fabienne"},{"family":"Henry","given":"Nicolas"},{"family":"Vargas","given":"Colomban","non-dropping-particle":"de"},{"family":"Siano","given":"Raffaele"}],"issued":{"date-parts":[["2019"]]}}}],"schema":"https://github.com/citation-style-language/schema/raw/master/csl-citation.json"} </w:instrText>
      </w:r>
      <w:r w:rsidRPr="00B37753">
        <w:rPr>
          <w:rFonts w:cstheme="minorHAnsi"/>
        </w:rPr>
        <w:fldChar w:fldCharType="separate"/>
      </w:r>
      <w:r w:rsidR="00D56F4F" w:rsidRPr="00B37753">
        <w:rPr>
          <w:rFonts w:cstheme="minorHAnsi"/>
          <w:lang w:val="en-US"/>
        </w:rPr>
        <w:t>[10]</w:t>
      </w:r>
      <w:r w:rsidRPr="00B37753">
        <w:rPr>
          <w:rFonts w:cstheme="minorHAnsi"/>
        </w:rPr>
        <w:fldChar w:fldCharType="end"/>
      </w:r>
      <w:r w:rsidRPr="00B37753">
        <w:rPr>
          <w:rFonts w:cstheme="minorHAnsi"/>
          <w:lang w:val="en-US"/>
        </w:rPr>
        <w:t xml:space="preserve">. For bacteria, taxa able to </w:t>
      </w:r>
      <w:r w:rsidRPr="00B37753">
        <w:rPr>
          <w:rFonts w:eastAsia="Calibri" w:cstheme="minorHAnsi"/>
          <w:lang w:val="en-US"/>
        </w:rPr>
        <w:t>perform</w:t>
      </w:r>
      <w:r w:rsidRPr="00B37753">
        <w:rPr>
          <w:rFonts w:cstheme="minorHAnsi"/>
          <w:lang w:val="en-US"/>
        </w:rPr>
        <w:t xml:space="preserve"> photosynthesis (cyanobacteria and purple bacteria) </w:t>
      </w:r>
      <w:r w:rsidRPr="00B37753">
        <w:rPr>
          <w:rFonts w:eastAsia="Calibri" w:cstheme="minorHAnsi"/>
          <w:lang w:val="en-US"/>
        </w:rPr>
        <w:t>were</w:t>
      </w:r>
      <w:r w:rsidRPr="00B37753">
        <w:rPr>
          <w:rFonts w:cstheme="minorHAnsi"/>
          <w:lang w:val="en-US"/>
        </w:rPr>
        <w:t xml:space="preserve"> assigned to </w:t>
      </w:r>
      <w:r w:rsidRPr="00B37753">
        <w:rPr>
          <w:rFonts w:eastAsia="Calibri" w:cstheme="minorHAnsi"/>
          <w:lang w:val="en-US"/>
        </w:rPr>
        <w:t>photoautotrophs, and all other</w:t>
      </w:r>
      <w:r w:rsidRPr="00B37753">
        <w:rPr>
          <w:rFonts w:cstheme="minorHAnsi"/>
          <w:lang w:val="en-US"/>
        </w:rPr>
        <w:t xml:space="preserve"> bacterial phyla or classes were assigned to heterotrophs. ASVs assigned to an imprecise taxonomy (e.g.</w:t>
      </w:r>
      <w:r w:rsidRPr="00B37753">
        <w:rPr>
          <w:rFonts w:eastAsia="Calibri" w:cstheme="minorHAnsi"/>
          <w:lang w:val="en-US"/>
        </w:rPr>
        <w:t>,</w:t>
      </w:r>
      <w:r w:rsidRPr="00B37753">
        <w:rPr>
          <w:rFonts w:cstheme="minorHAnsi"/>
          <w:lang w:val="en-US"/>
        </w:rPr>
        <w:t xml:space="preserve"> “Bacteria” or “Dinoflagellata”) were grouped as </w:t>
      </w:r>
      <w:r w:rsidRPr="00B37753">
        <w:rPr>
          <w:rFonts w:eastAsia="Calibri" w:cstheme="minorHAnsi"/>
          <w:lang w:val="en-US"/>
        </w:rPr>
        <w:t xml:space="preserve">non-assigned </w:t>
      </w:r>
      <w:r w:rsidRPr="00B37753">
        <w:rPr>
          <w:rFonts w:cstheme="minorHAnsi"/>
          <w:lang w:val="en-US"/>
        </w:rPr>
        <w:t>in their respective group.</w:t>
      </w:r>
    </w:p>
    <w:p w:rsidR="00C90750" w:rsidRPr="00B37753" w:rsidRDefault="00C90750" w:rsidP="00DD1D59">
      <w:pPr>
        <w:spacing w:line="480" w:lineRule="auto"/>
        <w:ind w:firstLine="708"/>
        <w:jc w:val="both"/>
        <w:rPr>
          <w:rFonts w:cstheme="minorHAnsi"/>
          <w:lang w:val="en-US"/>
        </w:rPr>
      </w:pPr>
    </w:p>
    <w:p w:rsidR="00671D28" w:rsidRPr="00B37753" w:rsidRDefault="00671D28" w:rsidP="007A6F67">
      <w:pPr>
        <w:spacing w:line="480" w:lineRule="auto"/>
        <w:jc w:val="both"/>
        <w:rPr>
          <w:rFonts w:cstheme="minorHAnsi"/>
          <w:b/>
        </w:rPr>
      </w:pPr>
      <w:r w:rsidRPr="00B37753">
        <w:rPr>
          <w:rFonts w:cstheme="minorHAnsi"/>
          <w:b/>
        </w:rPr>
        <w:t xml:space="preserve">References </w:t>
      </w:r>
    </w:p>
    <w:p w:rsidR="00D56F4F" w:rsidRPr="00B37753" w:rsidRDefault="00671D28" w:rsidP="00D56F4F">
      <w:pPr>
        <w:pStyle w:val="Bibliography"/>
        <w:rPr>
          <w:rFonts w:cstheme="minorHAnsi"/>
        </w:rPr>
      </w:pPr>
      <w:r w:rsidRPr="00B37753">
        <w:rPr>
          <w:rFonts w:cstheme="minorHAnsi"/>
          <w:b/>
          <w:lang w:val="en-US"/>
        </w:rPr>
        <w:fldChar w:fldCharType="begin"/>
      </w:r>
      <w:r w:rsidR="00D56F4F" w:rsidRPr="00B37753">
        <w:rPr>
          <w:rFonts w:cstheme="minorHAnsi"/>
          <w:b/>
        </w:rPr>
        <w:instrText xml:space="preserve"> ADDIN ZOTERO_BIBL {"uncited":[],"omitted":[],"custom":[]} CSL_BIBLIOGRAPHY </w:instrText>
      </w:r>
      <w:r w:rsidRPr="00B37753">
        <w:rPr>
          <w:rFonts w:cstheme="minorHAnsi"/>
          <w:b/>
          <w:lang w:val="en-US"/>
        </w:rPr>
        <w:fldChar w:fldCharType="separate"/>
      </w:r>
      <w:r w:rsidR="00D56F4F" w:rsidRPr="00B37753">
        <w:rPr>
          <w:rFonts w:cstheme="minorHAnsi"/>
        </w:rPr>
        <w:t xml:space="preserve">1. Fernandez J-M, Ouillon S, Chevillon C, Douillet P, Fichez R, Gendre RL. </w:t>
      </w:r>
      <w:r w:rsidR="00D56F4F" w:rsidRPr="00B37753">
        <w:rPr>
          <w:rFonts w:cstheme="minorHAnsi"/>
          <w:lang w:val="en-US"/>
        </w:rPr>
        <w:t xml:space="preserve">A combined modelling and geochemical study of the fate of terrigenous inputs from mixed natural and mining sources in a coral reef lagoon (New Caledonia). </w:t>
      </w:r>
      <w:r w:rsidR="00D56F4F" w:rsidRPr="00B37753">
        <w:rPr>
          <w:rFonts w:cstheme="minorHAnsi"/>
        </w:rPr>
        <w:t>Mar Pollut Bull. 2006;52:320–31.</w:t>
      </w:r>
    </w:p>
    <w:p w:rsidR="00D56F4F" w:rsidRPr="00B37753" w:rsidRDefault="00D56F4F" w:rsidP="00D56F4F">
      <w:pPr>
        <w:pStyle w:val="Bibliography"/>
        <w:rPr>
          <w:rFonts w:cstheme="minorHAnsi"/>
          <w:lang w:val="en-US"/>
        </w:rPr>
      </w:pPr>
      <w:r w:rsidRPr="00B37753">
        <w:rPr>
          <w:rFonts w:cstheme="minorHAnsi"/>
        </w:rPr>
        <w:t xml:space="preserve">2. Fichez R, Chifflet S, Douillet P, Gérard P, Gutierrez F, Jouon A, et al. </w:t>
      </w:r>
      <w:r w:rsidRPr="00B37753">
        <w:rPr>
          <w:rFonts w:cstheme="minorHAnsi"/>
          <w:lang w:val="en-US"/>
        </w:rPr>
        <w:t>Biogeochemical typology and temporal variability of lagoon waters in a coral reef ecosystem subject to terrigeneous and anthropogenic inputs (New Caledonia). Mar Pollut Bull. 2010;61:309–22.</w:t>
      </w:r>
    </w:p>
    <w:p w:rsidR="00D56F4F" w:rsidRPr="00B37753" w:rsidRDefault="00D56F4F" w:rsidP="00D56F4F">
      <w:pPr>
        <w:pStyle w:val="Bibliography"/>
        <w:rPr>
          <w:rFonts w:cstheme="minorHAnsi"/>
        </w:rPr>
      </w:pPr>
      <w:r w:rsidRPr="00B37753">
        <w:rPr>
          <w:rFonts w:cstheme="minorHAnsi"/>
          <w:lang w:val="en-US"/>
        </w:rPr>
        <w:t xml:space="preserve">3. Hédouin L, Bustamante P, Churlaud C, Pringault O, Fichez R, Warnau M. Trends in concentrations of selected metalloid and metals in two bivalves from the coral reefs in the SW lagoon of New Caledonia. </w:t>
      </w:r>
      <w:r w:rsidRPr="00B37753">
        <w:rPr>
          <w:rFonts w:cstheme="minorHAnsi"/>
        </w:rPr>
        <w:t>Ecotoxicol Environ Saf. 2009;72:372–81.</w:t>
      </w:r>
    </w:p>
    <w:p w:rsidR="00D56F4F" w:rsidRPr="00B37753" w:rsidRDefault="00D56F4F" w:rsidP="00D56F4F">
      <w:pPr>
        <w:pStyle w:val="Bibliography"/>
        <w:rPr>
          <w:rFonts w:cstheme="minorHAnsi"/>
          <w:lang w:val="en-US"/>
        </w:rPr>
      </w:pPr>
      <w:r w:rsidRPr="00B37753">
        <w:rPr>
          <w:rFonts w:cstheme="minorHAnsi"/>
        </w:rPr>
        <w:t xml:space="preserve">4. Dupouy C, Röttgers R, Tedetti M, Frouin R, Lantoine F, Rodier M, et al. </w:t>
      </w:r>
      <w:r w:rsidRPr="00B37753">
        <w:rPr>
          <w:rFonts w:cstheme="minorHAnsi"/>
          <w:lang w:val="en-US"/>
        </w:rPr>
        <w:t>Impact of Contrasted Weather Conditions on CDOM Absorption/Fluorescence and Biogeochemistry in the Eastern Lagoon of New Caledonia. Front Earth Sci. 2020;8:54.</w:t>
      </w:r>
    </w:p>
    <w:p w:rsidR="00D56F4F" w:rsidRPr="00B37753" w:rsidRDefault="00D56F4F" w:rsidP="00D56F4F">
      <w:pPr>
        <w:pStyle w:val="Bibliography"/>
        <w:rPr>
          <w:rFonts w:cstheme="minorHAnsi"/>
          <w:lang w:val="en-US"/>
        </w:rPr>
      </w:pPr>
      <w:r w:rsidRPr="00B37753">
        <w:rPr>
          <w:rFonts w:cstheme="minorHAnsi"/>
          <w:lang w:val="en-US"/>
        </w:rPr>
        <w:t>5. Helms JR, Stubbins A, Ritchie JD, Minor EC, Kieber DJ, Mopper K. Absorption spectral slopes and slope ratios as indicators of molecular weight, source, and photobleaching of chromophoric dissolved organic matter. Limnol Oceanogr. 2008;53:955–69.</w:t>
      </w:r>
    </w:p>
    <w:p w:rsidR="00D56F4F" w:rsidRPr="00B37753" w:rsidRDefault="00D56F4F" w:rsidP="00D56F4F">
      <w:pPr>
        <w:pStyle w:val="Bibliography"/>
        <w:rPr>
          <w:rFonts w:cstheme="minorHAnsi"/>
          <w:lang w:val="en-US"/>
        </w:rPr>
      </w:pPr>
      <w:r w:rsidRPr="00B37753">
        <w:rPr>
          <w:rFonts w:cstheme="minorHAnsi"/>
          <w:lang w:val="en-US"/>
        </w:rPr>
        <w:t>6. Hansen AM, Kraus TEC, Pellerin BA, Fleck JA, Downing BD, Bergamaschi BA. Optical properties of dissolved organic matter (DOM): Effects of biological and photolytic degradation. Limnol Oceanogr. 2016;61:1015–32.</w:t>
      </w:r>
    </w:p>
    <w:p w:rsidR="00D56F4F" w:rsidRPr="00B37753" w:rsidRDefault="00D56F4F" w:rsidP="00D56F4F">
      <w:pPr>
        <w:pStyle w:val="Bibliography"/>
        <w:rPr>
          <w:rFonts w:cstheme="minorHAnsi"/>
          <w:lang w:val="en-US"/>
        </w:rPr>
      </w:pPr>
      <w:r w:rsidRPr="00B37753">
        <w:rPr>
          <w:rFonts w:cstheme="minorHAnsi"/>
          <w:lang w:val="en-US"/>
        </w:rPr>
        <w:t>7. Coble PG. Characterization of marine and terrestrial DOM in seawater using excitation-emission matrix spectroscopy. Mar Chem. 1996;51:325–46.</w:t>
      </w:r>
    </w:p>
    <w:p w:rsidR="00D56F4F" w:rsidRPr="00B37753" w:rsidRDefault="00D56F4F" w:rsidP="00D56F4F">
      <w:pPr>
        <w:pStyle w:val="Bibliography"/>
        <w:rPr>
          <w:rFonts w:cstheme="minorHAnsi"/>
          <w:lang w:val="en-US"/>
        </w:rPr>
      </w:pPr>
      <w:r w:rsidRPr="00B37753">
        <w:rPr>
          <w:rFonts w:cstheme="minorHAnsi"/>
          <w:lang w:val="en-US"/>
        </w:rPr>
        <w:t>8. Huguet A, Vacher L, Relexans S, Saubusse S, Froidefond JM, Parlanti E. Properties of fluorescent dissolved organic matter in the Gironde Estuary. Org Geochem. 2009;40:706–19.</w:t>
      </w:r>
    </w:p>
    <w:p w:rsidR="00D56F4F" w:rsidRPr="00B37753" w:rsidRDefault="00D56F4F" w:rsidP="00D56F4F">
      <w:pPr>
        <w:pStyle w:val="Bibliography"/>
        <w:rPr>
          <w:rFonts w:cstheme="minorHAnsi"/>
          <w:lang w:val="en-US"/>
        </w:rPr>
      </w:pPr>
      <w:r w:rsidRPr="00B37753">
        <w:rPr>
          <w:rFonts w:cstheme="minorHAnsi"/>
          <w:lang w:val="en-US"/>
        </w:rPr>
        <w:t>9. Zsolnay A, Baigar E, Jimenez M, Steinweg B, Saccomandi F. Differentiating with fluorescence spectroscopy the sources of dissolved organic matter in soils subjected to drying. Chemosphere. 1999;38:45–50.</w:t>
      </w:r>
    </w:p>
    <w:p w:rsidR="00D56F4F" w:rsidRPr="00B37753" w:rsidRDefault="00D56F4F" w:rsidP="00D56F4F">
      <w:pPr>
        <w:pStyle w:val="Bibliography"/>
        <w:rPr>
          <w:rFonts w:cstheme="minorHAnsi"/>
        </w:rPr>
      </w:pPr>
      <w:r w:rsidRPr="00B37753">
        <w:rPr>
          <w:rFonts w:cstheme="minorHAnsi"/>
          <w:lang w:val="en-US"/>
        </w:rPr>
        <w:t xml:space="preserve">10. Ramond P, Sourisseau M, Simon N, Romac S, Schmitt S, Rigaut-Jalabert F, et al. Coupling between taxonomic and functional diversity in protistan coastal communities. </w:t>
      </w:r>
      <w:r w:rsidRPr="00B37753">
        <w:rPr>
          <w:rFonts w:cstheme="minorHAnsi"/>
        </w:rPr>
        <w:t>Environ Microbiol. 2019;21:730–49.</w:t>
      </w:r>
    </w:p>
    <w:p w:rsidR="00671D28" w:rsidRPr="00B37753" w:rsidRDefault="00671D28" w:rsidP="007A6F67">
      <w:pPr>
        <w:spacing w:line="480" w:lineRule="auto"/>
        <w:jc w:val="both"/>
        <w:rPr>
          <w:rFonts w:cstheme="minorHAnsi"/>
          <w:b/>
          <w:lang w:val="en-US"/>
        </w:rPr>
      </w:pPr>
      <w:r w:rsidRPr="00B37753">
        <w:rPr>
          <w:rFonts w:cstheme="minorHAnsi"/>
          <w:b/>
          <w:lang w:val="en-US"/>
        </w:rPr>
        <w:fldChar w:fldCharType="end"/>
      </w:r>
    </w:p>
    <w:p w:rsidR="00D350DE" w:rsidRPr="00B37753" w:rsidRDefault="00D350DE" w:rsidP="00D350DE">
      <w:pPr>
        <w:rPr>
          <w:rFonts w:cstheme="minorHAnsi"/>
        </w:rPr>
      </w:pPr>
      <w:r w:rsidRPr="00B37753">
        <w:rPr>
          <w:rFonts w:cstheme="minorHAnsi"/>
          <w:noProof/>
          <w:lang w:val="en-US"/>
        </w:rPr>
        <w:drawing>
          <wp:inline distT="0" distB="0" distL="0" distR="0">
            <wp:extent cx="5760329" cy="72589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S_sept.tiff"/>
                    <pic:cNvPicPr/>
                  </pic:nvPicPr>
                  <pic:blipFill rotWithShape="1">
                    <a:blip r:embed="rId7" cstate="print">
                      <a:extLst>
                        <a:ext uri="{28A0092B-C50C-407E-A947-70E740481C1C}">
                          <a14:useLocalDpi xmlns:a14="http://schemas.microsoft.com/office/drawing/2010/main" val="0"/>
                        </a:ext>
                      </a:extLst>
                    </a:blip>
                    <a:srcRect t="1" b="15039"/>
                    <a:stretch/>
                  </pic:blipFill>
                  <pic:spPr bwMode="auto">
                    <a:xfrm>
                      <a:off x="0" y="0"/>
                      <a:ext cx="5760720" cy="7259423"/>
                    </a:xfrm>
                    <a:prstGeom prst="rect">
                      <a:avLst/>
                    </a:prstGeom>
                    <a:ln>
                      <a:noFill/>
                    </a:ln>
                    <a:extLst>
                      <a:ext uri="{53640926-AAD7-44D8-BBD7-CCE9431645EC}">
                        <a14:shadowObscured xmlns:a14="http://schemas.microsoft.com/office/drawing/2010/main"/>
                      </a:ext>
                    </a:extLst>
                  </pic:spPr>
                </pic:pic>
              </a:graphicData>
            </a:graphic>
          </wp:inline>
        </w:drawing>
      </w:r>
    </w:p>
    <w:p w:rsidR="00B71128" w:rsidRPr="00B37753" w:rsidRDefault="00302B65" w:rsidP="00D350DE">
      <w:pPr>
        <w:rPr>
          <w:rFonts w:cstheme="minorHAnsi"/>
          <w:lang w:val="en-US"/>
        </w:rPr>
      </w:pPr>
      <w:r w:rsidRPr="00B37753">
        <w:rPr>
          <w:rFonts w:cstheme="minorHAnsi"/>
          <w:b/>
          <w:lang w:val="en-US"/>
        </w:rPr>
        <w:t>Fig. S1</w:t>
      </w:r>
      <w:r w:rsidRPr="00B37753">
        <w:rPr>
          <w:rFonts w:cstheme="minorHAnsi"/>
          <w:lang w:val="en-US"/>
        </w:rPr>
        <w:t xml:space="preserve">: </w:t>
      </w:r>
      <w:r w:rsidR="00D350DE" w:rsidRPr="00B37753">
        <w:rPr>
          <w:rFonts w:cstheme="minorHAnsi"/>
          <w:lang w:val="en-US"/>
        </w:rPr>
        <w:t xml:space="preserve">Electrophoresis gel of 18S marker of the September 2019 campaign samples (T+: </w:t>
      </w:r>
      <w:r w:rsidR="00D350DE" w:rsidRPr="00B37753">
        <w:rPr>
          <w:rFonts w:cstheme="minorHAnsi"/>
          <w:i/>
          <w:lang w:val="en-US"/>
        </w:rPr>
        <w:t>Gambierdiscus</w:t>
      </w:r>
      <w:r w:rsidR="00D350DE" w:rsidRPr="00B37753">
        <w:rPr>
          <w:rFonts w:cstheme="minorHAnsi"/>
          <w:lang w:val="en-US"/>
        </w:rPr>
        <w:t xml:space="preserve"> / T-: pure water)</w:t>
      </w:r>
      <w:r w:rsidR="0009453D" w:rsidRPr="00B37753">
        <w:rPr>
          <w:rFonts w:cstheme="minorHAnsi"/>
          <w:lang w:val="en-US"/>
        </w:rPr>
        <w:t xml:space="preserve">. In each sample name the campaign, station and size fraction is precised (20: &gt; 20µm; 3 = 20-3 µm; 02: 3-0.2 µm). </w:t>
      </w:r>
    </w:p>
    <w:p w:rsidR="00D350DE" w:rsidRPr="00B37753" w:rsidRDefault="00D350DE">
      <w:pPr>
        <w:rPr>
          <w:rFonts w:cstheme="minorHAnsi"/>
        </w:rPr>
      </w:pPr>
      <w:r w:rsidRPr="00B37753">
        <w:rPr>
          <w:rFonts w:cstheme="minorHAnsi"/>
          <w:noProof/>
          <w:lang w:val="en-US"/>
        </w:rPr>
        <w:drawing>
          <wp:inline distT="0" distB="0" distL="0" distR="0">
            <wp:extent cx="5760720" cy="80327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S_fev.tiff"/>
                    <pic:cNvPicPr/>
                  </pic:nvPicPr>
                  <pic:blipFill rotWithShape="1">
                    <a:blip r:embed="rId8" cstate="print">
                      <a:extLst>
                        <a:ext uri="{28A0092B-C50C-407E-A947-70E740481C1C}">
                          <a14:useLocalDpi xmlns:a14="http://schemas.microsoft.com/office/drawing/2010/main" val="0"/>
                        </a:ext>
                      </a:extLst>
                    </a:blip>
                    <a:srcRect b="5990"/>
                    <a:stretch/>
                  </pic:blipFill>
                  <pic:spPr bwMode="auto">
                    <a:xfrm>
                      <a:off x="0" y="0"/>
                      <a:ext cx="5760720" cy="8032750"/>
                    </a:xfrm>
                    <a:prstGeom prst="rect">
                      <a:avLst/>
                    </a:prstGeom>
                    <a:ln>
                      <a:noFill/>
                    </a:ln>
                    <a:extLst>
                      <a:ext uri="{53640926-AAD7-44D8-BBD7-CCE9431645EC}">
                        <a14:shadowObscured xmlns:a14="http://schemas.microsoft.com/office/drawing/2010/main"/>
                      </a:ext>
                    </a:extLst>
                  </pic:spPr>
                </pic:pic>
              </a:graphicData>
            </a:graphic>
          </wp:inline>
        </w:drawing>
      </w:r>
    </w:p>
    <w:p w:rsidR="00D350DE" w:rsidRPr="00B37753" w:rsidRDefault="00302B65" w:rsidP="00D350DE">
      <w:pPr>
        <w:rPr>
          <w:rFonts w:cstheme="minorHAnsi"/>
          <w:lang w:val="en-US"/>
        </w:rPr>
      </w:pPr>
      <w:r w:rsidRPr="00B37753">
        <w:rPr>
          <w:rFonts w:cstheme="minorHAnsi"/>
          <w:b/>
          <w:lang w:val="en-US"/>
        </w:rPr>
        <w:t>Fig. S2</w:t>
      </w:r>
      <w:r w:rsidRPr="00B37753">
        <w:rPr>
          <w:rFonts w:cstheme="minorHAnsi"/>
          <w:lang w:val="en-US"/>
        </w:rPr>
        <w:t xml:space="preserve">: </w:t>
      </w:r>
      <w:r w:rsidR="00D350DE" w:rsidRPr="00B37753">
        <w:rPr>
          <w:rFonts w:cstheme="minorHAnsi"/>
          <w:lang w:val="en-US"/>
        </w:rPr>
        <w:t xml:space="preserve">Electrophoresis gel of 18S marker of the February 2020 campaign samples (T+: </w:t>
      </w:r>
      <w:r w:rsidR="00D350DE" w:rsidRPr="00B37753">
        <w:rPr>
          <w:rFonts w:cstheme="minorHAnsi"/>
          <w:i/>
          <w:lang w:val="en-US"/>
        </w:rPr>
        <w:t>Gambierdiscus</w:t>
      </w:r>
      <w:r w:rsidR="00D350DE" w:rsidRPr="00B37753">
        <w:rPr>
          <w:rFonts w:cstheme="minorHAnsi"/>
          <w:lang w:val="en-US"/>
        </w:rPr>
        <w:t>)</w:t>
      </w:r>
      <w:r w:rsidR="007A6F67" w:rsidRPr="00B37753">
        <w:rPr>
          <w:rFonts w:cstheme="minorHAnsi"/>
          <w:lang w:val="en-US"/>
        </w:rPr>
        <w:t>. In each sample name the campaign, station and size fraction is precised (20: &gt; 20µm; 3 = 20-3 µm; 02: 3-0.2 µm).</w:t>
      </w:r>
    </w:p>
    <w:p w:rsidR="00D350DE" w:rsidRPr="00B37753" w:rsidRDefault="00D350DE">
      <w:pPr>
        <w:rPr>
          <w:rFonts w:cstheme="minorHAnsi"/>
        </w:rPr>
      </w:pPr>
      <w:r w:rsidRPr="00B37753">
        <w:rPr>
          <w:rFonts w:cstheme="minorHAnsi"/>
          <w:noProof/>
          <w:lang w:val="en-US"/>
        </w:rPr>
        <w:drawing>
          <wp:inline distT="0" distB="0" distL="0" distR="0">
            <wp:extent cx="5760720" cy="60350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S_dec.tiff"/>
                    <pic:cNvPicPr/>
                  </pic:nvPicPr>
                  <pic:blipFill rotWithShape="1">
                    <a:blip r:embed="rId9" cstate="print">
                      <a:extLst>
                        <a:ext uri="{28A0092B-C50C-407E-A947-70E740481C1C}">
                          <a14:useLocalDpi xmlns:a14="http://schemas.microsoft.com/office/drawing/2010/main" val="0"/>
                        </a:ext>
                      </a:extLst>
                    </a:blip>
                    <a:srcRect b="29370"/>
                    <a:stretch/>
                  </pic:blipFill>
                  <pic:spPr bwMode="auto">
                    <a:xfrm>
                      <a:off x="0" y="0"/>
                      <a:ext cx="5760720" cy="6035040"/>
                    </a:xfrm>
                    <a:prstGeom prst="rect">
                      <a:avLst/>
                    </a:prstGeom>
                    <a:ln>
                      <a:noFill/>
                    </a:ln>
                    <a:extLst>
                      <a:ext uri="{53640926-AAD7-44D8-BBD7-CCE9431645EC}">
                        <a14:shadowObscured xmlns:a14="http://schemas.microsoft.com/office/drawing/2010/main"/>
                      </a:ext>
                    </a:extLst>
                  </pic:spPr>
                </pic:pic>
              </a:graphicData>
            </a:graphic>
          </wp:inline>
        </w:drawing>
      </w:r>
    </w:p>
    <w:p w:rsidR="00D350DE" w:rsidRPr="00B37753" w:rsidRDefault="00D350DE" w:rsidP="00D350DE">
      <w:pPr>
        <w:rPr>
          <w:rFonts w:cstheme="minorHAnsi"/>
        </w:rPr>
      </w:pPr>
    </w:p>
    <w:p w:rsidR="00D350DE" w:rsidRPr="00B37753" w:rsidRDefault="00302B65" w:rsidP="00D350DE">
      <w:pPr>
        <w:rPr>
          <w:rFonts w:cstheme="minorHAnsi"/>
          <w:lang w:val="en-US"/>
        </w:rPr>
      </w:pPr>
      <w:r w:rsidRPr="00B37753">
        <w:rPr>
          <w:rFonts w:cstheme="minorHAnsi"/>
          <w:b/>
          <w:lang w:val="en-US"/>
        </w:rPr>
        <w:t>Fig. S3</w:t>
      </w:r>
      <w:r w:rsidRPr="00B37753">
        <w:rPr>
          <w:rFonts w:cstheme="minorHAnsi"/>
          <w:lang w:val="en-US"/>
        </w:rPr>
        <w:t xml:space="preserve">: </w:t>
      </w:r>
      <w:r w:rsidR="00D350DE" w:rsidRPr="00B37753">
        <w:rPr>
          <w:rFonts w:cstheme="minorHAnsi"/>
          <w:lang w:val="en-US"/>
        </w:rPr>
        <w:t xml:space="preserve">Electrophoresis gel of 18S marker of the December 2020 campaign samples (T+: </w:t>
      </w:r>
      <w:r w:rsidR="00D350DE" w:rsidRPr="00B37753">
        <w:rPr>
          <w:rFonts w:cstheme="minorHAnsi"/>
          <w:i/>
          <w:lang w:val="en-US"/>
        </w:rPr>
        <w:t>Gambierdiscus</w:t>
      </w:r>
      <w:r w:rsidR="00D350DE" w:rsidRPr="00B37753">
        <w:rPr>
          <w:rFonts w:cstheme="minorHAnsi"/>
          <w:lang w:val="en-US"/>
        </w:rPr>
        <w:t xml:space="preserve"> / T-: pure water)</w:t>
      </w:r>
      <w:r w:rsidR="007A6F67" w:rsidRPr="00B37753">
        <w:rPr>
          <w:rFonts w:cstheme="minorHAnsi"/>
          <w:lang w:val="en-US"/>
        </w:rPr>
        <w:t>. In each sample name the campaign, station and size fraction is precised (20: &gt; 20µm; 3 = 20-3 µm; 02: 3-0.2 µm).</w:t>
      </w:r>
    </w:p>
    <w:p w:rsidR="00D350DE" w:rsidRPr="00B37753" w:rsidRDefault="00D350DE" w:rsidP="00D350DE">
      <w:pPr>
        <w:rPr>
          <w:rFonts w:cstheme="minorHAnsi"/>
          <w:lang w:val="en-US"/>
        </w:rPr>
      </w:pPr>
    </w:p>
    <w:p w:rsidR="00D350DE" w:rsidRPr="00B37753" w:rsidRDefault="00D350DE">
      <w:pPr>
        <w:rPr>
          <w:rFonts w:cstheme="minorHAnsi"/>
        </w:rPr>
      </w:pPr>
      <w:r w:rsidRPr="00B37753">
        <w:rPr>
          <w:rFonts w:cstheme="minorHAnsi"/>
          <w:noProof/>
          <w:lang w:val="en-US"/>
        </w:rPr>
        <w:drawing>
          <wp:inline distT="0" distB="0" distL="0" distR="0">
            <wp:extent cx="5760720" cy="7371471"/>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S_sept.tiff"/>
                    <pic:cNvPicPr/>
                  </pic:nvPicPr>
                  <pic:blipFill rotWithShape="1">
                    <a:blip r:embed="rId10" cstate="print">
                      <a:extLst>
                        <a:ext uri="{28A0092B-C50C-407E-A947-70E740481C1C}">
                          <a14:useLocalDpi xmlns:a14="http://schemas.microsoft.com/office/drawing/2010/main" val="0"/>
                        </a:ext>
                      </a:extLst>
                    </a:blip>
                    <a:srcRect b="13729"/>
                    <a:stretch/>
                  </pic:blipFill>
                  <pic:spPr bwMode="auto">
                    <a:xfrm>
                      <a:off x="0" y="0"/>
                      <a:ext cx="5760720" cy="7371471"/>
                    </a:xfrm>
                    <a:prstGeom prst="rect">
                      <a:avLst/>
                    </a:prstGeom>
                    <a:ln>
                      <a:noFill/>
                    </a:ln>
                    <a:extLst>
                      <a:ext uri="{53640926-AAD7-44D8-BBD7-CCE9431645EC}">
                        <a14:shadowObscured xmlns:a14="http://schemas.microsoft.com/office/drawing/2010/main"/>
                      </a:ext>
                    </a:extLst>
                  </pic:spPr>
                </pic:pic>
              </a:graphicData>
            </a:graphic>
          </wp:inline>
        </w:drawing>
      </w:r>
    </w:p>
    <w:p w:rsidR="00D350DE" w:rsidRPr="00B37753" w:rsidRDefault="00302B65" w:rsidP="00D350DE">
      <w:pPr>
        <w:rPr>
          <w:rFonts w:cstheme="minorHAnsi"/>
          <w:lang w:val="en-US"/>
        </w:rPr>
      </w:pPr>
      <w:r w:rsidRPr="00B37753">
        <w:rPr>
          <w:rFonts w:cstheme="minorHAnsi"/>
          <w:b/>
          <w:lang w:val="en-US"/>
        </w:rPr>
        <w:t>Fig. S4</w:t>
      </w:r>
      <w:r w:rsidRPr="00B37753">
        <w:rPr>
          <w:rFonts w:cstheme="minorHAnsi"/>
          <w:lang w:val="en-US"/>
        </w:rPr>
        <w:t xml:space="preserve">: </w:t>
      </w:r>
      <w:r w:rsidR="00D350DE" w:rsidRPr="00B37753">
        <w:rPr>
          <w:rFonts w:cstheme="minorHAnsi"/>
          <w:lang w:val="en-US"/>
        </w:rPr>
        <w:t>Electrophoresis gel of 16S marker of the September 2019 campaign samples (T-: pure water)</w:t>
      </w:r>
      <w:r w:rsidR="007A6F67" w:rsidRPr="00B37753">
        <w:rPr>
          <w:rFonts w:cstheme="minorHAnsi"/>
          <w:lang w:val="en-US"/>
        </w:rPr>
        <w:t>. In each sample name the campaign, station and size fraction is precised (20: &gt; 20µm; 3 = 20-3 µm; 02: 3-0.2 µm).</w:t>
      </w:r>
    </w:p>
    <w:p w:rsidR="00D350DE" w:rsidRPr="00B37753" w:rsidRDefault="00D350DE">
      <w:pPr>
        <w:rPr>
          <w:rFonts w:cstheme="minorHAnsi"/>
          <w:lang w:val="en-US"/>
        </w:rPr>
      </w:pPr>
      <w:r w:rsidRPr="00B37753">
        <w:rPr>
          <w:rFonts w:cstheme="minorHAnsi"/>
          <w:noProof/>
          <w:lang w:val="en-US"/>
        </w:rPr>
        <w:drawing>
          <wp:inline distT="0" distB="0" distL="0" distR="0">
            <wp:extent cx="5592722" cy="8108033"/>
            <wp:effectExtent l="0" t="0" r="8255"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S_fev.tiff"/>
                    <pic:cNvPicPr/>
                  </pic:nvPicPr>
                  <pic:blipFill rotWithShape="1">
                    <a:blip r:embed="rId11" cstate="print">
                      <a:extLst>
                        <a:ext uri="{28A0092B-C50C-407E-A947-70E740481C1C}">
                          <a14:useLocalDpi xmlns:a14="http://schemas.microsoft.com/office/drawing/2010/main" val="0"/>
                        </a:ext>
                      </a:extLst>
                    </a:blip>
                    <a:srcRect t="1355" b="904"/>
                    <a:stretch/>
                  </pic:blipFill>
                  <pic:spPr bwMode="auto">
                    <a:xfrm>
                      <a:off x="0" y="0"/>
                      <a:ext cx="5594318" cy="8110347"/>
                    </a:xfrm>
                    <a:prstGeom prst="rect">
                      <a:avLst/>
                    </a:prstGeom>
                    <a:ln>
                      <a:noFill/>
                    </a:ln>
                    <a:extLst>
                      <a:ext uri="{53640926-AAD7-44D8-BBD7-CCE9431645EC}">
                        <a14:shadowObscured xmlns:a14="http://schemas.microsoft.com/office/drawing/2010/main"/>
                      </a:ext>
                    </a:extLst>
                  </pic:spPr>
                </pic:pic>
              </a:graphicData>
            </a:graphic>
          </wp:inline>
        </w:drawing>
      </w:r>
      <w:r w:rsidRPr="00B37753">
        <w:rPr>
          <w:rFonts w:cstheme="minorHAnsi"/>
          <w:lang w:val="en-US"/>
        </w:rPr>
        <w:t xml:space="preserve"> </w:t>
      </w:r>
      <w:r w:rsidR="00302B65" w:rsidRPr="00B37753">
        <w:rPr>
          <w:rFonts w:cstheme="minorHAnsi"/>
          <w:b/>
          <w:lang w:val="en-US"/>
        </w:rPr>
        <w:t xml:space="preserve">Fig. S5: </w:t>
      </w:r>
      <w:r w:rsidR="00302B65" w:rsidRPr="00B37753">
        <w:rPr>
          <w:rFonts w:cstheme="minorHAnsi"/>
          <w:lang w:val="en-US"/>
        </w:rPr>
        <w:t>Electrophoresis gel of 16</w:t>
      </w:r>
      <w:r w:rsidRPr="00B37753">
        <w:rPr>
          <w:rFonts w:cstheme="minorHAnsi"/>
          <w:lang w:val="en-US"/>
        </w:rPr>
        <w:t xml:space="preserve">S marker of the </w:t>
      </w:r>
      <w:r w:rsidR="001E75F7" w:rsidRPr="00B37753">
        <w:rPr>
          <w:rFonts w:cstheme="minorHAnsi"/>
          <w:lang w:val="en-US"/>
        </w:rPr>
        <w:t>February</w:t>
      </w:r>
      <w:r w:rsidRPr="00B37753">
        <w:rPr>
          <w:rFonts w:cstheme="minorHAnsi"/>
          <w:lang w:val="en-US"/>
        </w:rPr>
        <w:t xml:space="preserve"> 2020 campaign samples (T+: </w:t>
      </w:r>
      <w:r w:rsidRPr="00B37753">
        <w:rPr>
          <w:rFonts w:cstheme="minorHAnsi"/>
          <w:i/>
          <w:lang w:val="en-US"/>
        </w:rPr>
        <w:t>Vibrio</w:t>
      </w:r>
      <w:r w:rsidRPr="00B37753">
        <w:rPr>
          <w:rFonts w:cstheme="minorHAnsi"/>
          <w:lang w:val="en-US"/>
        </w:rPr>
        <w:t xml:space="preserve"> sp. /</w:t>
      </w:r>
      <w:r w:rsidRPr="00B37753">
        <w:rPr>
          <w:rFonts w:cstheme="minorHAnsi"/>
          <w:b/>
          <w:lang w:val="en-US"/>
        </w:rPr>
        <w:t xml:space="preserve"> T-:</w:t>
      </w:r>
      <w:r w:rsidRPr="00B37753">
        <w:rPr>
          <w:rFonts w:cstheme="minorHAnsi"/>
          <w:lang w:val="en-US"/>
        </w:rPr>
        <w:t xml:space="preserve"> pure water)</w:t>
      </w:r>
      <w:r w:rsidR="007A6F67" w:rsidRPr="00B37753">
        <w:rPr>
          <w:rFonts w:cstheme="minorHAnsi"/>
          <w:lang w:val="en-US"/>
        </w:rPr>
        <w:t>. In each sample name the campaign, station and size fraction is precised (20: &gt; 20µm; 3 = 20-3 µm; 02: 3-0.2 µm).</w:t>
      </w:r>
    </w:p>
    <w:p w:rsidR="007A6F67" w:rsidRPr="00B37753" w:rsidRDefault="007A6F67" w:rsidP="007A6F67">
      <w:pPr>
        <w:rPr>
          <w:rFonts w:cstheme="minorHAnsi"/>
          <w:lang w:val="en-US"/>
        </w:rPr>
      </w:pPr>
      <w:r w:rsidRPr="00B37753">
        <w:rPr>
          <w:rFonts w:cstheme="minorHAnsi"/>
          <w:noProof/>
          <w:lang w:val="en-US"/>
        </w:rPr>
        <w:drawing>
          <wp:inline distT="0" distB="0" distL="0" distR="0" wp14:anchorId="4BF7AF7E" wp14:editId="7814508F">
            <wp:extent cx="5951703" cy="372631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4433" cy="3740543"/>
                    </a:xfrm>
                    <a:prstGeom prst="rect">
                      <a:avLst/>
                    </a:prstGeom>
                    <a:noFill/>
                  </pic:spPr>
                </pic:pic>
              </a:graphicData>
            </a:graphic>
          </wp:inline>
        </w:drawing>
      </w:r>
    </w:p>
    <w:p w:rsidR="007A6F67" w:rsidRPr="00B37753" w:rsidRDefault="007A6F67" w:rsidP="007A6F67">
      <w:pPr>
        <w:rPr>
          <w:rFonts w:cstheme="minorHAnsi"/>
          <w:lang w:val="en-US"/>
        </w:rPr>
      </w:pPr>
      <w:r w:rsidRPr="00B37753">
        <w:rPr>
          <w:rFonts w:cstheme="minorHAnsi"/>
          <w:b/>
          <w:kern w:val="24"/>
          <w:lang w:val="en-US"/>
        </w:rPr>
        <w:t>Fig. S6</w:t>
      </w:r>
      <w:r w:rsidRPr="00B37753">
        <w:rPr>
          <w:rFonts w:cstheme="minorHAnsi"/>
          <w:kern w:val="24"/>
          <w:lang w:val="en-US"/>
        </w:rPr>
        <w:t xml:space="preserve">: Electrophoresis gel of 16S marker of the December 2020 (1st replicate) campaign samples (T-: pure water). </w:t>
      </w:r>
      <w:r w:rsidRPr="00B37753">
        <w:rPr>
          <w:rFonts w:cstheme="minorHAnsi"/>
          <w:lang w:val="en-US"/>
        </w:rPr>
        <w:t>In each sample name the campaign, station and size fraction is precised (20: &gt; 20µm; 3 = 20-3 µm; 02: 3-0.2 µm).</w:t>
      </w: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rsidP="007A6F67">
      <w:pPr>
        <w:rPr>
          <w:rFonts w:cstheme="minorHAnsi"/>
          <w:lang w:val="en-US"/>
        </w:rPr>
      </w:pPr>
    </w:p>
    <w:p w:rsidR="007A6F67" w:rsidRPr="00B37753" w:rsidRDefault="007A6F67">
      <w:pPr>
        <w:rPr>
          <w:rFonts w:cstheme="minorHAnsi"/>
          <w:lang w:val="en-US"/>
        </w:rPr>
      </w:pPr>
    </w:p>
    <w:sectPr w:rsidR="007A6F67" w:rsidRPr="00B377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660" w:rsidRDefault="001A7660" w:rsidP="007A6F67">
      <w:pPr>
        <w:spacing w:after="0" w:line="240" w:lineRule="auto"/>
      </w:pPr>
      <w:r>
        <w:separator/>
      </w:r>
    </w:p>
  </w:endnote>
  <w:endnote w:type="continuationSeparator" w:id="0">
    <w:p w:rsidR="001A7660" w:rsidRDefault="001A7660" w:rsidP="007A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660" w:rsidRDefault="001A7660" w:rsidP="007A6F67">
      <w:pPr>
        <w:spacing w:after="0" w:line="240" w:lineRule="auto"/>
      </w:pPr>
      <w:r>
        <w:separator/>
      </w:r>
    </w:p>
  </w:footnote>
  <w:footnote w:type="continuationSeparator" w:id="0">
    <w:p w:rsidR="001A7660" w:rsidRDefault="001A7660" w:rsidP="007A6F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0DE"/>
    <w:rsid w:val="00037FCD"/>
    <w:rsid w:val="00062146"/>
    <w:rsid w:val="000765E2"/>
    <w:rsid w:val="00084D6C"/>
    <w:rsid w:val="0009453D"/>
    <w:rsid w:val="00104DBD"/>
    <w:rsid w:val="001A7660"/>
    <w:rsid w:val="001E75F7"/>
    <w:rsid w:val="0020587B"/>
    <w:rsid w:val="00302B65"/>
    <w:rsid w:val="004208BD"/>
    <w:rsid w:val="004C01EF"/>
    <w:rsid w:val="004C4DE9"/>
    <w:rsid w:val="00535749"/>
    <w:rsid w:val="005B6A0F"/>
    <w:rsid w:val="00635CAA"/>
    <w:rsid w:val="00671D28"/>
    <w:rsid w:val="00710CCC"/>
    <w:rsid w:val="00734826"/>
    <w:rsid w:val="007A6F67"/>
    <w:rsid w:val="007E255F"/>
    <w:rsid w:val="007F5D34"/>
    <w:rsid w:val="0082756E"/>
    <w:rsid w:val="00921F71"/>
    <w:rsid w:val="00967706"/>
    <w:rsid w:val="00A45DAA"/>
    <w:rsid w:val="00B2771F"/>
    <w:rsid w:val="00B37753"/>
    <w:rsid w:val="00B71128"/>
    <w:rsid w:val="00C84BA7"/>
    <w:rsid w:val="00C90750"/>
    <w:rsid w:val="00D350DE"/>
    <w:rsid w:val="00D56F4F"/>
    <w:rsid w:val="00DD1D59"/>
    <w:rsid w:val="00ED5106"/>
    <w:rsid w:val="00F979A5"/>
    <w:rsid w:val="00FE4D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23AA74-11BA-438F-9BAE-BE005B36E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F67"/>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Header">
    <w:name w:val="header"/>
    <w:basedOn w:val="Normal"/>
    <w:link w:val="HeaderChar"/>
    <w:uiPriority w:val="99"/>
    <w:unhideWhenUsed/>
    <w:rsid w:val="007A6F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6F67"/>
  </w:style>
  <w:style w:type="paragraph" w:styleId="Footer">
    <w:name w:val="footer"/>
    <w:basedOn w:val="Normal"/>
    <w:link w:val="FooterChar"/>
    <w:uiPriority w:val="99"/>
    <w:unhideWhenUsed/>
    <w:rsid w:val="007A6F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6F67"/>
  </w:style>
  <w:style w:type="paragraph" w:styleId="Bibliography">
    <w:name w:val="Bibliography"/>
    <w:basedOn w:val="Normal"/>
    <w:next w:val="Normal"/>
    <w:uiPriority w:val="37"/>
    <w:unhideWhenUsed/>
    <w:rsid w:val="00671D28"/>
    <w:pPr>
      <w:spacing w:after="240" w:line="240" w:lineRule="auto"/>
    </w:pPr>
  </w:style>
  <w:style w:type="paragraph" w:styleId="Title">
    <w:name w:val="Title"/>
    <w:basedOn w:val="Normal"/>
    <w:next w:val="Normal"/>
    <w:link w:val="TitleChar"/>
    <w:uiPriority w:val="10"/>
    <w:qFormat/>
    <w:rsid w:val="00535749"/>
    <w:pPr>
      <w:spacing w:after="0" w:line="240" w:lineRule="auto"/>
      <w:contextualSpacing/>
      <w:jc w:val="both"/>
    </w:pPr>
    <w:rPr>
      <w:rFonts w:asciiTheme="majorHAnsi" w:eastAsiaTheme="majorEastAsia" w:hAnsiTheme="majorHAnsi" w:cstheme="majorBidi"/>
      <w:spacing w:val="-10"/>
      <w:kern w:val="28"/>
      <w:sz w:val="56"/>
      <w:szCs w:val="56"/>
      <w:lang w:val="en-US" w:eastAsia="fr-FR"/>
    </w:rPr>
  </w:style>
  <w:style w:type="character" w:customStyle="1" w:styleId="TitleChar">
    <w:name w:val="Title Char"/>
    <w:basedOn w:val="DefaultParagraphFont"/>
    <w:link w:val="Title"/>
    <w:uiPriority w:val="10"/>
    <w:rsid w:val="00535749"/>
    <w:rPr>
      <w:rFonts w:asciiTheme="majorHAnsi" w:eastAsiaTheme="majorEastAsia" w:hAnsiTheme="majorHAnsi" w:cstheme="majorBidi"/>
      <w:spacing w:val="-10"/>
      <w:kern w:val="28"/>
      <w:sz w:val="56"/>
      <w:szCs w:val="56"/>
      <w:lang w:val="en-US" w:eastAsia="fr-FR"/>
    </w:rPr>
  </w:style>
  <w:style w:type="character" w:styleId="Hyperlink">
    <w:name w:val="Hyperlink"/>
    <w:basedOn w:val="DefaultParagraphFont"/>
    <w:uiPriority w:val="99"/>
    <w:unhideWhenUsed/>
    <w:rsid w:val="00535749"/>
    <w:rPr>
      <w:color w:val="0563C1" w:themeColor="hyperlink"/>
      <w:u w:val="single"/>
    </w:rPr>
  </w:style>
  <w:style w:type="character" w:styleId="CommentReference">
    <w:name w:val="annotation reference"/>
    <w:basedOn w:val="DefaultParagraphFont"/>
    <w:uiPriority w:val="99"/>
    <w:semiHidden/>
    <w:unhideWhenUsed/>
    <w:rsid w:val="00734826"/>
    <w:rPr>
      <w:sz w:val="16"/>
      <w:szCs w:val="16"/>
    </w:rPr>
  </w:style>
  <w:style w:type="paragraph" w:styleId="CommentText">
    <w:name w:val="annotation text"/>
    <w:basedOn w:val="Normal"/>
    <w:link w:val="CommentTextChar"/>
    <w:uiPriority w:val="99"/>
    <w:unhideWhenUsed/>
    <w:rsid w:val="00084D6C"/>
    <w:pPr>
      <w:spacing w:line="240" w:lineRule="auto"/>
      <w:jc w:val="both"/>
    </w:pPr>
    <w:rPr>
      <w:sz w:val="20"/>
      <w:szCs w:val="20"/>
      <w:lang w:val="en-US" w:eastAsia="fr-FR"/>
    </w:rPr>
  </w:style>
  <w:style w:type="character" w:customStyle="1" w:styleId="CommentTextChar">
    <w:name w:val="Comment Text Char"/>
    <w:basedOn w:val="DefaultParagraphFont"/>
    <w:link w:val="CommentText"/>
    <w:uiPriority w:val="99"/>
    <w:rsid w:val="00084D6C"/>
    <w:rPr>
      <w:sz w:val="20"/>
      <w:szCs w:val="20"/>
      <w:lang w:val="en-US" w:eastAsia="fr-FR"/>
    </w:rPr>
  </w:style>
  <w:style w:type="paragraph" w:styleId="BalloonText">
    <w:name w:val="Balloon Text"/>
    <w:basedOn w:val="Normal"/>
    <w:link w:val="BalloonTextChar"/>
    <w:uiPriority w:val="99"/>
    <w:semiHidden/>
    <w:unhideWhenUsed/>
    <w:rsid w:val="00084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D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ffaele.siano@ifremer.fr" TargetMode="Externa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5221</Words>
  <Characters>29763</Characters>
  <Application>Microsoft Office Word</Application>
  <DocSecurity>0</DocSecurity>
  <Lines>248</Lines>
  <Paragraphs>69</Paragraphs>
  <ScaleCrop>false</ScaleCrop>
  <HeadingPairs>
    <vt:vector size="2" baseType="variant">
      <vt:variant>
        <vt:lpstr>Titre</vt:lpstr>
      </vt:variant>
      <vt:variant>
        <vt:i4>1</vt:i4>
      </vt:variant>
    </vt:vector>
  </HeadingPairs>
  <TitlesOfParts>
    <vt:vector size="1" baseType="lpstr">
      <vt:lpstr/>
    </vt:vector>
  </TitlesOfParts>
  <Company>Ifremer</Company>
  <LinksUpToDate>false</LinksUpToDate>
  <CharactersWithSpaces>34915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Mathisse MEYNENG, Ifremer Brest PDG-ODE-DYNECO-P</dc:creator>
  <cp:keywords/>
  <dc:description/>
  <cp:lastModifiedBy>Jeevitha T.</cp:lastModifiedBy>
  <cp:revision>7</cp:revision>
  <dcterms:created xsi:type="dcterms:W3CDTF">2023-12-18T15:25:00Z</dcterms:created>
  <dcterms:modified xsi:type="dcterms:W3CDTF">2024-01-27T01:20:00Z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id="TeqPcKqL"/&gt;&lt;style id="http://www.zotero.org/styles/biomed-central" hasBibliography="1" bibliographyStyleHasBeenSet="1"/&gt;&lt;prefs&gt;&lt;pref name="fieldType" value="Field"/&gt;&lt;pref name="automaticJournalAb</vt:lpwstr>
  </property>
  <property fmtid="{D5CDD505-2E9C-101B-9397-08002B2CF9AE}" pid="3" name="ZOTERO_PREF_2">
    <vt:lpwstr>breviations" value="true"/&gt;&lt;/prefs&gt;&lt;/data&gt;</vt:lpwstr>
  </property>
</Properties>
</file>