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4E639E08" w:rsidR="00FA1481" w:rsidRDefault="00FA1481" w:rsidP="00E40896">
      <w:pPr>
        <w:jc w:val="center"/>
        <w:rPr>
          <w:sz w:val="36"/>
          <w:szCs w:val="36"/>
        </w:rPr>
      </w:pPr>
    </w:p>
    <w:p w14:paraId="59A48D86" w14:textId="77777777" w:rsidR="00C231E2" w:rsidRDefault="00C231E2" w:rsidP="00FF3503">
      <w:pPr>
        <w:spacing w:before="100" w:beforeAutospacing="1" w:after="100" w:afterAutospacing="1"/>
        <w:jc w:val="center"/>
        <w:rPr>
          <w:rFonts w:ascii="Myriad Pro" w:hAnsi="Myriad Pro"/>
          <w:sz w:val="22"/>
          <w:szCs w:val="22"/>
        </w:rPr>
      </w:pPr>
      <w:r w:rsidRPr="00E430DC">
        <w:t>Geochemistry, Geophysics, Geosystems</w:t>
      </w:r>
      <w:r w:rsidRPr="00CE6EAA">
        <w:rPr>
          <w:rFonts w:ascii="Myriad Pro" w:hAnsi="Myriad Pro"/>
          <w:sz w:val="22"/>
          <w:szCs w:val="22"/>
        </w:rPr>
        <w:t xml:space="preserve"> </w:t>
      </w:r>
    </w:p>
    <w:p w14:paraId="2CB29489" w14:textId="7464C9F4"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4FA5FEB2" w14:textId="46328D76" w:rsidR="00C231E2" w:rsidRPr="00C522A6" w:rsidRDefault="00C231E2" w:rsidP="00C231E2">
      <w:pPr>
        <w:pStyle w:val="Titre2"/>
        <w:spacing w:line="360" w:lineRule="auto"/>
        <w:rPr>
          <w:rFonts w:eastAsia="Calibri"/>
        </w:rPr>
      </w:pPr>
      <w:r>
        <w:rPr>
          <w:rFonts w:eastAsia="Calibri"/>
        </w:rPr>
        <w:t>Diffuse venting and n</w:t>
      </w:r>
      <w:r w:rsidRPr="00C522A6">
        <w:rPr>
          <w:rFonts w:eastAsia="Calibri"/>
        </w:rPr>
        <w:t>ear seafloor hydrothermal circulations</w:t>
      </w:r>
      <w:r>
        <w:rPr>
          <w:rFonts w:eastAsia="Calibri"/>
        </w:rPr>
        <w:t xml:space="preserve"> </w:t>
      </w:r>
      <w:r w:rsidRPr="00C522A6">
        <w:rPr>
          <w:rFonts w:eastAsia="Calibri"/>
        </w:rPr>
        <w:t>at the Lucky Strike vent field</w:t>
      </w:r>
      <w:r>
        <w:rPr>
          <w:rFonts w:eastAsia="Calibri"/>
        </w:rPr>
        <w:t xml:space="preserve">, </w:t>
      </w:r>
      <w:r w:rsidRPr="00C522A6">
        <w:rPr>
          <w:rFonts w:eastAsia="Calibri"/>
        </w:rPr>
        <w:t>Mid-Atlantic Ridge.</w:t>
      </w:r>
    </w:p>
    <w:p w14:paraId="42FFC78E" w14:textId="7F7CC248" w:rsidR="00FF3503" w:rsidRPr="00C231E2" w:rsidRDefault="00C231E2" w:rsidP="00C231E2">
      <w:pPr>
        <w:pStyle w:val="Normal1"/>
        <w:spacing w:line="360" w:lineRule="auto"/>
        <w:jc w:val="both"/>
        <w:outlineLvl w:val="0"/>
        <w:rPr>
          <w:rFonts w:asciiTheme="majorHAnsi" w:eastAsia="Calibri" w:hAnsiTheme="majorHAnsi" w:cstheme="majorHAnsi"/>
          <w:b/>
          <w:vertAlign w:val="superscript"/>
          <w:lang w:val="fr-FR"/>
        </w:rPr>
      </w:pPr>
      <w:r w:rsidRPr="00C522A6">
        <w:rPr>
          <w:rFonts w:asciiTheme="majorHAnsi" w:eastAsia="Calibri" w:hAnsiTheme="majorHAnsi" w:cstheme="majorHAnsi"/>
          <w:b/>
          <w:lang w:val="fr-FR"/>
        </w:rPr>
        <w:t>Benjamin Wheeler</w:t>
      </w:r>
      <w:r w:rsidRPr="00C522A6">
        <w:rPr>
          <w:rFonts w:asciiTheme="majorHAnsi" w:eastAsia="Calibri" w:hAnsiTheme="majorHAnsi" w:cstheme="majorHAnsi"/>
          <w:b/>
          <w:vertAlign w:val="superscript"/>
          <w:lang w:val="fr-FR"/>
        </w:rPr>
        <w:t>1</w:t>
      </w:r>
      <w:r w:rsidRPr="00C522A6">
        <w:rPr>
          <w:rFonts w:asciiTheme="majorHAnsi" w:eastAsia="Calibri" w:hAnsiTheme="majorHAnsi" w:cstheme="majorHAnsi"/>
          <w:b/>
          <w:lang w:val="fr-FR"/>
        </w:rPr>
        <w:t>, Mathilde Cannat</w:t>
      </w:r>
      <w:r w:rsidRPr="00C522A6">
        <w:rPr>
          <w:rFonts w:asciiTheme="majorHAnsi" w:eastAsia="Calibri" w:hAnsiTheme="majorHAnsi" w:cstheme="majorHAnsi"/>
          <w:b/>
          <w:vertAlign w:val="superscript"/>
          <w:lang w:val="fr-FR"/>
        </w:rPr>
        <w:t>1</w:t>
      </w:r>
      <w:r w:rsidRPr="00C522A6">
        <w:rPr>
          <w:rFonts w:asciiTheme="majorHAnsi" w:eastAsia="Calibri" w:hAnsiTheme="majorHAnsi" w:cstheme="majorHAnsi"/>
          <w:b/>
          <w:lang w:val="fr-FR"/>
        </w:rPr>
        <w:t>, Valérie Chavagnac</w:t>
      </w:r>
      <w:r w:rsidRPr="00C522A6">
        <w:rPr>
          <w:rFonts w:asciiTheme="majorHAnsi" w:eastAsia="Calibri" w:hAnsiTheme="majorHAnsi" w:cstheme="majorHAnsi"/>
          <w:b/>
          <w:vertAlign w:val="superscript"/>
          <w:lang w:val="fr-FR"/>
        </w:rPr>
        <w:t>2</w:t>
      </w:r>
      <w:r w:rsidRPr="00C522A6">
        <w:rPr>
          <w:rFonts w:asciiTheme="majorHAnsi" w:eastAsia="Calibri" w:hAnsiTheme="majorHAnsi" w:cstheme="majorHAnsi"/>
          <w:b/>
          <w:lang w:val="fr-FR"/>
        </w:rPr>
        <w:t>, Fabrice Fontaine</w:t>
      </w:r>
      <w:r w:rsidRPr="00C522A6">
        <w:rPr>
          <w:rFonts w:asciiTheme="majorHAnsi" w:eastAsia="Calibri" w:hAnsiTheme="majorHAnsi" w:cstheme="majorHAnsi"/>
          <w:b/>
          <w:vertAlign w:val="superscript"/>
          <w:lang w:val="fr-FR"/>
        </w:rPr>
        <w:t>1 and 3</w:t>
      </w:r>
    </w:p>
    <w:p w14:paraId="44A17074" w14:textId="2E9F45A3" w:rsidR="00C231E2" w:rsidRPr="00C231E2" w:rsidRDefault="00C231E2" w:rsidP="00C231E2">
      <w:pPr>
        <w:spacing w:line="360" w:lineRule="auto"/>
        <w:rPr>
          <w:rFonts w:asciiTheme="majorHAnsi" w:eastAsia="Calibri" w:hAnsiTheme="majorHAnsi"/>
          <w:lang w:val="fr-FR"/>
        </w:rPr>
      </w:pPr>
      <w:r w:rsidRPr="00C231E2">
        <w:rPr>
          <w:rFonts w:asciiTheme="majorHAnsi" w:eastAsia="Calibri" w:hAnsiTheme="majorHAnsi"/>
          <w:vertAlign w:val="superscript"/>
          <w:lang w:val="fr-FR"/>
        </w:rPr>
        <w:t xml:space="preserve">1 </w:t>
      </w:r>
      <w:r w:rsidRPr="00C231E2">
        <w:rPr>
          <w:rFonts w:asciiTheme="majorHAnsi" w:eastAsia="Calibri" w:hAnsiTheme="majorHAnsi"/>
          <w:lang w:val="fr-FR"/>
        </w:rPr>
        <w:t>Institut de Physique du Globe de Paris - Université Paris Cité (IPGP), UMR 7154 CNRS, 1 rue Jussieu, 75238 Paris cedex 05, France</w:t>
      </w:r>
    </w:p>
    <w:p w14:paraId="0063DEF2" w14:textId="77777777" w:rsidR="00C231E2" w:rsidRPr="00C231E2" w:rsidRDefault="00C231E2" w:rsidP="00C231E2">
      <w:pPr>
        <w:spacing w:line="360" w:lineRule="auto"/>
        <w:rPr>
          <w:rFonts w:asciiTheme="majorHAnsi" w:eastAsia="Calibri" w:hAnsiTheme="majorHAnsi"/>
          <w:lang w:val="fr-FR"/>
        </w:rPr>
      </w:pPr>
      <w:r w:rsidRPr="00C231E2">
        <w:rPr>
          <w:rFonts w:asciiTheme="majorHAnsi" w:eastAsia="Calibri" w:hAnsiTheme="majorHAnsi"/>
          <w:vertAlign w:val="superscript"/>
          <w:lang w:val="fr-FR"/>
        </w:rPr>
        <w:t>2</w:t>
      </w:r>
      <w:r w:rsidRPr="00C231E2">
        <w:rPr>
          <w:rFonts w:asciiTheme="majorHAnsi" w:eastAsia="Calibri" w:hAnsiTheme="majorHAnsi"/>
          <w:lang w:val="fr-FR"/>
        </w:rPr>
        <w:t xml:space="preserve"> Géosciences Environnement Toulouse (GET) UMR 5563 CNRS, Observatoire Midi-Pyrénées</w:t>
      </w:r>
    </w:p>
    <w:p w14:paraId="126CA45C" w14:textId="77777777" w:rsidR="00C231E2" w:rsidRPr="00C231E2" w:rsidRDefault="00C231E2" w:rsidP="00C231E2">
      <w:pPr>
        <w:spacing w:line="360" w:lineRule="auto"/>
        <w:rPr>
          <w:rFonts w:asciiTheme="majorHAnsi" w:eastAsia="Calibri" w:hAnsiTheme="majorHAnsi"/>
          <w:lang w:val="fr-FR"/>
        </w:rPr>
      </w:pPr>
      <w:r w:rsidRPr="00C231E2">
        <w:rPr>
          <w:rFonts w:asciiTheme="majorHAnsi" w:eastAsia="Calibri" w:hAnsiTheme="majorHAnsi"/>
          <w:lang w:val="fr-FR"/>
        </w:rPr>
        <w:t>Université de Toulouse, 14 Avenue Édouard Belin, 31400 Toulouse</w:t>
      </w:r>
    </w:p>
    <w:p w14:paraId="71891EDF" w14:textId="30CFFE59" w:rsidR="00094365" w:rsidRPr="00C231E2" w:rsidRDefault="00C231E2" w:rsidP="00C231E2">
      <w:pPr>
        <w:spacing w:line="360" w:lineRule="auto"/>
        <w:rPr>
          <w:rFonts w:asciiTheme="majorHAnsi" w:eastAsia="Calibri" w:hAnsiTheme="majorHAnsi"/>
          <w:lang w:val="fr-FR"/>
        </w:rPr>
      </w:pPr>
      <w:r w:rsidRPr="00C231E2">
        <w:rPr>
          <w:rFonts w:asciiTheme="majorHAnsi" w:eastAsia="Calibri" w:hAnsiTheme="majorHAnsi"/>
          <w:vertAlign w:val="superscript"/>
          <w:lang w:val="fr-FR"/>
        </w:rPr>
        <w:t>3</w:t>
      </w:r>
      <w:r w:rsidRPr="00C231E2">
        <w:rPr>
          <w:rFonts w:asciiTheme="majorHAnsi" w:eastAsia="Calibri" w:hAnsiTheme="majorHAnsi"/>
          <w:lang w:val="fr-FR"/>
        </w:rPr>
        <w:t xml:space="preserve"> Observatoire Volcanologique du Piton de la Fournaise (OVPF), 14RN3 - km 27, 97418 La Plaine des Cafres, La Réunion</w:t>
      </w:r>
    </w:p>
    <w:p w14:paraId="347237BD" w14:textId="77777777" w:rsidR="00094365" w:rsidRPr="00C7142F" w:rsidRDefault="00094365" w:rsidP="000B2E64">
      <w:pPr>
        <w:spacing w:before="100" w:beforeAutospacing="1" w:after="100" w:afterAutospacing="1"/>
        <w:jc w:val="center"/>
        <w:rPr>
          <w:rFonts w:ascii="Myriad Pro" w:hAnsi="Myriad Pro"/>
          <w:sz w:val="22"/>
          <w:szCs w:val="22"/>
          <w:lang w:val="fr-FR"/>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10640459" w14:textId="585149DF"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6A232A">
        <w:rPr>
          <w:rFonts w:ascii="Myriad Pro" w:hAnsi="Myriad Pro"/>
          <w:sz w:val="22"/>
          <w:szCs w:val="22"/>
        </w:rPr>
        <w:t>10</w:t>
      </w:r>
    </w:p>
    <w:p w14:paraId="6807841A" w14:textId="2B9A788F" w:rsidR="00111843" w:rsidRPr="00CE6EAA" w:rsidRDefault="00111843" w:rsidP="00111843">
      <w:pPr>
        <w:ind w:left="720"/>
        <w:rPr>
          <w:rFonts w:ascii="Myriad Pro" w:hAnsi="Myriad Pro"/>
          <w:sz w:val="22"/>
          <w:szCs w:val="22"/>
        </w:rPr>
      </w:pPr>
      <w:r w:rsidRPr="00CE6EAA">
        <w:rPr>
          <w:rFonts w:ascii="Myriad Pro" w:hAnsi="Myriad Pro"/>
          <w:sz w:val="22"/>
          <w:szCs w:val="22"/>
        </w:rPr>
        <w:t>Tables S1 to S</w:t>
      </w:r>
      <w:r w:rsidR="006A232A">
        <w:rPr>
          <w:rFonts w:ascii="Myriad Pro" w:hAnsi="Myriad Pro"/>
          <w:sz w:val="22"/>
          <w:szCs w:val="22"/>
        </w:rPr>
        <w:t>4</w:t>
      </w:r>
    </w:p>
    <w:p w14:paraId="795CD27E" w14:textId="77777777" w:rsidR="00111843" w:rsidRDefault="00111843" w:rsidP="00FF3503">
      <w:pPr>
        <w:spacing w:before="100" w:beforeAutospacing="1" w:after="100" w:afterAutospacing="1"/>
        <w:rPr>
          <w:rFonts w:ascii="Myriad Pro" w:hAnsi="Myriad Pro"/>
          <w:b/>
          <w:bCs/>
          <w:szCs w:val="24"/>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19886F0B" w14:textId="63376EB5" w:rsidR="002C030F" w:rsidRPr="006A232A" w:rsidRDefault="006A232A">
      <w:pPr>
        <w:rPr>
          <w:lang w:eastAsia="fr-FR"/>
        </w:rPr>
      </w:pPr>
      <w:r>
        <w:rPr>
          <w:lang w:eastAsia="fr-FR"/>
        </w:rPr>
        <w:t>This supplementary material consists in 10 supplementary figures and their captions</w:t>
      </w:r>
      <w:r w:rsidR="00065B8D">
        <w:rPr>
          <w:lang w:eastAsia="fr-FR"/>
        </w:rPr>
        <w:t xml:space="preserve"> and</w:t>
      </w:r>
      <w:r>
        <w:rPr>
          <w:lang w:eastAsia="fr-FR"/>
        </w:rPr>
        <w:t xml:space="preserve"> 4 supplementary tables and their captions. All the references cited here are in the main text of the paper.</w:t>
      </w:r>
    </w:p>
    <w:p w14:paraId="3C7A16EF" w14:textId="77777777" w:rsidR="009A5287" w:rsidRPr="00CE6EAA" w:rsidRDefault="009A5287" w:rsidP="006A232A">
      <w:pPr>
        <w:pStyle w:val="SMText"/>
        <w:ind w:firstLine="0"/>
        <w:rPr>
          <w:rFonts w:ascii="Myriad Pro" w:hAnsi="Myriad Pro"/>
        </w:rPr>
      </w:pPr>
    </w:p>
    <w:p w14:paraId="32CE9E2D" w14:textId="77777777" w:rsidR="003E1980" w:rsidRPr="00CE6EAA" w:rsidRDefault="003E1980" w:rsidP="009A5287">
      <w:pPr>
        <w:pStyle w:val="SMcaption"/>
        <w:rPr>
          <w:rFonts w:ascii="Myriad Pro" w:hAnsi="Myriad Pro"/>
        </w:rPr>
      </w:pPr>
    </w:p>
    <w:p w14:paraId="3BD29B29" w14:textId="4CD0AEA8" w:rsidR="009A0826" w:rsidRDefault="00A04CC3" w:rsidP="003E1980">
      <w:pPr>
        <w:pStyle w:val="SMHeading"/>
        <w:rPr>
          <w:rFonts w:ascii="Myriad Pro" w:hAnsi="Myriad Pro"/>
          <w:sz w:val="22"/>
          <w:szCs w:val="22"/>
        </w:rPr>
      </w:pPr>
      <w:r>
        <w:rPr>
          <w:rFonts w:ascii="Myriad Pro" w:hAnsi="Myriad Pro"/>
          <w:noProof/>
          <w:sz w:val="22"/>
          <w:szCs w:val="22"/>
        </w:rPr>
        <w:lastRenderedPageBreak/>
        <w:drawing>
          <wp:inline distT="0" distB="0" distL="0" distR="0" wp14:anchorId="7CC93620" wp14:editId="1F9A7F71">
            <wp:extent cx="5315485" cy="7278465"/>
            <wp:effectExtent l="0" t="0" r="6350" b="0"/>
            <wp:docPr id="190638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81019" name="Picture 19063810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6327" cy="7293311"/>
                    </a:xfrm>
                    <a:prstGeom prst="rect">
                      <a:avLst/>
                    </a:prstGeom>
                  </pic:spPr>
                </pic:pic>
              </a:graphicData>
            </a:graphic>
          </wp:inline>
        </w:drawing>
      </w:r>
    </w:p>
    <w:p w14:paraId="3D3894F4" w14:textId="4CD60654" w:rsidR="009A0826" w:rsidRPr="001F4D68" w:rsidRDefault="00227D86" w:rsidP="001F4D68">
      <w:pPr>
        <w:spacing w:line="276" w:lineRule="auto"/>
        <w:jc w:val="both"/>
        <w:rPr>
          <w:szCs w:val="24"/>
        </w:rPr>
      </w:pPr>
      <w:r w:rsidRPr="001F4D68">
        <w:rPr>
          <w:szCs w:val="24"/>
        </w:rPr>
        <w:t>Figure S1</w:t>
      </w:r>
      <w:r w:rsidR="003E1980" w:rsidRPr="001F4D68">
        <w:rPr>
          <w:szCs w:val="24"/>
        </w:rPr>
        <w:t xml:space="preserve">. </w:t>
      </w:r>
      <w:r w:rsidR="009A0826" w:rsidRPr="001F4D68">
        <w:rPr>
          <w:szCs w:val="24"/>
        </w:rPr>
        <w:t xml:space="preserve">Sampling of diffuse fluids at the 4 temperature monitoring locations shown in the Tour Eiffel (TE) and White Castle (WC) maps of Figure 4. Details of mosaic of OTUS seafloor photographs (left panels) and ROV video snapshots (right panels). Sample numbers (Table 1) are shown in green when sampling was performed within 1 m of an </w:t>
      </w:r>
      <w:r w:rsidR="009A0826" w:rsidRPr="001F4D68">
        <w:rPr>
          <w:szCs w:val="24"/>
        </w:rPr>
        <w:lastRenderedPageBreak/>
        <w:t>autonomous temperature probe</w:t>
      </w:r>
      <w:r w:rsidR="00065B8D">
        <w:rPr>
          <w:szCs w:val="24"/>
        </w:rPr>
        <w:t xml:space="preserve"> and</w:t>
      </w:r>
      <w:r w:rsidR="009A0826" w:rsidRPr="001F4D68">
        <w:rPr>
          <w:szCs w:val="24"/>
        </w:rPr>
        <w:t xml:space="preserve"> in yellow if performed &gt;1m away. (a) TE-5 monitoring location (north of Tour Eiffel), bell-shaped fluid sampler collects fluids at vent nested in yellow Fe-oxidizing bacterial mats. </w:t>
      </w:r>
      <w:r w:rsidR="009A0826" w:rsidRPr="001F4D68">
        <w:rPr>
          <w:bCs/>
          <w:color w:val="000000"/>
          <w:szCs w:val="24"/>
        </w:rPr>
        <w:t xml:space="preserve">Fluid sampling is triggered when shimmering fluids have filled the bell and pushed ambient seawater out. </w:t>
      </w:r>
      <w:r w:rsidR="009A0826" w:rsidRPr="001F4D68">
        <w:rPr>
          <w:szCs w:val="24"/>
        </w:rPr>
        <w:t>(b) TE-3 monitoring location (south of Tour Eiffel), bell-shaped fluid sampler collects fluids at crack hosting mussels and white bacterial mats. (c) WC-3 monitoring location (north of White Castle), bell-shaped fluid sampler collects fluids over white diffuse venting patch, near the edge of mussel-hosting, slab formation. (d) WC-2 monitoring location (south of White Castle) bell-shaped fluid sampler collects fluids at crack near base of sulfide mound.</w:t>
      </w:r>
    </w:p>
    <w:p w14:paraId="2A630BF5" w14:textId="3EB738D2" w:rsidR="003E1980" w:rsidRPr="005314B5" w:rsidRDefault="00112C5B" w:rsidP="003E1980">
      <w:pPr>
        <w:pStyle w:val="SMHeading"/>
        <w:rPr>
          <w:rFonts w:ascii="Myriad Pro" w:hAnsi="Myriad Pro"/>
          <w:sz w:val="22"/>
          <w:szCs w:val="22"/>
        </w:rPr>
      </w:pPr>
      <w:r w:rsidRPr="005314B5">
        <w:rPr>
          <w:rFonts w:ascii="Myriad Pro" w:hAnsi="Myriad Pro"/>
          <w:b w:val="0"/>
          <w:sz w:val="22"/>
          <w:szCs w:val="22"/>
        </w:rPr>
        <w:t xml:space="preserve"> </w:t>
      </w:r>
      <w:r w:rsidRPr="005314B5">
        <w:rPr>
          <w:rFonts w:ascii="Myriad Pro" w:hAnsi="Myriad Pro"/>
          <w:sz w:val="22"/>
          <w:szCs w:val="22"/>
        </w:rPr>
        <w:t xml:space="preserve"> </w:t>
      </w:r>
    </w:p>
    <w:p w14:paraId="34CE76F8" w14:textId="77777777" w:rsidR="005314B5" w:rsidRDefault="005314B5" w:rsidP="00477182">
      <w:pPr>
        <w:pStyle w:val="SMcaption"/>
        <w:rPr>
          <w:rFonts w:ascii="Myriad Pro" w:hAnsi="Myriad Pro"/>
          <w:sz w:val="22"/>
          <w:szCs w:val="22"/>
        </w:rPr>
      </w:pPr>
    </w:p>
    <w:p w14:paraId="5AA959D6" w14:textId="633E2C45" w:rsidR="006A232A" w:rsidRPr="005314B5" w:rsidRDefault="00BF32D8" w:rsidP="006A232A">
      <w:pPr>
        <w:pStyle w:val="SMcaption"/>
        <w:rPr>
          <w:rFonts w:ascii="Myriad Pro" w:hAnsi="Myriad Pro"/>
          <w:sz w:val="22"/>
          <w:szCs w:val="22"/>
        </w:rPr>
      </w:pPr>
      <w:r>
        <w:rPr>
          <w:rFonts w:ascii="Myriad Pro" w:hAnsi="Myriad Pro"/>
          <w:noProof/>
          <w:sz w:val="22"/>
          <w:szCs w:val="22"/>
        </w:rPr>
        <w:drawing>
          <wp:inline distT="0" distB="0" distL="0" distR="0" wp14:anchorId="63354B40" wp14:editId="6C3F3E40">
            <wp:extent cx="5486400" cy="3116580"/>
            <wp:effectExtent l="0" t="0" r="0" b="0"/>
            <wp:docPr id="612425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25142" name="Picture 6124251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116580"/>
                    </a:xfrm>
                    <a:prstGeom prst="rect">
                      <a:avLst/>
                    </a:prstGeom>
                  </pic:spPr>
                </pic:pic>
              </a:graphicData>
            </a:graphic>
          </wp:inline>
        </w:drawing>
      </w:r>
    </w:p>
    <w:p w14:paraId="2BA76B65" w14:textId="495EADCA" w:rsidR="009A0826" w:rsidRPr="001F4D68" w:rsidRDefault="006A232A" w:rsidP="001F4D68">
      <w:pPr>
        <w:spacing w:line="276" w:lineRule="auto"/>
        <w:jc w:val="both"/>
        <w:rPr>
          <w:szCs w:val="24"/>
        </w:rPr>
      </w:pPr>
      <w:r w:rsidRPr="001F4D68">
        <w:rPr>
          <w:szCs w:val="24"/>
        </w:rPr>
        <w:t xml:space="preserve">Figure S2. </w:t>
      </w:r>
      <w:r w:rsidR="009A0826" w:rsidRPr="001F4D68">
        <w:rPr>
          <w:szCs w:val="24"/>
        </w:rPr>
        <w:t xml:space="preserve">Testing 4 sizes (10, 30, 60 and 90 days; 1 day sliding time) for the sliding window used in calculations of the coherence and phase lag between time series of fluid temperature and seafloor pressure at the M2 tidal frequency. (a) Temperatures recorded over one year at monitoring location WC-2 (White Castle). (b) Time variation of the coherence at the M2 tidal frequency. (c) Time variation of the phase lag between temperature and seafloor pressure at the M2 tidal frequency. The 10 days sliding window appears too sensitive to episodic variations, while the 60 and 90 days sliding windows would prevent detection of </w:t>
      </w:r>
      <w:r w:rsidR="001F4D68" w:rsidRPr="001F4D68">
        <w:rPr>
          <w:szCs w:val="24"/>
        </w:rPr>
        <w:t>fortnightly</w:t>
      </w:r>
      <w:r w:rsidR="009A0826" w:rsidRPr="001F4D68">
        <w:rPr>
          <w:szCs w:val="24"/>
        </w:rPr>
        <w:t xml:space="preserve"> tidal variations. </w:t>
      </w:r>
    </w:p>
    <w:p w14:paraId="4F3DC07E" w14:textId="77777777" w:rsidR="006A232A" w:rsidRDefault="006A232A" w:rsidP="00477182">
      <w:pPr>
        <w:pStyle w:val="SMcaption"/>
        <w:rPr>
          <w:rFonts w:ascii="Myriad Pro" w:hAnsi="Myriad Pro"/>
          <w:b/>
          <w:i/>
          <w:sz w:val="22"/>
          <w:szCs w:val="22"/>
        </w:rPr>
      </w:pPr>
    </w:p>
    <w:p w14:paraId="4513ACDD" w14:textId="3B8D9901" w:rsidR="00662109" w:rsidRDefault="00207752" w:rsidP="006A232A">
      <w:pPr>
        <w:pStyle w:val="SMHeading"/>
        <w:rPr>
          <w:rFonts w:ascii="Myriad Pro" w:hAnsi="Myriad Pro"/>
          <w:sz w:val="22"/>
          <w:szCs w:val="22"/>
        </w:rPr>
      </w:pPr>
      <w:r>
        <w:rPr>
          <w:rFonts w:ascii="Myriad Pro" w:hAnsi="Myriad Pro"/>
          <w:noProof/>
          <w:sz w:val="22"/>
          <w:szCs w:val="22"/>
        </w:rPr>
        <w:lastRenderedPageBreak/>
        <w:drawing>
          <wp:inline distT="0" distB="0" distL="0" distR="0" wp14:anchorId="42339F18" wp14:editId="78E816DB">
            <wp:extent cx="5429250" cy="8229600"/>
            <wp:effectExtent l="0" t="0" r="6350" b="0"/>
            <wp:docPr id="847143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43345" name="Picture 8471433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9250" cy="8229600"/>
                    </a:xfrm>
                    <a:prstGeom prst="rect">
                      <a:avLst/>
                    </a:prstGeom>
                  </pic:spPr>
                </pic:pic>
              </a:graphicData>
            </a:graphic>
          </wp:inline>
        </w:drawing>
      </w:r>
    </w:p>
    <w:p w14:paraId="3B9A5156" w14:textId="4AE442C4" w:rsidR="006A232A" w:rsidRPr="001F4D68" w:rsidRDefault="006A232A" w:rsidP="001F4D68">
      <w:pPr>
        <w:pStyle w:val="SMHeading"/>
        <w:spacing w:line="276" w:lineRule="auto"/>
        <w:jc w:val="both"/>
      </w:pPr>
      <w:r w:rsidRPr="001F4D68">
        <w:lastRenderedPageBreak/>
        <w:t xml:space="preserve">Figure S3. </w:t>
      </w:r>
      <w:r w:rsidR="00662109" w:rsidRPr="001F4D68">
        <w:rPr>
          <w:b w:val="0"/>
          <w:bCs w:val="0"/>
        </w:rPr>
        <w:t>Magnesium, chloride, silicon, potassium, calcium, sulfate and temperature for focused end member fluids sampled at monitoring locations TE-1 and WC-1 in 2016-2019, with linear trends to seawater composition (SW; Millero et al. 2008). (a) Magnesium and chloride contents. (b) Magnesium and silica contents. (c) Magnesium and potassium contents. (d) Magnesium and calcium contents. (e) Calcium and sulfate ion contents. Dashed grey lines trace the concentrations expected for anhydrite dissolution or precipitation. (f) Magnesium and fluid temperature measured by the ROV or manned submersible</w:t>
      </w:r>
      <w:r w:rsidRPr="001F4D68">
        <w:rPr>
          <w:b w:val="0"/>
          <w:bCs w:val="0"/>
        </w:rPr>
        <w:t xml:space="preserve">.  </w:t>
      </w:r>
    </w:p>
    <w:p w14:paraId="6B0180BE" w14:textId="77777777" w:rsidR="006A232A" w:rsidRDefault="006A232A" w:rsidP="00477182">
      <w:pPr>
        <w:pStyle w:val="SMcaption"/>
        <w:rPr>
          <w:rFonts w:ascii="Myriad Pro" w:hAnsi="Myriad Pro"/>
          <w:b/>
          <w:i/>
          <w:sz w:val="22"/>
          <w:szCs w:val="22"/>
        </w:rPr>
      </w:pPr>
    </w:p>
    <w:p w14:paraId="5B9D97BE" w14:textId="55516056" w:rsidR="00662109" w:rsidRDefault="00207752" w:rsidP="006A232A">
      <w:pPr>
        <w:pStyle w:val="SMHeading"/>
        <w:rPr>
          <w:rFonts w:ascii="Myriad Pro" w:hAnsi="Myriad Pro"/>
          <w:sz w:val="22"/>
          <w:szCs w:val="22"/>
        </w:rPr>
      </w:pPr>
      <w:r>
        <w:rPr>
          <w:rFonts w:ascii="Myriad Pro" w:hAnsi="Myriad Pro"/>
          <w:noProof/>
          <w:sz w:val="22"/>
          <w:szCs w:val="22"/>
        </w:rPr>
        <w:drawing>
          <wp:inline distT="0" distB="0" distL="0" distR="0" wp14:anchorId="2DE9AB2B" wp14:editId="1ECF9B35">
            <wp:extent cx="5486400" cy="2721610"/>
            <wp:effectExtent l="0" t="0" r="0" b="0"/>
            <wp:docPr id="1576551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51035" name="Picture 15765510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21610"/>
                    </a:xfrm>
                    <a:prstGeom prst="rect">
                      <a:avLst/>
                    </a:prstGeom>
                  </pic:spPr>
                </pic:pic>
              </a:graphicData>
            </a:graphic>
          </wp:inline>
        </w:drawing>
      </w:r>
    </w:p>
    <w:p w14:paraId="3F5CE82B" w14:textId="7772E67B" w:rsidR="006A232A" w:rsidRPr="001F4D68" w:rsidRDefault="006A232A" w:rsidP="001F4D68">
      <w:pPr>
        <w:pStyle w:val="SMHeading"/>
        <w:spacing w:line="276" w:lineRule="auto"/>
        <w:jc w:val="both"/>
        <w:rPr>
          <w:b w:val="0"/>
          <w:bCs w:val="0"/>
        </w:rPr>
      </w:pPr>
      <w:r w:rsidRPr="001F4D68">
        <w:t xml:space="preserve">Figure S4. </w:t>
      </w:r>
      <w:r w:rsidR="00662109" w:rsidRPr="001F4D68">
        <w:rPr>
          <w:b w:val="0"/>
          <w:bCs w:val="0"/>
        </w:rPr>
        <w:t>Chemical diversity of diffuse fluids sampled at Tour Eiffel (TE) and White Castle (WC) monitoring locations TE-3, TE-5, WC-2 and WC-3 in 2016, 2017, 2018 and 2019 (Table 1). (a) Magnesium and manganese contents. Except for fluids sampled near the WC-3 monitoring location in 2016, data plot near the end-member fluid to SW lines. 3 groups of samples are identifiable, based on their Mg content and position with respect to the end-member fluid to SW lines (see text; group 1 in grey, group 2 in pink, group 3 in blue). (b) Barium and sulfate ion contents. Fluids sampled at and near the WC-3 monitoring location in 2016 are again outliers. Other samples plot near, or above the end-member fluid to SW lines</w:t>
      </w:r>
      <w:r w:rsidRPr="001F4D68">
        <w:rPr>
          <w:b w:val="0"/>
          <w:bCs w:val="0"/>
        </w:rPr>
        <w:t xml:space="preserve">.  </w:t>
      </w:r>
    </w:p>
    <w:p w14:paraId="3B5D9FFB" w14:textId="77777777" w:rsidR="006A232A" w:rsidRDefault="006A232A" w:rsidP="00477182">
      <w:pPr>
        <w:pStyle w:val="SMcaption"/>
        <w:rPr>
          <w:rFonts w:ascii="Myriad Pro" w:hAnsi="Myriad Pro"/>
          <w:b/>
          <w:i/>
          <w:sz w:val="22"/>
          <w:szCs w:val="22"/>
        </w:rPr>
      </w:pPr>
    </w:p>
    <w:p w14:paraId="502ABA50" w14:textId="77777777" w:rsidR="001F4D68" w:rsidRDefault="001F4D68" w:rsidP="00477182">
      <w:pPr>
        <w:pStyle w:val="SMcaption"/>
        <w:rPr>
          <w:rFonts w:ascii="Myriad Pro" w:hAnsi="Myriad Pro"/>
          <w:b/>
          <w:i/>
          <w:sz w:val="22"/>
          <w:szCs w:val="22"/>
        </w:rPr>
      </w:pPr>
    </w:p>
    <w:p w14:paraId="11CF4531" w14:textId="23FD466E" w:rsidR="006A232A" w:rsidRPr="005314B5" w:rsidRDefault="00207752" w:rsidP="006A232A">
      <w:pPr>
        <w:pStyle w:val="SMcaption"/>
        <w:rPr>
          <w:rFonts w:ascii="Myriad Pro" w:hAnsi="Myriad Pro"/>
          <w:sz w:val="22"/>
          <w:szCs w:val="22"/>
        </w:rPr>
      </w:pPr>
      <w:r>
        <w:rPr>
          <w:rFonts w:ascii="Myriad Pro" w:hAnsi="Myriad Pro"/>
          <w:noProof/>
          <w:sz w:val="22"/>
          <w:szCs w:val="22"/>
        </w:rPr>
        <w:lastRenderedPageBreak/>
        <w:drawing>
          <wp:inline distT="0" distB="0" distL="0" distR="0" wp14:anchorId="4683B03E" wp14:editId="0BD310C2">
            <wp:extent cx="5486400" cy="2207895"/>
            <wp:effectExtent l="0" t="0" r="0" b="1905"/>
            <wp:docPr id="839949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49334" name="Picture 8399493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207895"/>
                    </a:xfrm>
                    <a:prstGeom prst="rect">
                      <a:avLst/>
                    </a:prstGeom>
                  </pic:spPr>
                </pic:pic>
              </a:graphicData>
            </a:graphic>
          </wp:inline>
        </w:drawing>
      </w:r>
    </w:p>
    <w:p w14:paraId="579E1695" w14:textId="36790D8B" w:rsidR="006A232A" w:rsidRPr="001F4D68" w:rsidRDefault="006A232A" w:rsidP="001F4D68">
      <w:pPr>
        <w:spacing w:line="276" w:lineRule="auto"/>
        <w:jc w:val="both"/>
        <w:rPr>
          <w:szCs w:val="24"/>
        </w:rPr>
      </w:pPr>
      <w:r w:rsidRPr="001F4D68">
        <w:rPr>
          <w:szCs w:val="24"/>
        </w:rPr>
        <w:t xml:space="preserve">Figure S5. </w:t>
      </w:r>
      <w:r w:rsidR="00D628FE" w:rsidRPr="001F4D68">
        <w:rPr>
          <w:szCs w:val="24"/>
        </w:rPr>
        <w:t>Time variation of the PSD of venting temperatures at the M2 frequency (30 days sliding window, 1 day sliding time) over the 3 years of the experiment at the TE and WC monitoring locations. (a) Focused vents; light red for WC-1. (b) Diffuse venting cracks; darker green for WC-2. (c) Diffuse venting sandy patches; darker blue for WC-3. PSD time variations for probes that had fallen off vent and recorded near seafloor seawater temperatures are shown in grey.</w:t>
      </w:r>
      <w:r w:rsidRPr="001F4D68">
        <w:rPr>
          <w:szCs w:val="24"/>
        </w:rPr>
        <w:t xml:space="preserve">  </w:t>
      </w:r>
    </w:p>
    <w:p w14:paraId="1AEABBEF" w14:textId="77777777" w:rsidR="006A232A" w:rsidRDefault="006A232A" w:rsidP="00477182">
      <w:pPr>
        <w:pStyle w:val="SMcaption"/>
        <w:rPr>
          <w:rFonts w:ascii="Myriad Pro" w:hAnsi="Myriad Pro"/>
          <w:b/>
          <w:i/>
          <w:sz w:val="22"/>
          <w:szCs w:val="22"/>
        </w:rPr>
      </w:pPr>
    </w:p>
    <w:p w14:paraId="0900D4CA" w14:textId="77777777" w:rsidR="001F4D68" w:rsidRDefault="001F4D68" w:rsidP="00477182">
      <w:pPr>
        <w:pStyle w:val="SMcaption"/>
        <w:rPr>
          <w:rFonts w:ascii="Myriad Pro" w:hAnsi="Myriad Pro"/>
          <w:b/>
          <w:i/>
          <w:sz w:val="22"/>
          <w:szCs w:val="22"/>
        </w:rPr>
      </w:pPr>
    </w:p>
    <w:p w14:paraId="226A059F" w14:textId="6476D68B" w:rsidR="006A232A" w:rsidRPr="001F4D68" w:rsidRDefault="009915CA" w:rsidP="001F4D68">
      <w:pPr>
        <w:spacing w:line="276" w:lineRule="auto"/>
        <w:jc w:val="both"/>
        <w:rPr>
          <w:szCs w:val="24"/>
        </w:rPr>
      </w:pPr>
      <w:r>
        <w:rPr>
          <w:noProof/>
          <w:szCs w:val="24"/>
        </w:rPr>
        <w:drawing>
          <wp:inline distT="0" distB="0" distL="0" distR="0" wp14:anchorId="3E1176E7" wp14:editId="4D11B5DF">
            <wp:extent cx="5486400" cy="2045335"/>
            <wp:effectExtent l="0" t="0" r="0" b="0"/>
            <wp:docPr id="1100265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65250" name="Picture 11002652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045335"/>
                    </a:xfrm>
                    <a:prstGeom prst="rect">
                      <a:avLst/>
                    </a:prstGeom>
                  </pic:spPr>
                </pic:pic>
              </a:graphicData>
            </a:graphic>
          </wp:inline>
        </w:drawing>
      </w:r>
      <w:r w:rsidR="006A232A" w:rsidRPr="001F4D68">
        <w:rPr>
          <w:szCs w:val="24"/>
        </w:rPr>
        <w:t xml:space="preserve">Figure S6. </w:t>
      </w:r>
      <w:r w:rsidR="00572B67" w:rsidRPr="001F4D68">
        <w:rPr>
          <w:szCs w:val="24"/>
        </w:rPr>
        <w:t>Time variation of (a) seafloor pressure and of (b) the power spectrum density (PSD) of seafloor pressure at the M2 frequency over the 3 years of the experiment: probe located at JPPW (Figure 1) in 2016-2017 and 2018-2019  and at Seamon W in 2017-2018 (pressure head scale in grey). PSD values in (b) are calculated for a 30 days sliding window, 1 day sliding time.</w:t>
      </w:r>
      <w:r w:rsidR="006A232A" w:rsidRPr="001F4D68">
        <w:rPr>
          <w:szCs w:val="24"/>
        </w:rPr>
        <w:t xml:space="preserve">  </w:t>
      </w:r>
    </w:p>
    <w:p w14:paraId="6BF76F70" w14:textId="7EA8526B" w:rsidR="006A232A" w:rsidRDefault="009915CA" w:rsidP="00477182">
      <w:pPr>
        <w:pStyle w:val="SMcaption"/>
        <w:rPr>
          <w:rFonts w:ascii="Myriad Pro" w:hAnsi="Myriad Pro"/>
          <w:b/>
          <w:i/>
          <w:sz w:val="22"/>
          <w:szCs w:val="22"/>
        </w:rPr>
      </w:pPr>
      <w:r>
        <w:rPr>
          <w:rFonts w:ascii="Myriad Pro" w:hAnsi="Myriad Pro"/>
          <w:b/>
          <w:i/>
          <w:noProof/>
          <w:sz w:val="22"/>
          <w:szCs w:val="22"/>
        </w:rPr>
        <w:lastRenderedPageBreak/>
        <w:drawing>
          <wp:inline distT="0" distB="0" distL="0" distR="0" wp14:anchorId="1A6ED8C5" wp14:editId="13B2C17B">
            <wp:extent cx="5486400" cy="3949908"/>
            <wp:effectExtent l="0" t="0" r="0" b="0"/>
            <wp:docPr id="1385682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82439" name="Picture 1385682439"/>
                    <pic:cNvPicPr/>
                  </pic:nvPicPr>
                  <pic:blipFill rotWithShape="1">
                    <a:blip r:embed="rId13" cstate="print">
                      <a:extLst>
                        <a:ext uri="{28A0092B-C50C-407E-A947-70E740481C1C}">
                          <a14:useLocalDpi xmlns:a14="http://schemas.microsoft.com/office/drawing/2010/main" val="0"/>
                        </a:ext>
                      </a:extLst>
                    </a:blip>
                    <a:srcRect b="47011"/>
                    <a:stretch/>
                  </pic:blipFill>
                  <pic:spPr bwMode="auto">
                    <a:xfrm>
                      <a:off x="0" y="0"/>
                      <a:ext cx="5486400" cy="3949908"/>
                    </a:xfrm>
                    <a:prstGeom prst="rect">
                      <a:avLst/>
                    </a:prstGeom>
                    <a:ln>
                      <a:noFill/>
                    </a:ln>
                    <a:extLst>
                      <a:ext uri="{53640926-AAD7-44D8-BBD7-CCE9431645EC}">
                        <a14:shadowObscured xmlns:a14="http://schemas.microsoft.com/office/drawing/2010/main"/>
                      </a:ext>
                    </a:extLst>
                  </pic:spPr>
                </pic:pic>
              </a:graphicData>
            </a:graphic>
          </wp:inline>
        </w:drawing>
      </w:r>
    </w:p>
    <w:p w14:paraId="22713C72" w14:textId="3B7AF9F0" w:rsidR="006A232A" w:rsidRPr="00E34324" w:rsidRDefault="006A232A" w:rsidP="00E34324">
      <w:pPr>
        <w:pStyle w:val="SMHeading"/>
        <w:spacing w:line="276" w:lineRule="auto"/>
        <w:jc w:val="both"/>
      </w:pPr>
      <w:r w:rsidRPr="00E34324">
        <w:t xml:space="preserve">Figure S7. </w:t>
      </w:r>
      <w:r w:rsidR="00AD3F66" w:rsidRPr="00E34324">
        <w:rPr>
          <w:b w:val="0"/>
          <w:bCs w:val="0"/>
        </w:rPr>
        <w:t>Temperatures recorded at focused and diffuse vents at the Tour Eiffel (TE) and White Castle (WC) sites</w:t>
      </w:r>
      <w:r w:rsidR="00065B8D">
        <w:rPr>
          <w:b w:val="0"/>
          <w:bCs w:val="0"/>
        </w:rPr>
        <w:t xml:space="preserve"> and</w:t>
      </w:r>
      <w:r w:rsidR="00AD3F66" w:rsidRPr="00E34324">
        <w:rPr>
          <w:b w:val="0"/>
          <w:bCs w:val="0"/>
        </w:rPr>
        <w:t xml:space="preserve"> time variations of the coherence and phase lag with seafloor pressure at the M2 tidal frequency (30 days sliding window, 1 day sliding time). Light grey intervals correspond to maintenance cruises. This figure compiles data plotted in Figure 7 and uses the same color codes. Its purpose is to facilitate intercomparison of time variations recorded at several monitoring locations of the same hydrothermal site. (a) and (d) Temperature time-series for monitoring locations at TE and WC respectively. (b) and (e) Time variation of the coherence calculated between temperature and seafloor pressure at the M2 tidal frequency at TE and WC respectively. (c) and (f) Time variation of the phase lag calculated between temperature and seafloor pressure at the M2 tidal frequency for M2 coherence &gt;0.75 (thicker lines), or &gt;0.5 (thin lines) at TE and WC respectively.</w:t>
      </w:r>
      <w:r w:rsidRPr="00E34324">
        <w:rPr>
          <w:b w:val="0"/>
          <w:bCs w:val="0"/>
        </w:rPr>
        <w:t xml:space="preserve"> </w:t>
      </w:r>
    </w:p>
    <w:p w14:paraId="2EEAA2B3" w14:textId="77777777" w:rsidR="006A232A" w:rsidRPr="00E34324" w:rsidRDefault="006A232A" w:rsidP="00E34324">
      <w:pPr>
        <w:spacing w:line="276" w:lineRule="auto"/>
        <w:jc w:val="both"/>
        <w:rPr>
          <w:b/>
          <w:i/>
          <w:szCs w:val="24"/>
        </w:rPr>
      </w:pPr>
    </w:p>
    <w:p w14:paraId="4A90DD35" w14:textId="3454D8E2" w:rsidR="006A232A" w:rsidRPr="00E10596" w:rsidRDefault="009A1EC6" w:rsidP="00E10596">
      <w:pPr>
        <w:spacing w:line="276" w:lineRule="auto"/>
        <w:jc w:val="both"/>
        <w:rPr>
          <w:szCs w:val="24"/>
        </w:rPr>
      </w:pPr>
      <w:r>
        <w:rPr>
          <w:noProof/>
          <w:szCs w:val="24"/>
        </w:rPr>
        <w:lastRenderedPageBreak/>
        <w:drawing>
          <wp:inline distT="0" distB="0" distL="0" distR="0" wp14:anchorId="361117D1" wp14:editId="66F784A2">
            <wp:extent cx="5486400" cy="2956560"/>
            <wp:effectExtent l="0" t="0" r="0" b="2540"/>
            <wp:docPr id="1188476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76275" name="Picture 11884762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956560"/>
                    </a:xfrm>
                    <a:prstGeom prst="rect">
                      <a:avLst/>
                    </a:prstGeom>
                  </pic:spPr>
                </pic:pic>
              </a:graphicData>
            </a:graphic>
          </wp:inline>
        </w:drawing>
      </w:r>
      <w:r w:rsidR="006A232A" w:rsidRPr="00E10596">
        <w:rPr>
          <w:szCs w:val="24"/>
        </w:rPr>
        <w:t xml:space="preserve">Figure S8. </w:t>
      </w:r>
      <w:r w:rsidR="005464C5" w:rsidRPr="00E10596">
        <w:rPr>
          <w:szCs w:val="24"/>
        </w:rPr>
        <w:t>Current velocity variations recorded over the 3 years of survey at near seafloor depths (1m) near the Tour Eiffel (TE) and White Castle (WC) sites (location in Figure 1)</w:t>
      </w:r>
      <w:r w:rsidR="00065B8D">
        <w:rPr>
          <w:szCs w:val="24"/>
        </w:rPr>
        <w:t xml:space="preserve"> and</w:t>
      </w:r>
      <w:r w:rsidR="005464C5" w:rsidRPr="00E10596">
        <w:rPr>
          <w:szCs w:val="24"/>
        </w:rPr>
        <w:t xml:space="preserve"> time variations (30 days sliding window, 1 day sliding time) of the coherence and phase lag with seafloor pressure at the M2 tidal frequency.  Light grey intervals correspond to maintenance cruises. (a) Current velocity time-series. (b) Time variation of the coherence calculated between current velocity and seafloor pressure at the M2 tidal frequency.  (c) Time variation of the phase lag calculated between current velocity and seafloor pressure at the M2 tidal frequency for M2 coherence &gt; 0.75 (thicker lines) or &gt; 0.5 (thin lines). (d) Time variation of the PSD for current velocity at the M2 tidal frequency.</w:t>
      </w:r>
      <w:r w:rsidR="006A232A" w:rsidRPr="00E10596">
        <w:rPr>
          <w:szCs w:val="24"/>
        </w:rPr>
        <w:t xml:space="preserve">  </w:t>
      </w:r>
    </w:p>
    <w:p w14:paraId="6A1F68F5" w14:textId="77777777" w:rsidR="006A232A" w:rsidRDefault="006A232A">
      <w:pPr>
        <w:rPr>
          <w:rFonts w:ascii="Myriad Pro" w:hAnsi="Myriad Pro"/>
          <w:b/>
          <w:i/>
          <w:sz w:val="22"/>
          <w:szCs w:val="22"/>
        </w:rPr>
      </w:pPr>
    </w:p>
    <w:p w14:paraId="74BC8895" w14:textId="2D3363D4" w:rsidR="006A232A" w:rsidRPr="00E10596" w:rsidRDefault="009A1EC6" w:rsidP="00E10596">
      <w:pPr>
        <w:pStyle w:val="SMHeading"/>
        <w:spacing w:line="276" w:lineRule="auto"/>
        <w:jc w:val="both"/>
      </w:pPr>
      <w:r>
        <w:rPr>
          <w:noProof/>
        </w:rPr>
        <w:drawing>
          <wp:inline distT="0" distB="0" distL="0" distR="0" wp14:anchorId="2789884B" wp14:editId="0B7C8C2E">
            <wp:extent cx="5486400" cy="2872105"/>
            <wp:effectExtent l="0" t="0" r="0" b="0"/>
            <wp:docPr id="1908672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72895" name="Picture 19086728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872105"/>
                    </a:xfrm>
                    <a:prstGeom prst="rect">
                      <a:avLst/>
                    </a:prstGeom>
                  </pic:spPr>
                </pic:pic>
              </a:graphicData>
            </a:graphic>
          </wp:inline>
        </w:drawing>
      </w:r>
      <w:r w:rsidR="006A232A" w:rsidRPr="00E10596">
        <w:t xml:space="preserve">Figure S9. </w:t>
      </w:r>
      <w:r w:rsidR="005464C5" w:rsidRPr="00E10596">
        <w:rPr>
          <w:b w:val="0"/>
          <w:bCs w:val="0"/>
        </w:rPr>
        <w:t xml:space="preserve">Time variation of the coherence calculated between vent temperatures and </w:t>
      </w:r>
      <w:r w:rsidR="005464C5" w:rsidRPr="00E10596">
        <w:rPr>
          <w:b w:val="0"/>
          <w:bCs w:val="0"/>
        </w:rPr>
        <w:lastRenderedPageBreak/>
        <w:t>current velocity at the M2 tidal frequency (30 days sliding window, 1 day sliding time) at Tour Eiffel (TE) and White Castle (WC) monitoring locations. Light grey intervals correspond to maintenance cruises. (a) focused vents TE-1 (dark red) and WC-1 (red). (b) venting cracks TE-2 (pale green), TE-3 (bright green)</w:t>
      </w:r>
      <w:r w:rsidR="00065B8D">
        <w:rPr>
          <w:b w:val="0"/>
          <w:bCs w:val="0"/>
        </w:rPr>
        <w:t xml:space="preserve"> and</w:t>
      </w:r>
      <w:r w:rsidR="005464C5" w:rsidRPr="00E10596">
        <w:rPr>
          <w:b w:val="0"/>
          <w:bCs w:val="0"/>
        </w:rPr>
        <w:t xml:space="preserve"> WC-2 (dark green); (c) venting patches TE-4 (pale blue), TE-5 (electric blue)</w:t>
      </w:r>
      <w:r w:rsidR="00065B8D">
        <w:rPr>
          <w:b w:val="0"/>
          <w:bCs w:val="0"/>
        </w:rPr>
        <w:t xml:space="preserve"> and</w:t>
      </w:r>
      <w:r w:rsidR="005464C5" w:rsidRPr="00E10596">
        <w:rPr>
          <w:b w:val="0"/>
          <w:bCs w:val="0"/>
        </w:rPr>
        <w:t xml:space="preserve"> WC-3 (dark blue).</w:t>
      </w:r>
      <w:r w:rsidR="006A232A" w:rsidRPr="00E10596">
        <w:rPr>
          <w:b w:val="0"/>
          <w:bCs w:val="0"/>
        </w:rPr>
        <w:t xml:space="preserve">  </w:t>
      </w:r>
    </w:p>
    <w:p w14:paraId="048E295F" w14:textId="77777777" w:rsidR="006A232A" w:rsidRDefault="006A232A">
      <w:pPr>
        <w:rPr>
          <w:rFonts w:ascii="Myriad Pro" w:hAnsi="Myriad Pro"/>
          <w:b/>
          <w:i/>
          <w:sz w:val="22"/>
          <w:szCs w:val="22"/>
        </w:rPr>
      </w:pPr>
    </w:p>
    <w:p w14:paraId="552C318F" w14:textId="2B1FBEAD" w:rsidR="0090309A" w:rsidRDefault="009A1EC6" w:rsidP="006A232A">
      <w:pPr>
        <w:pStyle w:val="SMHeading"/>
        <w:rPr>
          <w:rFonts w:ascii="Myriad Pro" w:hAnsi="Myriad Pro"/>
          <w:sz w:val="22"/>
          <w:szCs w:val="22"/>
        </w:rPr>
      </w:pPr>
      <w:r>
        <w:rPr>
          <w:rFonts w:ascii="Myriad Pro" w:hAnsi="Myriad Pro"/>
          <w:noProof/>
          <w:sz w:val="22"/>
          <w:szCs w:val="22"/>
        </w:rPr>
        <w:lastRenderedPageBreak/>
        <w:drawing>
          <wp:inline distT="0" distB="0" distL="0" distR="0" wp14:anchorId="7BE2CA49" wp14:editId="7B4A225B">
            <wp:extent cx="4173855" cy="8229600"/>
            <wp:effectExtent l="0" t="0" r="4445" b="0"/>
            <wp:docPr id="10294979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97925" name="Picture 10294979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3855" cy="8229600"/>
                    </a:xfrm>
                    <a:prstGeom prst="rect">
                      <a:avLst/>
                    </a:prstGeom>
                  </pic:spPr>
                </pic:pic>
              </a:graphicData>
            </a:graphic>
          </wp:inline>
        </w:drawing>
      </w:r>
    </w:p>
    <w:p w14:paraId="14BFE3E9" w14:textId="1429A4F7" w:rsidR="006A232A" w:rsidRPr="00E10596" w:rsidRDefault="006A232A" w:rsidP="00E10596">
      <w:pPr>
        <w:pStyle w:val="SMHeading"/>
        <w:spacing w:line="276" w:lineRule="auto"/>
        <w:jc w:val="both"/>
        <w:rPr>
          <w:b w:val="0"/>
          <w:bCs w:val="0"/>
        </w:rPr>
      </w:pPr>
      <w:r w:rsidRPr="00E10596">
        <w:lastRenderedPageBreak/>
        <w:t xml:space="preserve">Figure S10. </w:t>
      </w:r>
      <w:r w:rsidR="0090309A" w:rsidRPr="00E10596">
        <w:rPr>
          <w:b w:val="0"/>
          <w:bCs w:val="0"/>
        </w:rPr>
        <w:t>Plots showing coherence values at the M2 frequency between venting temperatures at the Tour Eiffel (TE) and White Castle (WC) monitoring locations</w:t>
      </w:r>
      <w:r w:rsidR="00065B8D">
        <w:rPr>
          <w:b w:val="0"/>
          <w:bCs w:val="0"/>
        </w:rPr>
        <w:t xml:space="preserve"> and</w:t>
      </w:r>
      <w:r w:rsidR="0090309A" w:rsidRPr="00E10596">
        <w:rPr>
          <w:b w:val="0"/>
          <w:bCs w:val="0"/>
        </w:rPr>
        <w:t xml:space="preserve"> current velocity as a function of coherence values at the M2 frequency between the same venting temperatures and seafloor pressure. Each dot represents 1 day (dates indicated by color scale). Panels with grey dots correspond to seabed (seawater) temperature data recorded when probe had fallen off the monitored vent. </w:t>
      </w:r>
      <w:r w:rsidRPr="00E10596">
        <w:rPr>
          <w:b w:val="0"/>
          <w:bCs w:val="0"/>
        </w:rPr>
        <w:t xml:space="preserve">  </w:t>
      </w:r>
    </w:p>
    <w:p w14:paraId="5F1217EF" w14:textId="77777777" w:rsidR="006A232A" w:rsidRDefault="006A232A">
      <w:pPr>
        <w:rPr>
          <w:rFonts w:ascii="Myriad Pro" w:hAnsi="Myriad Pro"/>
          <w:b/>
          <w:i/>
          <w:sz w:val="22"/>
          <w:szCs w:val="22"/>
        </w:rPr>
      </w:pPr>
    </w:p>
    <w:p w14:paraId="530CA1C4" w14:textId="77777777" w:rsidR="0066722B" w:rsidRPr="00CE6EAA" w:rsidRDefault="0066722B" w:rsidP="00477182">
      <w:pPr>
        <w:pStyle w:val="SMcaption"/>
        <w:rPr>
          <w:rFonts w:ascii="Myriad Pro" w:hAnsi="Myriad Pro"/>
          <w:b/>
          <w:i/>
        </w:rPr>
      </w:pPr>
    </w:p>
    <w:p w14:paraId="18A5B67D" w14:textId="06E315A2" w:rsidR="00643845" w:rsidRDefault="002E47E9" w:rsidP="0066722B">
      <w:pPr>
        <w:pStyle w:val="SMHeading"/>
        <w:rPr>
          <w:rFonts w:ascii="Myriad Pro" w:hAnsi="Myriad Pro"/>
          <w:sz w:val="22"/>
          <w:szCs w:val="22"/>
        </w:rPr>
      </w:pPr>
      <w:r>
        <w:rPr>
          <w:rFonts w:ascii="Myriad Pro" w:hAnsi="Myriad Pro"/>
          <w:noProof/>
          <w:sz w:val="22"/>
          <w:szCs w:val="22"/>
        </w:rPr>
        <w:drawing>
          <wp:inline distT="0" distB="0" distL="0" distR="0" wp14:anchorId="50C18F6A" wp14:editId="0EDBC75B">
            <wp:extent cx="4784537" cy="4015937"/>
            <wp:effectExtent l="0" t="0" r="3810" b="0"/>
            <wp:docPr id="3036510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51092" name="Picture 3036510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4512" cy="4024310"/>
                    </a:xfrm>
                    <a:prstGeom prst="rect">
                      <a:avLst/>
                    </a:prstGeom>
                  </pic:spPr>
                </pic:pic>
              </a:graphicData>
            </a:graphic>
          </wp:inline>
        </w:drawing>
      </w:r>
    </w:p>
    <w:p w14:paraId="67433767" w14:textId="44DF3FD0" w:rsidR="0066722B" w:rsidRPr="002333E1" w:rsidRDefault="0066722B" w:rsidP="002333E1">
      <w:pPr>
        <w:pStyle w:val="SMHeading"/>
        <w:spacing w:line="276" w:lineRule="auto"/>
        <w:jc w:val="both"/>
        <w:rPr>
          <w:b w:val="0"/>
          <w:bCs w:val="0"/>
        </w:rPr>
      </w:pPr>
      <w:r w:rsidRPr="002333E1">
        <w:t xml:space="preserve">Table S1. </w:t>
      </w:r>
      <w:r w:rsidR="00643845" w:rsidRPr="002333E1">
        <w:rPr>
          <w:b w:val="0"/>
          <w:bCs w:val="0"/>
        </w:rPr>
        <w:t>a- Name of the instruments (temperature probes, current meters and pressure probes) for each deployment year and monitoring location. b- Instrumental characteristics of the 5 types of temperature probes used in this study. Full metadata (and data) accessible via the EMSO-Azores data portal (https://www.emso-fr.org/EMSO-Azores/Data-download) and referenced in text.</w:t>
      </w:r>
      <w:r w:rsidRPr="002333E1">
        <w:rPr>
          <w:b w:val="0"/>
          <w:bCs w:val="0"/>
        </w:rPr>
        <w:t xml:space="preserve">  </w:t>
      </w:r>
    </w:p>
    <w:p w14:paraId="18B164EE" w14:textId="77777777" w:rsidR="0066722B" w:rsidRPr="005314B5" w:rsidRDefault="0066722B" w:rsidP="0066722B">
      <w:pPr>
        <w:pStyle w:val="SMcaption"/>
        <w:rPr>
          <w:rFonts w:ascii="Myriad Pro" w:hAnsi="Myriad Pro"/>
          <w:sz w:val="22"/>
          <w:szCs w:val="22"/>
        </w:rPr>
      </w:pPr>
    </w:p>
    <w:tbl>
      <w:tblPr>
        <w:tblW w:w="7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15"/>
        <w:gridCol w:w="1134"/>
        <w:gridCol w:w="801"/>
        <w:gridCol w:w="1298"/>
        <w:gridCol w:w="1268"/>
      </w:tblGrid>
      <w:tr w:rsidR="00365A49" w:rsidRPr="00DC4A3A" w14:paraId="40DB4CB3" w14:textId="77777777" w:rsidTr="001B3695">
        <w:trPr>
          <w:trHeight w:val="320"/>
          <w:jc w:val="center"/>
        </w:trPr>
        <w:tc>
          <w:tcPr>
            <w:tcW w:w="2915" w:type="dxa"/>
            <w:shd w:val="clear" w:color="auto" w:fill="auto"/>
            <w:noWrap/>
            <w:vAlign w:val="center"/>
            <w:hideMark/>
          </w:tcPr>
          <w:p w14:paraId="785583BC" w14:textId="77777777" w:rsidR="00365A49" w:rsidRPr="00DC4A3A" w:rsidRDefault="00365A49" w:rsidP="001B3695">
            <w:pPr>
              <w:rPr>
                <w:rFonts w:cstheme="minorHAnsi"/>
                <w:sz w:val="20"/>
                <w:lang w:eastAsia="fr-FR"/>
              </w:rPr>
            </w:pPr>
          </w:p>
        </w:tc>
        <w:tc>
          <w:tcPr>
            <w:tcW w:w="1134" w:type="dxa"/>
            <w:shd w:val="clear" w:color="auto" w:fill="auto"/>
            <w:noWrap/>
            <w:vAlign w:val="center"/>
            <w:hideMark/>
          </w:tcPr>
          <w:p w14:paraId="03ABAA41"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fluid T °C</w:t>
            </w:r>
          </w:p>
        </w:tc>
        <w:tc>
          <w:tcPr>
            <w:tcW w:w="801" w:type="dxa"/>
            <w:shd w:val="clear" w:color="auto" w:fill="auto"/>
            <w:noWrap/>
            <w:vAlign w:val="center"/>
            <w:hideMark/>
          </w:tcPr>
          <w:p w14:paraId="6BAF22E7"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fluid v</w:t>
            </w:r>
            <w:r>
              <w:rPr>
                <w:rFonts w:cstheme="minorHAnsi"/>
                <w:color w:val="000000"/>
                <w:sz w:val="20"/>
                <w:lang w:val="fr-FR" w:eastAsia="fr-FR"/>
              </w:rPr>
              <w:t>elocity</w:t>
            </w:r>
            <w:r w:rsidRPr="00DC4A3A">
              <w:rPr>
                <w:rFonts w:cstheme="minorHAnsi"/>
                <w:color w:val="000000"/>
                <w:sz w:val="20"/>
                <w:lang w:val="fr-FR" w:eastAsia="fr-FR"/>
              </w:rPr>
              <w:t xml:space="preserve"> mm/s</w:t>
            </w:r>
          </w:p>
        </w:tc>
        <w:tc>
          <w:tcPr>
            <w:tcW w:w="2566" w:type="dxa"/>
            <w:gridSpan w:val="2"/>
            <w:shd w:val="clear" w:color="auto" w:fill="auto"/>
            <w:noWrap/>
            <w:vAlign w:val="center"/>
            <w:hideMark/>
          </w:tcPr>
          <w:p w14:paraId="38DAE6F6" w14:textId="77777777" w:rsidR="00365A49" w:rsidRPr="00DC4A3A" w:rsidRDefault="00365A49" w:rsidP="001B3695">
            <w:pPr>
              <w:jc w:val="center"/>
              <w:rPr>
                <w:rFonts w:cstheme="minorHAnsi"/>
                <w:color w:val="000000"/>
                <w:sz w:val="20"/>
                <w:lang w:eastAsia="fr-FR"/>
              </w:rPr>
            </w:pPr>
            <w:r w:rsidRPr="00DC4A3A">
              <w:rPr>
                <w:rFonts w:cstheme="minorHAnsi"/>
                <w:color w:val="000000"/>
                <w:sz w:val="20"/>
                <w:lang w:eastAsia="fr-FR"/>
              </w:rPr>
              <w:t>min max heat flux W/m</w:t>
            </w:r>
            <w:r w:rsidRPr="00DC4A3A">
              <w:rPr>
                <w:rFonts w:cstheme="minorHAnsi"/>
                <w:color w:val="000000"/>
                <w:sz w:val="20"/>
                <w:vertAlign w:val="superscript"/>
                <w:lang w:eastAsia="fr-FR"/>
              </w:rPr>
              <w:t>2</w:t>
            </w:r>
          </w:p>
        </w:tc>
      </w:tr>
      <w:tr w:rsidR="00365A49" w:rsidRPr="00DC4A3A" w14:paraId="6E1BE9DD" w14:textId="77777777" w:rsidTr="001B3695">
        <w:trPr>
          <w:trHeight w:val="320"/>
          <w:jc w:val="center"/>
        </w:trPr>
        <w:tc>
          <w:tcPr>
            <w:tcW w:w="2915" w:type="dxa"/>
            <w:shd w:val="clear" w:color="auto" w:fill="auto"/>
            <w:noWrap/>
            <w:vAlign w:val="center"/>
            <w:hideMark/>
          </w:tcPr>
          <w:p w14:paraId="381A46FE" w14:textId="77777777" w:rsidR="00365A49" w:rsidRPr="0069038B" w:rsidRDefault="00365A49" w:rsidP="001B3695">
            <w:pPr>
              <w:rPr>
                <w:rFonts w:cstheme="minorHAnsi"/>
                <w:color w:val="000000"/>
                <w:sz w:val="20"/>
                <w:lang w:eastAsia="fr-FR"/>
              </w:rPr>
            </w:pPr>
            <w:r w:rsidRPr="0069038B">
              <w:rPr>
                <w:rFonts w:cstheme="minorHAnsi"/>
                <w:color w:val="000000"/>
                <w:sz w:val="20"/>
                <w:lang w:eastAsia="fr-FR"/>
              </w:rPr>
              <w:t>mound+flanges+</w:t>
            </w:r>
            <w:r>
              <w:rPr>
                <w:rFonts w:cstheme="minorHAnsi"/>
                <w:color w:val="000000"/>
                <w:sz w:val="20"/>
                <w:lang w:eastAsia="fr-FR"/>
              </w:rPr>
              <w:t xml:space="preserve">white </w:t>
            </w:r>
            <w:r w:rsidRPr="0069038B">
              <w:rPr>
                <w:rFonts w:cstheme="minorHAnsi"/>
                <w:color w:val="000000"/>
                <w:sz w:val="20"/>
                <w:lang w:eastAsia="fr-FR"/>
              </w:rPr>
              <w:t xml:space="preserve">patches </w:t>
            </w:r>
            <w:r w:rsidRPr="0069038B">
              <w:rPr>
                <w:rFonts w:cstheme="minorHAnsi"/>
                <w:color w:val="000000"/>
                <w:sz w:val="20"/>
                <w:vertAlign w:val="superscript"/>
                <w:lang w:eastAsia="fr-FR"/>
              </w:rPr>
              <w:t>(1)</w:t>
            </w:r>
          </w:p>
        </w:tc>
        <w:tc>
          <w:tcPr>
            <w:tcW w:w="1134" w:type="dxa"/>
            <w:shd w:val="clear" w:color="auto" w:fill="auto"/>
            <w:noWrap/>
            <w:vAlign w:val="center"/>
            <w:hideMark/>
          </w:tcPr>
          <w:p w14:paraId="6322618D"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8 to 20</w:t>
            </w:r>
          </w:p>
        </w:tc>
        <w:tc>
          <w:tcPr>
            <w:tcW w:w="801" w:type="dxa"/>
            <w:shd w:val="clear" w:color="auto" w:fill="auto"/>
            <w:noWrap/>
            <w:vAlign w:val="center"/>
            <w:hideMark/>
          </w:tcPr>
          <w:p w14:paraId="390551EA"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 to 5</w:t>
            </w:r>
          </w:p>
        </w:tc>
        <w:tc>
          <w:tcPr>
            <w:tcW w:w="1298" w:type="dxa"/>
            <w:shd w:val="clear" w:color="auto" w:fill="auto"/>
            <w:noWrap/>
            <w:vAlign w:val="center"/>
            <w:hideMark/>
          </w:tcPr>
          <w:p w14:paraId="1C2442DF"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0.017</w:t>
            </w:r>
          </w:p>
        </w:tc>
        <w:tc>
          <w:tcPr>
            <w:tcW w:w="1268" w:type="dxa"/>
            <w:shd w:val="clear" w:color="auto" w:fill="auto"/>
            <w:noWrap/>
            <w:vAlign w:val="center"/>
            <w:hideMark/>
          </w:tcPr>
          <w:p w14:paraId="362615B7"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0.329</w:t>
            </w:r>
          </w:p>
        </w:tc>
      </w:tr>
      <w:tr w:rsidR="00365A49" w:rsidRPr="00DC4A3A" w14:paraId="76DAC480" w14:textId="77777777" w:rsidTr="001B3695">
        <w:trPr>
          <w:trHeight w:val="320"/>
          <w:jc w:val="center"/>
        </w:trPr>
        <w:tc>
          <w:tcPr>
            <w:tcW w:w="2915" w:type="dxa"/>
            <w:shd w:val="clear" w:color="auto" w:fill="auto"/>
            <w:noWrap/>
            <w:vAlign w:val="center"/>
            <w:hideMark/>
          </w:tcPr>
          <w:p w14:paraId="3FE7C210" w14:textId="77777777" w:rsidR="00365A49" w:rsidRPr="0069038B" w:rsidRDefault="00365A49" w:rsidP="001B3695">
            <w:pPr>
              <w:rPr>
                <w:rFonts w:cstheme="minorHAnsi"/>
                <w:color w:val="000000"/>
                <w:sz w:val="20"/>
                <w:lang w:eastAsia="fr-FR"/>
              </w:rPr>
            </w:pPr>
            <w:r w:rsidRPr="0069038B">
              <w:rPr>
                <w:rFonts w:cstheme="minorHAnsi"/>
                <w:color w:val="000000"/>
                <w:sz w:val="20"/>
                <w:lang w:eastAsia="fr-FR"/>
              </w:rPr>
              <w:t xml:space="preserve">cracks </w:t>
            </w:r>
            <w:r w:rsidRPr="0069038B">
              <w:rPr>
                <w:rFonts w:cstheme="minorHAnsi"/>
                <w:color w:val="000000"/>
                <w:sz w:val="20"/>
                <w:vertAlign w:val="superscript"/>
                <w:lang w:eastAsia="fr-FR"/>
              </w:rPr>
              <w:t>(1)</w:t>
            </w:r>
          </w:p>
        </w:tc>
        <w:tc>
          <w:tcPr>
            <w:tcW w:w="1134" w:type="dxa"/>
            <w:shd w:val="clear" w:color="auto" w:fill="auto"/>
            <w:noWrap/>
            <w:vAlign w:val="center"/>
            <w:hideMark/>
          </w:tcPr>
          <w:p w14:paraId="390CC68A"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17.5 to 33</w:t>
            </w:r>
          </w:p>
        </w:tc>
        <w:tc>
          <w:tcPr>
            <w:tcW w:w="801" w:type="dxa"/>
            <w:shd w:val="clear" w:color="auto" w:fill="auto"/>
            <w:noWrap/>
            <w:vAlign w:val="center"/>
            <w:hideMark/>
          </w:tcPr>
          <w:p w14:paraId="3A297719"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20</w:t>
            </w:r>
          </w:p>
        </w:tc>
        <w:tc>
          <w:tcPr>
            <w:tcW w:w="1298" w:type="dxa"/>
            <w:shd w:val="clear" w:color="auto" w:fill="auto"/>
            <w:noWrap/>
            <w:vAlign w:val="center"/>
            <w:hideMark/>
          </w:tcPr>
          <w:p w14:paraId="63CAC130"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1.113</w:t>
            </w:r>
          </w:p>
        </w:tc>
        <w:tc>
          <w:tcPr>
            <w:tcW w:w="1268" w:type="dxa"/>
            <w:shd w:val="clear" w:color="auto" w:fill="auto"/>
            <w:noWrap/>
            <w:vAlign w:val="center"/>
            <w:hideMark/>
          </w:tcPr>
          <w:p w14:paraId="746236BC"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2.384</w:t>
            </w:r>
          </w:p>
        </w:tc>
      </w:tr>
      <w:tr w:rsidR="00365A49" w:rsidRPr="00DC4A3A" w14:paraId="1F97AC90" w14:textId="77777777" w:rsidTr="001B3695">
        <w:trPr>
          <w:trHeight w:val="320"/>
          <w:jc w:val="center"/>
        </w:trPr>
        <w:tc>
          <w:tcPr>
            <w:tcW w:w="2915" w:type="dxa"/>
            <w:shd w:val="clear" w:color="auto" w:fill="auto"/>
            <w:noWrap/>
            <w:vAlign w:val="center"/>
            <w:hideMark/>
          </w:tcPr>
          <w:p w14:paraId="41B16C98" w14:textId="77777777" w:rsidR="00365A49" w:rsidRPr="0069038B" w:rsidRDefault="00365A49" w:rsidP="001B3695">
            <w:pPr>
              <w:rPr>
                <w:rFonts w:cstheme="minorHAnsi"/>
                <w:color w:val="000000"/>
                <w:sz w:val="20"/>
                <w:lang w:eastAsia="fr-FR"/>
              </w:rPr>
            </w:pPr>
            <w:r w:rsidRPr="0069038B">
              <w:rPr>
                <w:rFonts w:cstheme="minorHAnsi"/>
                <w:color w:val="000000"/>
                <w:sz w:val="20"/>
                <w:lang w:eastAsia="fr-FR"/>
              </w:rPr>
              <w:t>mound+flanges+</w:t>
            </w:r>
            <w:r>
              <w:rPr>
                <w:rFonts w:cstheme="minorHAnsi"/>
                <w:color w:val="000000"/>
                <w:sz w:val="20"/>
                <w:lang w:eastAsia="fr-FR"/>
              </w:rPr>
              <w:t xml:space="preserve">white </w:t>
            </w:r>
            <w:r w:rsidRPr="0069038B">
              <w:rPr>
                <w:rFonts w:cstheme="minorHAnsi"/>
                <w:color w:val="000000"/>
                <w:sz w:val="20"/>
                <w:lang w:eastAsia="fr-FR"/>
              </w:rPr>
              <w:t xml:space="preserve">patches </w:t>
            </w:r>
            <w:r w:rsidRPr="0069038B">
              <w:rPr>
                <w:rFonts w:cstheme="minorHAnsi"/>
                <w:color w:val="000000"/>
                <w:sz w:val="20"/>
                <w:vertAlign w:val="superscript"/>
                <w:lang w:eastAsia="fr-FR"/>
              </w:rPr>
              <w:t>(2)</w:t>
            </w:r>
          </w:p>
        </w:tc>
        <w:tc>
          <w:tcPr>
            <w:tcW w:w="1134" w:type="dxa"/>
            <w:shd w:val="clear" w:color="auto" w:fill="auto"/>
            <w:noWrap/>
            <w:vAlign w:val="center"/>
            <w:hideMark/>
          </w:tcPr>
          <w:p w14:paraId="4E9FD411" w14:textId="77777777" w:rsidR="00365A49" w:rsidRPr="0069038B" w:rsidRDefault="00365A49" w:rsidP="001B3695">
            <w:pPr>
              <w:jc w:val="center"/>
              <w:rPr>
                <w:rFonts w:cstheme="minorHAnsi"/>
                <w:color w:val="000000"/>
                <w:sz w:val="20"/>
                <w:lang w:eastAsia="fr-FR"/>
              </w:rPr>
            </w:pPr>
            <w:r>
              <w:rPr>
                <w:rFonts w:cstheme="minorHAnsi"/>
                <w:color w:val="000000"/>
                <w:sz w:val="20"/>
                <w:lang w:eastAsia="fr-FR"/>
              </w:rPr>
              <w:t>nd</w:t>
            </w:r>
          </w:p>
        </w:tc>
        <w:tc>
          <w:tcPr>
            <w:tcW w:w="801" w:type="dxa"/>
            <w:shd w:val="clear" w:color="auto" w:fill="auto"/>
            <w:noWrap/>
            <w:vAlign w:val="center"/>
            <w:hideMark/>
          </w:tcPr>
          <w:p w14:paraId="649769A3" w14:textId="77777777" w:rsidR="00365A49" w:rsidRPr="0069038B" w:rsidRDefault="00365A49" w:rsidP="001B3695">
            <w:pPr>
              <w:jc w:val="center"/>
              <w:rPr>
                <w:rFonts w:cstheme="minorHAnsi"/>
                <w:sz w:val="20"/>
                <w:lang w:eastAsia="fr-FR"/>
              </w:rPr>
            </w:pPr>
            <w:r>
              <w:rPr>
                <w:rFonts w:cstheme="minorHAnsi"/>
                <w:sz w:val="20"/>
                <w:lang w:eastAsia="fr-FR"/>
              </w:rPr>
              <w:t>nd</w:t>
            </w:r>
          </w:p>
        </w:tc>
        <w:tc>
          <w:tcPr>
            <w:tcW w:w="2566" w:type="dxa"/>
            <w:gridSpan w:val="2"/>
            <w:shd w:val="clear" w:color="auto" w:fill="auto"/>
            <w:noWrap/>
            <w:vAlign w:val="center"/>
            <w:hideMark/>
          </w:tcPr>
          <w:p w14:paraId="1FBC8DC6"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0.078</w:t>
            </w:r>
          </w:p>
        </w:tc>
      </w:tr>
      <w:tr w:rsidR="00365A49" w:rsidRPr="00DC4A3A" w14:paraId="504B53F3" w14:textId="77777777" w:rsidTr="001B3695">
        <w:trPr>
          <w:trHeight w:val="320"/>
          <w:jc w:val="center"/>
        </w:trPr>
        <w:tc>
          <w:tcPr>
            <w:tcW w:w="2915" w:type="dxa"/>
            <w:shd w:val="clear" w:color="auto" w:fill="auto"/>
            <w:noWrap/>
            <w:vAlign w:val="center"/>
            <w:hideMark/>
          </w:tcPr>
          <w:p w14:paraId="18C3DCAB" w14:textId="77777777" w:rsidR="00365A49" w:rsidRPr="0069038B" w:rsidRDefault="00365A49" w:rsidP="001B3695">
            <w:pPr>
              <w:rPr>
                <w:rFonts w:cstheme="minorHAnsi"/>
                <w:color w:val="000000"/>
                <w:sz w:val="20"/>
                <w:lang w:eastAsia="fr-FR"/>
              </w:rPr>
            </w:pPr>
            <w:r>
              <w:rPr>
                <w:rFonts w:cstheme="minorHAnsi"/>
                <w:color w:val="000000"/>
                <w:sz w:val="20"/>
                <w:lang w:eastAsia="fr-FR"/>
              </w:rPr>
              <w:lastRenderedPageBreak/>
              <w:t xml:space="preserve">grey </w:t>
            </w:r>
            <w:r w:rsidRPr="0069038B">
              <w:rPr>
                <w:rFonts w:cstheme="minorHAnsi"/>
                <w:color w:val="000000"/>
                <w:sz w:val="20"/>
                <w:lang w:eastAsia="fr-FR"/>
              </w:rPr>
              <w:t>patch WC-3</w:t>
            </w:r>
          </w:p>
        </w:tc>
        <w:tc>
          <w:tcPr>
            <w:tcW w:w="1134" w:type="dxa"/>
            <w:shd w:val="clear" w:color="auto" w:fill="auto"/>
            <w:noWrap/>
            <w:vAlign w:val="center"/>
            <w:hideMark/>
          </w:tcPr>
          <w:p w14:paraId="2CF5431F"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140</w:t>
            </w:r>
          </w:p>
        </w:tc>
        <w:tc>
          <w:tcPr>
            <w:tcW w:w="801" w:type="dxa"/>
            <w:shd w:val="clear" w:color="auto" w:fill="auto"/>
            <w:noWrap/>
            <w:vAlign w:val="center"/>
            <w:hideMark/>
          </w:tcPr>
          <w:p w14:paraId="581CBC2D"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 to 5</w:t>
            </w:r>
          </w:p>
        </w:tc>
        <w:tc>
          <w:tcPr>
            <w:tcW w:w="1298" w:type="dxa"/>
            <w:shd w:val="clear" w:color="auto" w:fill="auto"/>
            <w:noWrap/>
            <w:vAlign w:val="center"/>
            <w:hideMark/>
          </w:tcPr>
          <w:p w14:paraId="616BE1DD"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0.535</w:t>
            </w:r>
          </w:p>
        </w:tc>
        <w:tc>
          <w:tcPr>
            <w:tcW w:w="1268" w:type="dxa"/>
            <w:shd w:val="clear" w:color="auto" w:fill="auto"/>
            <w:noWrap/>
            <w:vAlign w:val="center"/>
            <w:hideMark/>
          </w:tcPr>
          <w:p w14:paraId="02C4BB1F"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2.674</w:t>
            </w:r>
          </w:p>
        </w:tc>
      </w:tr>
      <w:tr w:rsidR="00365A49" w:rsidRPr="00DC4A3A" w14:paraId="630C8970" w14:textId="77777777" w:rsidTr="001B3695">
        <w:trPr>
          <w:trHeight w:val="320"/>
          <w:jc w:val="center"/>
        </w:trPr>
        <w:tc>
          <w:tcPr>
            <w:tcW w:w="2915" w:type="dxa"/>
            <w:shd w:val="clear" w:color="auto" w:fill="auto"/>
            <w:noWrap/>
            <w:vAlign w:val="center"/>
            <w:hideMark/>
          </w:tcPr>
          <w:p w14:paraId="74E07A40" w14:textId="77777777" w:rsidR="00365A49" w:rsidRPr="0069038B" w:rsidRDefault="00365A49" w:rsidP="001B3695">
            <w:pPr>
              <w:rPr>
                <w:rFonts w:cstheme="minorHAnsi"/>
                <w:color w:val="000000"/>
                <w:sz w:val="20"/>
                <w:lang w:eastAsia="fr-FR"/>
              </w:rPr>
            </w:pPr>
            <w:r w:rsidRPr="0069038B">
              <w:rPr>
                <w:rFonts w:cstheme="minorHAnsi"/>
                <w:color w:val="000000"/>
                <w:sz w:val="20"/>
                <w:lang w:eastAsia="fr-FR"/>
              </w:rPr>
              <w:t>crack/patch TE-3</w:t>
            </w:r>
          </w:p>
        </w:tc>
        <w:tc>
          <w:tcPr>
            <w:tcW w:w="1134" w:type="dxa"/>
            <w:shd w:val="clear" w:color="auto" w:fill="auto"/>
            <w:noWrap/>
            <w:vAlign w:val="center"/>
            <w:hideMark/>
          </w:tcPr>
          <w:p w14:paraId="62BEEC73"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80</w:t>
            </w:r>
          </w:p>
        </w:tc>
        <w:tc>
          <w:tcPr>
            <w:tcW w:w="801" w:type="dxa"/>
            <w:shd w:val="clear" w:color="auto" w:fill="auto"/>
            <w:noWrap/>
            <w:vAlign w:val="center"/>
            <w:hideMark/>
          </w:tcPr>
          <w:p w14:paraId="5181D3B7"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 to 5</w:t>
            </w:r>
          </w:p>
        </w:tc>
        <w:tc>
          <w:tcPr>
            <w:tcW w:w="1298" w:type="dxa"/>
            <w:shd w:val="clear" w:color="auto" w:fill="auto"/>
            <w:noWrap/>
            <w:vAlign w:val="center"/>
            <w:hideMark/>
          </w:tcPr>
          <w:p w14:paraId="7CA3E872"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0.308</w:t>
            </w:r>
          </w:p>
        </w:tc>
        <w:tc>
          <w:tcPr>
            <w:tcW w:w="1268" w:type="dxa"/>
            <w:shd w:val="clear" w:color="auto" w:fill="auto"/>
            <w:noWrap/>
            <w:vAlign w:val="center"/>
            <w:hideMark/>
          </w:tcPr>
          <w:p w14:paraId="37195CDE"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1.539</w:t>
            </w:r>
          </w:p>
        </w:tc>
      </w:tr>
      <w:tr w:rsidR="00365A49" w:rsidRPr="00DC4A3A" w14:paraId="5FACEC91" w14:textId="77777777" w:rsidTr="001B3695">
        <w:trPr>
          <w:trHeight w:val="320"/>
          <w:jc w:val="center"/>
        </w:trPr>
        <w:tc>
          <w:tcPr>
            <w:tcW w:w="2915" w:type="dxa"/>
            <w:shd w:val="clear" w:color="auto" w:fill="auto"/>
            <w:noWrap/>
            <w:vAlign w:val="center"/>
            <w:hideMark/>
          </w:tcPr>
          <w:p w14:paraId="730170E4" w14:textId="77777777" w:rsidR="00365A49" w:rsidRPr="0069038B" w:rsidRDefault="00365A49" w:rsidP="001B3695">
            <w:pPr>
              <w:rPr>
                <w:rFonts w:cstheme="minorHAnsi"/>
                <w:color w:val="000000"/>
                <w:sz w:val="20"/>
                <w:lang w:eastAsia="fr-FR"/>
              </w:rPr>
            </w:pPr>
            <w:r>
              <w:rPr>
                <w:rFonts w:cstheme="minorHAnsi"/>
                <w:color w:val="000000"/>
                <w:sz w:val="20"/>
                <w:lang w:eastAsia="fr-FR"/>
              </w:rPr>
              <w:t xml:space="preserve">white </w:t>
            </w:r>
            <w:r w:rsidRPr="0069038B">
              <w:rPr>
                <w:rFonts w:cstheme="minorHAnsi"/>
                <w:color w:val="000000"/>
                <w:sz w:val="20"/>
                <w:lang w:eastAsia="fr-FR"/>
              </w:rPr>
              <w:t>patch</w:t>
            </w:r>
            <w:r>
              <w:rPr>
                <w:rFonts w:cstheme="minorHAnsi"/>
                <w:color w:val="000000"/>
                <w:sz w:val="20"/>
                <w:lang w:eastAsia="fr-FR"/>
              </w:rPr>
              <w:t xml:space="preserve">es </w:t>
            </w:r>
            <w:r w:rsidRPr="000C2786">
              <w:rPr>
                <w:rFonts w:cstheme="minorHAnsi"/>
                <w:color w:val="000000"/>
                <w:sz w:val="20"/>
                <w:vertAlign w:val="superscript"/>
                <w:lang w:eastAsia="fr-FR"/>
              </w:rPr>
              <w:t>(3)</w:t>
            </w:r>
          </w:p>
        </w:tc>
        <w:tc>
          <w:tcPr>
            <w:tcW w:w="1134" w:type="dxa"/>
            <w:shd w:val="clear" w:color="auto" w:fill="auto"/>
            <w:noWrap/>
            <w:vAlign w:val="center"/>
            <w:hideMark/>
          </w:tcPr>
          <w:p w14:paraId="1954C78D"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50</w:t>
            </w:r>
          </w:p>
        </w:tc>
        <w:tc>
          <w:tcPr>
            <w:tcW w:w="801" w:type="dxa"/>
            <w:shd w:val="clear" w:color="auto" w:fill="auto"/>
            <w:noWrap/>
            <w:vAlign w:val="center"/>
            <w:hideMark/>
          </w:tcPr>
          <w:p w14:paraId="64783547"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 to 5</w:t>
            </w:r>
          </w:p>
        </w:tc>
        <w:tc>
          <w:tcPr>
            <w:tcW w:w="1298" w:type="dxa"/>
            <w:shd w:val="clear" w:color="auto" w:fill="auto"/>
            <w:noWrap/>
            <w:vAlign w:val="center"/>
            <w:hideMark/>
          </w:tcPr>
          <w:p w14:paraId="72A0C273"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0.188</w:t>
            </w:r>
          </w:p>
        </w:tc>
        <w:tc>
          <w:tcPr>
            <w:tcW w:w="1268" w:type="dxa"/>
            <w:shd w:val="clear" w:color="auto" w:fill="auto"/>
            <w:noWrap/>
            <w:vAlign w:val="center"/>
            <w:hideMark/>
          </w:tcPr>
          <w:p w14:paraId="1C50B7EE"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0.941</w:t>
            </w:r>
          </w:p>
        </w:tc>
      </w:tr>
      <w:tr w:rsidR="00365A49" w:rsidRPr="00DC4A3A" w14:paraId="3C70B3EF" w14:textId="77777777" w:rsidTr="001B3695">
        <w:trPr>
          <w:trHeight w:val="320"/>
          <w:jc w:val="center"/>
        </w:trPr>
        <w:tc>
          <w:tcPr>
            <w:tcW w:w="2915" w:type="dxa"/>
            <w:shd w:val="clear" w:color="auto" w:fill="auto"/>
            <w:noWrap/>
            <w:vAlign w:val="center"/>
          </w:tcPr>
          <w:p w14:paraId="07FC5EFB" w14:textId="77777777" w:rsidR="00365A49" w:rsidRPr="0069038B" w:rsidRDefault="00365A49" w:rsidP="001B3695">
            <w:pPr>
              <w:rPr>
                <w:rFonts w:cstheme="minorHAnsi"/>
                <w:color w:val="000000"/>
                <w:sz w:val="20"/>
                <w:lang w:eastAsia="fr-FR"/>
              </w:rPr>
            </w:pPr>
            <w:r w:rsidRPr="0069038B">
              <w:rPr>
                <w:rFonts w:cstheme="minorHAnsi"/>
                <w:color w:val="000000"/>
                <w:sz w:val="20"/>
                <w:lang w:eastAsia="fr-FR"/>
              </w:rPr>
              <w:t>cracks beneath slab</w:t>
            </w:r>
            <w:r>
              <w:rPr>
                <w:rFonts w:cstheme="minorHAnsi"/>
                <w:color w:val="000000"/>
                <w:sz w:val="20"/>
                <w:lang w:eastAsia="fr-FR"/>
              </w:rPr>
              <w:t xml:space="preserve"> </w:t>
            </w:r>
            <w:r w:rsidRPr="000435B5">
              <w:rPr>
                <w:rFonts w:cstheme="minorHAnsi"/>
                <w:color w:val="000000"/>
                <w:sz w:val="20"/>
                <w:vertAlign w:val="superscript"/>
                <w:lang w:eastAsia="fr-FR"/>
              </w:rPr>
              <w:t>(</w:t>
            </w:r>
            <w:r>
              <w:rPr>
                <w:rFonts w:cstheme="minorHAnsi"/>
                <w:color w:val="000000"/>
                <w:sz w:val="20"/>
                <w:vertAlign w:val="superscript"/>
                <w:lang w:eastAsia="fr-FR"/>
              </w:rPr>
              <w:t>4</w:t>
            </w:r>
            <w:r w:rsidRPr="000435B5">
              <w:rPr>
                <w:rFonts w:cstheme="minorHAnsi"/>
                <w:color w:val="000000"/>
                <w:sz w:val="20"/>
                <w:vertAlign w:val="superscript"/>
                <w:lang w:eastAsia="fr-FR"/>
              </w:rPr>
              <w:t>)</w:t>
            </w:r>
          </w:p>
        </w:tc>
        <w:tc>
          <w:tcPr>
            <w:tcW w:w="1134" w:type="dxa"/>
            <w:shd w:val="clear" w:color="auto" w:fill="auto"/>
            <w:noWrap/>
            <w:vAlign w:val="center"/>
          </w:tcPr>
          <w:p w14:paraId="77D470A9"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140</w:t>
            </w:r>
          </w:p>
        </w:tc>
        <w:tc>
          <w:tcPr>
            <w:tcW w:w="801" w:type="dxa"/>
            <w:shd w:val="clear" w:color="auto" w:fill="auto"/>
            <w:noWrap/>
            <w:vAlign w:val="center"/>
          </w:tcPr>
          <w:p w14:paraId="2BF30D6A" w14:textId="77777777" w:rsidR="00365A49" w:rsidRPr="0069038B" w:rsidRDefault="00365A49" w:rsidP="001B3695">
            <w:pPr>
              <w:jc w:val="center"/>
              <w:rPr>
                <w:rFonts w:cstheme="minorHAnsi"/>
                <w:color w:val="000000"/>
                <w:sz w:val="20"/>
                <w:lang w:eastAsia="fr-FR"/>
              </w:rPr>
            </w:pPr>
            <w:r w:rsidRPr="0069038B">
              <w:rPr>
                <w:rFonts w:cstheme="minorHAnsi"/>
                <w:color w:val="000000"/>
                <w:sz w:val="20"/>
                <w:lang w:eastAsia="fr-FR"/>
              </w:rPr>
              <w:t xml:space="preserve">5 to </w:t>
            </w:r>
            <w:r>
              <w:rPr>
                <w:rFonts w:cstheme="minorHAnsi"/>
                <w:color w:val="000000"/>
                <w:sz w:val="20"/>
                <w:lang w:eastAsia="fr-FR"/>
              </w:rPr>
              <w:t>1</w:t>
            </w:r>
            <w:r w:rsidRPr="0069038B">
              <w:rPr>
                <w:rFonts w:cstheme="minorHAnsi"/>
                <w:color w:val="000000"/>
                <w:sz w:val="20"/>
                <w:lang w:eastAsia="fr-FR"/>
              </w:rPr>
              <w:t>0</w:t>
            </w:r>
          </w:p>
        </w:tc>
        <w:tc>
          <w:tcPr>
            <w:tcW w:w="1298" w:type="dxa"/>
            <w:shd w:val="clear" w:color="auto" w:fill="auto"/>
            <w:noWrap/>
            <w:vAlign w:val="center"/>
          </w:tcPr>
          <w:p w14:paraId="26566577" w14:textId="77777777" w:rsidR="00365A49" w:rsidRPr="0069038B" w:rsidRDefault="00365A49" w:rsidP="001B3695">
            <w:pPr>
              <w:jc w:val="center"/>
              <w:rPr>
                <w:rFonts w:cstheme="minorHAnsi"/>
                <w:color w:val="000000"/>
                <w:sz w:val="20"/>
                <w:lang w:eastAsia="fr-FR"/>
              </w:rPr>
            </w:pPr>
            <w:r>
              <w:rPr>
                <w:rFonts w:cstheme="minorHAnsi"/>
                <w:color w:val="000000"/>
                <w:sz w:val="20"/>
                <w:lang w:eastAsia="fr-FR"/>
              </w:rPr>
              <w:t>2.674</w:t>
            </w:r>
          </w:p>
        </w:tc>
        <w:tc>
          <w:tcPr>
            <w:tcW w:w="1268" w:type="dxa"/>
            <w:shd w:val="clear" w:color="auto" w:fill="auto"/>
            <w:noWrap/>
            <w:vAlign w:val="center"/>
          </w:tcPr>
          <w:p w14:paraId="5B7F446B" w14:textId="77777777" w:rsidR="00365A49" w:rsidRPr="0069038B" w:rsidRDefault="00365A49" w:rsidP="001B3695">
            <w:pPr>
              <w:jc w:val="center"/>
              <w:rPr>
                <w:rFonts w:cstheme="minorHAnsi"/>
                <w:color w:val="000000"/>
                <w:sz w:val="20"/>
                <w:lang w:eastAsia="fr-FR"/>
              </w:rPr>
            </w:pPr>
            <w:r>
              <w:rPr>
                <w:rFonts w:cstheme="minorHAnsi"/>
                <w:color w:val="000000"/>
                <w:sz w:val="20"/>
                <w:lang w:eastAsia="fr-FR"/>
              </w:rPr>
              <w:t>5.348</w:t>
            </w:r>
          </w:p>
        </w:tc>
      </w:tr>
    </w:tbl>
    <w:p w14:paraId="1A61B7E8" w14:textId="0B05F500" w:rsidR="006A232A" w:rsidRPr="002333E1" w:rsidRDefault="006A232A" w:rsidP="002333E1">
      <w:pPr>
        <w:pStyle w:val="SMHeading"/>
        <w:spacing w:line="276" w:lineRule="auto"/>
        <w:jc w:val="both"/>
      </w:pPr>
      <w:r w:rsidRPr="002333E1">
        <w:t xml:space="preserve">Table S2. </w:t>
      </w:r>
      <w:r w:rsidR="00365A49" w:rsidRPr="002333E1">
        <w:rPr>
          <w:b w:val="0"/>
          <w:bCs w:val="0"/>
        </w:rPr>
        <w:t>Ranges of fluid temperature, venting velocity and corresponding heat flux per M</w:t>
      </w:r>
      <w:r w:rsidR="00365A49" w:rsidRPr="002333E1">
        <w:rPr>
          <w:b w:val="0"/>
          <w:bCs w:val="0"/>
          <w:vertAlign w:val="superscript"/>
        </w:rPr>
        <w:t>2</w:t>
      </w:r>
      <w:r w:rsidR="00365A49" w:rsidRPr="002333E1">
        <w:rPr>
          <w:b w:val="0"/>
          <w:bCs w:val="0"/>
        </w:rPr>
        <w:t>, used in the Qmin/Qmax diffuse heat flux estimate of Supplementary Table 3. (1) range of fluid temperature and venting velocity in Barreyre et al. (2012), from Cooper et al. (2006) and Mittelstaedt et al. (2012); (2) average heat flux per m</w:t>
      </w:r>
      <w:r w:rsidR="00365A49" w:rsidRPr="002333E1">
        <w:rPr>
          <w:b w:val="0"/>
          <w:bCs w:val="0"/>
          <w:vertAlign w:val="superscript"/>
        </w:rPr>
        <w:t>2</w:t>
      </w:r>
      <w:r w:rsidR="00365A49" w:rsidRPr="002333E1">
        <w:rPr>
          <w:b w:val="0"/>
          <w:bCs w:val="0"/>
        </w:rPr>
        <w:t xml:space="preserve"> value proposed for white patches, flanges and mound in Mittelst</w:t>
      </w:r>
      <w:r w:rsidR="00DF765E">
        <w:rPr>
          <w:b w:val="0"/>
          <w:bCs w:val="0"/>
        </w:rPr>
        <w:t>ae</w:t>
      </w:r>
      <w:r w:rsidR="00365A49" w:rsidRPr="002333E1">
        <w:rPr>
          <w:b w:val="0"/>
          <w:bCs w:val="0"/>
        </w:rPr>
        <w:t>dt et al. (2012), based on fluid temperatures and venting velocities in Sarrazin et al. (2009). For WC-3 and TE-3, temperatures used are the maximum recorded values over the 3 years of monitoring; venting velocities are based on monitoring of TE patches by Sarrazin et al. (2009). For white patches (3), we use the average temperature measured at TE-3</w:t>
      </w:r>
      <w:r w:rsidR="00065B8D">
        <w:rPr>
          <w:b w:val="0"/>
          <w:bCs w:val="0"/>
        </w:rPr>
        <w:t xml:space="preserve"> and</w:t>
      </w:r>
      <w:r w:rsidR="00365A49" w:rsidRPr="002333E1">
        <w:rPr>
          <w:b w:val="0"/>
          <w:bCs w:val="0"/>
        </w:rPr>
        <w:t xml:space="preserve"> the same slow venting velocities. For the "cracks beneath the slab" category (4), the temperature and range of velocities proposed are for end-member rich fluids that could vent out of the basalt substratum beneath slab domains, based on monitoring values at the TEMPO location (Laes-Huon et al., 2019). All heat flux values are calculated for temperature dependant fluid density and thermal capacity, using Bischoff and Rosenbauer (1985) seawater equation of state at 200 bar. </w:t>
      </w:r>
      <w:r w:rsidRPr="002333E1">
        <w:rPr>
          <w:b w:val="0"/>
          <w:bCs w:val="0"/>
        </w:rPr>
        <w:t xml:space="preserve">  </w:t>
      </w:r>
    </w:p>
    <w:p w14:paraId="6E5B2650" w14:textId="77777777" w:rsidR="006A232A" w:rsidRDefault="006A232A" w:rsidP="0066722B">
      <w:pPr>
        <w:pStyle w:val="SMcaption"/>
        <w:rPr>
          <w:rFonts w:ascii="Myriad Pro" w:hAnsi="Myriad Pro"/>
          <w:b/>
          <w:i/>
          <w:sz w:val="22"/>
          <w:szCs w:val="22"/>
        </w:rPr>
      </w:pPr>
    </w:p>
    <w:tbl>
      <w:tblPr>
        <w:tblW w:w="623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841"/>
        <w:gridCol w:w="862"/>
        <w:gridCol w:w="851"/>
        <w:gridCol w:w="850"/>
        <w:gridCol w:w="851"/>
        <w:gridCol w:w="708"/>
        <w:gridCol w:w="708"/>
      </w:tblGrid>
      <w:tr w:rsidR="00365A49" w:rsidRPr="00DC4A3A" w14:paraId="33AB0347" w14:textId="77777777" w:rsidTr="001B3695">
        <w:trPr>
          <w:trHeight w:val="1124"/>
        </w:trPr>
        <w:tc>
          <w:tcPr>
            <w:tcW w:w="562" w:type="dxa"/>
            <w:shd w:val="clear" w:color="auto" w:fill="auto"/>
            <w:vAlign w:val="center"/>
            <w:hideMark/>
          </w:tcPr>
          <w:p w14:paraId="728C6CF4"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Site</w:t>
            </w:r>
          </w:p>
        </w:tc>
        <w:tc>
          <w:tcPr>
            <w:tcW w:w="841" w:type="dxa"/>
            <w:vAlign w:val="center"/>
          </w:tcPr>
          <w:p w14:paraId="103CC128"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Slab</w:t>
            </w:r>
            <w:r>
              <w:rPr>
                <w:rFonts w:cstheme="minorHAnsi"/>
                <w:color w:val="000000"/>
                <w:sz w:val="20"/>
                <w:lang w:val="fr-FR" w:eastAsia="fr-FR"/>
              </w:rPr>
              <w:t xml:space="preserve"> and mound</w:t>
            </w:r>
            <w:r w:rsidRPr="00DC4A3A">
              <w:rPr>
                <w:rFonts w:cstheme="minorHAnsi"/>
                <w:color w:val="000000"/>
                <w:sz w:val="20"/>
                <w:lang w:val="fr-FR" w:eastAsia="fr-FR"/>
              </w:rPr>
              <w:t xml:space="preserve"> (m</w:t>
            </w:r>
            <w:r w:rsidRPr="00DC4A3A">
              <w:rPr>
                <w:rFonts w:cstheme="minorHAnsi"/>
                <w:color w:val="000000"/>
                <w:sz w:val="20"/>
                <w:vertAlign w:val="superscript"/>
                <w:lang w:val="fr-FR" w:eastAsia="fr-FR"/>
              </w:rPr>
              <w:t>2</w:t>
            </w:r>
            <w:r w:rsidRPr="00DC4A3A">
              <w:rPr>
                <w:rFonts w:cstheme="minorHAnsi"/>
                <w:color w:val="000000"/>
                <w:sz w:val="20"/>
                <w:lang w:val="fr-FR" w:eastAsia="fr-FR"/>
              </w:rPr>
              <w:t>)</w:t>
            </w:r>
          </w:p>
        </w:tc>
        <w:tc>
          <w:tcPr>
            <w:tcW w:w="862" w:type="dxa"/>
            <w:shd w:val="clear" w:color="auto" w:fill="auto"/>
            <w:vAlign w:val="center"/>
            <w:hideMark/>
          </w:tcPr>
          <w:p w14:paraId="05CAE065"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mound (m</w:t>
            </w:r>
            <w:r w:rsidRPr="00DC4A3A">
              <w:rPr>
                <w:rFonts w:cstheme="minorHAnsi"/>
                <w:color w:val="000000"/>
                <w:sz w:val="20"/>
                <w:vertAlign w:val="superscript"/>
                <w:lang w:val="fr-FR" w:eastAsia="fr-FR"/>
              </w:rPr>
              <w:t>2</w:t>
            </w:r>
            <w:r w:rsidRPr="00DC4A3A">
              <w:rPr>
                <w:rFonts w:cstheme="minorHAnsi"/>
                <w:color w:val="000000"/>
                <w:sz w:val="20"/>
                <w:lang w:val="fr-FR" w:eastAsia="fr-FR"/>
              </w:rPr>
              <w:t>)</w:t>
            </w:r>
          </w:p>
        </w:tc>
        <w:tc>
          <w:tcPr>
            <w:tcW w:w="851" w:type="dxa"/>
            <w:shd w:val="clear" w:color="auto" w:fill="auto"/>
            <w:vAlign w:val="center"/>
            <w:hideMark/>
          </w:tcPr>
          <w:p w14:paraId="530F3365"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flanges (m</w:t>
            </w:r>
            <w:r w:rsidRPr="00DC4A3A">
              <w:rPr>
                <w:rFonts w:cstheme="minorHAnsi"/>
                <w:color w:val="000000"/>
                <w:sz w:val="20"/>
                <w:vertAlign w:val="superscript"/>
                <w:lang w:val="fr-FR" w:eastAsia="fr-FR"/>
              </w:rPr>
              <w:t>2</w:t>
            </w:r>
            <w:r w:rsidRPr="00DC4A3A">
              <w:rPr>
                <w:rFonts w:cstheme="minorHAnsi"/>
                <w:color w:val="000000"/>
                <w:sz w:val="20"/>
                <w:lang w:val="fr-FR" w:eastAsia="fr-FR"/>
              </w:rPr>
              <w:t>)</w:t>
            </w:r>
          </w:p>
        </w:tc>
        <w:tc>
          <w:tcPr>
            <w:tcW w:w="850" w:type="dxa"/>
            <w:shd w:val="clear" w:color="auto" w:fill="auto"/>
            <w:vAlign w:val="center"/>
            <w:hideMark/>
          </w:tcPr>
          <w:p w14:paraId="09338615" w14:textId="77777777" w:rsidR="00365A49" w:rsidRPr="00DC4A3A" w:rsidRDefault="00365A49" w:rsidP="001B3695">
            <w:pPr>
              <w:jc w:val="center"/>
              <w:rPr>
                <w:rFonts w:cstheme="minorHAnsi"/>
                <w:color w:val="000000"/>
                <w:sz w:val="20"/>
                <w:lang w:eastAsia="fr-FR"/>
              </w:rPr>
            </w:pPr>
            <w:r w:rsidRPr="00DC4A3A">
              <w:rPr>
                <w:rFonts w:cstheme="minorHAnsi"/>
                <w:color w:val="000000"/>
                <w:sz w:val="20"/>
                <w:lang w:eastAsia="fr-FR"/>
              </w:rPr>
              <w:t>white patches (m</w:t>
            </w:r>
            <w:r w:rsidRPr="00DC4A3A">
              <w:rPr>
                <w:rFonts w:cstheme="minorHAnsi"/>
                <w:color w:val="000000"/>
                <w:sz w:val="20"/>
                <w:vertAlign w:val="superscript"/>
                <w:lang w:eastAsia="fr-FR"/>
              </w:rPr>
              <w:t>2</w:t>
            </w:r>
            <w:r w:rsidRPr="00DC4A3A">
              <w:rPr>
                <w:rFonts w:cstheme="minorHAnsi"/>
                <w:color w:val="000000"/>
                <w:sz w:val="20"/>
                <w:lang w:eastAsia="fr-FR"/>
              </w:rPr>
              <w:t>)</w:t>
            </w:r>
          </w:p>
        </w:tc>
        <w:tc>
          <w:tcPr>
            <w:tcW w:w="851" w:type="dxa"/>
            <w:shd w:val="clear" w:color="auto" w:fill="auto"/>
            <w:vAlign w:val="center"/>
            <w:hideMark/>
          </w:tcPr>
          <w:p w14:paraId="18AB85AF"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grey patches (m</w:t>
            </w:r>
            <w:r w:rsidRPr="00DC4A3A">
              <w:rPr>
                <w:rFonts w:cstheme="minorHAnsi"/>
                <w:color w:val="000000"/>
                <w:sz w:val="20"/>
                <w:vertAlign w:val="superscript"/>
                <w:lang w:val="fr-FR" w:eastAsia="fr-FR"/>
              </w:rPr>
              <w:t>2</w:t>
            </w:r>
            <w:r w:rsidRPr="00DC4A3A">
              <w:rPr>
                <w:rFonts w:cstheme="minorHAnsi"/>
                <w:color w:val="000000"/>
                <w:sz w:val="20"/>
                <w:lang w:val="fr-FR" w:eastAsia="fr-FR"/>
              </w:rPr>
              <w:t>)</w:t>
            </w:r>
          </w:p>
        </w:tc>
        <w:tc>
          <w:tcPr>
            <w:tcW w:w="708" w:type="dxa"/>
            <w:vAlign w:val="center"/>
          </w:tcPr>
          <w:p w14:paraId="07344AF1"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 xml:space="preserve">cracks </w:t>
            </w:r>
            <w:r>
              <w:rPr>
                <w:rFonts w:cstheme="minorHAnsi"/>
                <w:color w:val="000000"/>
                <w:sz w:val="20"/>
                <w:lang w:val="fr-FR" w:eastAsia="fr-FR"/>
              </w:rPr>
              <w:t>(m)</w:t>
            </w:r>
          </w:p>
        </w:tc>
        <w:tc>
          <w:tcPr>
            <w:tcW w:w="708" w:type="dxa"/>
            <w:shd w:val="clear" w:color="auto" w:fill="auto"/>
            <w:vAlign w:val="center"/>
            <w:hideMark/>
          </w:tcPr>
          <w:p w14:paraId="7C2BB426"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 xml:space="preserve">cracks </w:t>
            </w:r>
            <w:r>
              <w:rPr>
                <w:rFonts w:cstheme="minorHAnsi"/>
                <w:color w:val="000000"/>
                <w:sz w:val="20"/>
                <w:lang w:val="fr-FR" w:eastAsia="fr-FR"/>
              </w:rPr>
              <w:t>(m</w:t>
            </w:r>
            <w:r w:rsidRPr="00A9657F">
              <w:rPr>
                <w:rFonts w:cstheme="minorHAnsi"/>
                <w:color w:val="000000"/>
                <w:sz w:val="20"/>
                <w:vertAlign w:val="superscript"/>
                <w:lang w:val="fr-FR" w:eastAsia="fr-FR"/>
              </w:rPr>
              <w:t>2</w:t>
            </w:r>
            <w:r w:rsidRPr="00AC7CAF">
              <w:rPr>
                <w:rFonts w:cstheme="minorHAnsi"/>
                <w:color w:val="000000"/>
                <w:sz w:val="20"/>
                <w:lang w:val="fr-FR" w:eastAsia="fr-FR"/>
              </w:rPr>
              <w:t>)</w:t>
            </w:r>
          </w:p>
        </w:tc>
      </w:tr>
      <w:tr w:rsidR="00365A49" w:rsidRPr="00DC4A3A" w14:paraId="460D94DF" w14:textId="77777777" w:rsidTr="001B3695">
        <w:trPr>
          <w:trHeight w:val="320"/>
        </w:trPr>
        <w:tc>
          <w:tcPr>
            <w:tcW w:w="562" w:type="dxa"/>
            <w:shd w:val="clear" w:color="auto" w:fill="auto"/>
            <w:noWrap/>
            <w:vAlign w:val="center"/>
            <w:hideMark/>
          </w:tcPr>
          <w:p w14:paraId="42A97CCE"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TE</w:t>
            </w:r>
          </w:p>
        </w:tc>
        <w:tc>
          <w:tcPr>
            <w:tcW w:w="841" w:type="dxa"/>
            <w:vAlign w:val="center"/>
          </w:tcPr>
          <w:p w14:paraId="7B25C5A5"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540</w:t>
            </w:r>
          </w:p>
        </w:tc>
        <w:tc>
          <w:tcPr>
            <w:tcW w:w="862" w:type="dxa"/>
            <w:shd w:val="clear" w:color="auto" w:fill="auto"/>
            <w:noWrap/>
            <w:vAlign w:val="center"/>
            <w:hideMark/>
          </w:tcPr>
          <w:p w14:paraId="731C50D6"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168</w:t>
            </w:r>
          </w:p>
        </w:tc>
        <w:tc>
          <w:tcPr>
            <w:tcW w:w="851" w:type="dxa"/>
            <w:shd w:val="clear" w:color="auto" w:fill="auto"/>
            <w:noWrap/>
            <w:vAlign w:val="center"/>
            <w:hideMark/>
          </w:tcPr>
          <w:p w14:paraId="2056125D"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22</w:t>
            </w:r>
          </w:p>
        </w:tc>
        <w:tc>
          <w:tcPr>
            <w:tcW w:w="850" w:type="dxa"/>
            <w:shd w:val="clear" w:color="auto" w:fill="auto"/>
            <w:noWrap/>
            <w:vAlign w:val="center"/>
            <w:hideMark/>
          </w:tcPr>
          <w:p w14:paraId="210B2D90"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16</w:t>
            </w:r>
          </w:p>
        </w:tc>
        <w:tc>
          <w:tcPr>
            <w:tcW w:w="851" w:type="dxa"/>
            <w:shd w:val="clear" w:color="auto" w:fill="auto"/>
            <w:noWrap/>
            <w:vAlign w:val="center"/>
            <w:hideMark/>
          </w:tcPr>
          <w:p w14:paraId="44DFB47F"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2</w:t>
            </w:r>
          </w:p>
        </w:tc>
        <w:tc>
          <w:tcPr>
            <w:tcW w:w="708" w:type="dxa"/>
            <w:vAlign w:val="center"/>
          </w:tcPr>
          <w:p w14:paraId="551C350A"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74</w:t>
            </w:r>
          </w:p>
        </w:tc>
        <w:tc>
          <w:tcPr>
            <w:tcW w:w="708" w:type="dxa"/>
            <w:shd w:val="clear" w:color="auto" w:fill="auto"/>
            <w:noWrap/>
            <w:vAlign w:val="center"/>
            <w:hideMark/>
          </w:tcPr>
          <w:p w14:paraId="362BB6B9" w14:textId="77777777" w:rsidR="00365A49" w:rsidRPr="00DC4A3A" w:rsidRDefault="00365A49" w:rsidP="001B3695">
            <w:pPr>
              <w:jc w:val="center"/>
              <w:rPr>
                <w:rFonts w:cstheme="minorHAnsi"/>
                <w:color w:val="000000"/>
                <w:sz w:val="20"/>
                <w:lang w:val="fr-FR" w:eastAsia="fr-FR"/>
              </w:rPr>
            </w:pPr>
            <w:r>
              <w:rPr>
                <w:rFonts w:cstheme="minorHAnsi"/>
                <w:color w:val="000000"/>
                <w:sz w:val="20"/>
                <w:lang w:val="fr-FR" w:eastAsia="fr-FR"/>
              </w:rPr>
              <w:t>3</w:t>
            </w:r>
          </w:p>
        </w:tc>
      </w:tr>
      <w:tr w:rsidR="00365A49" w:rsidRPr="00DC4A3A" w14:paraId="699C94C7" w14:textId="77777777" w:rsidTr="001B3695">
        <w:trPr>
          <w:trHeight w:val="320"/>
        </w:trPr>
        <w:tc>
          <w:tcPr>
            <w:tcW w:w="562" w:type="dxa"/>
            <w:shd w:val="clear" w:color="auto" w:fill="auto"/>
            <w:noWrap/>
            <w:vAlign w:val="center"/>
            <w:hideMark/>
          </w:tcPr>
          <w:p w14:paraId="12151BA9"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WC</w:t>
            </w:r>
          </w:p>
        </w:tc>
        <w:tc>
          <w:tcPr>
            <w:tcW w:w="841" w:type="dxa"/>
            <w:vAlign w:val="center"/>
          </w:tcPr>
          <w:p w14:paraId="4ED2E468"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141</w:t>
            </w:r>
          </w:p>
        </w:tc>
        <w:tc>
          <w:tcPr>
            <w:tcW w:w="862" w:type="dxa"/>
            <w:shd w:val="clear" w:color="auto" w:fill="auto"/>
            <w:noWrap/>
            <w:vAlign w:val="center"/>
            <w:hideMark/>
          </w:tcPr>
          <w:p w14:paraId="0B914499"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8</w:t>
            </w:r>
          </w:p>
        </w:tc>
        <w:tc>
          <w:tcPr>
            <w:tcW w:w="851" w:type="dxa"/>
            <w:shd w:val="clear" w:color="auto" w:fill="auto"/>
            <w:noWrap/>
            <w:vAlign w:val="center"/>
            <w:hideMark/>
          </w:tcPr>
          <w:p w14:paraId="5F015AC0"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0</w:t>
            </w:r>
          </w:p>
        </w:tc>
        <w:tc>
          <w:tcPr>
            <w:tcW w:w="850" w:type="dxa"/>
            <w:shd w:val="clear" w:color="auto" w:fill="auto"/>
            <w:noWrap/>
            <w:vAlign w:val="center"/>
            <w:hideMark/>
          </w:tcPr>
          <w:p w14:paraId="5203684B"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14</w:t>
            </w:r>
          </w:p>
        </w:tc>
        <w:tc>
          <w:tcPr>
            <w:tcW w:w="851" w:type="dxa"/>
            <w:shd w:val="clear" w:color="auto" w:fill="auto"/>
            <w:noWrap/>
            <w:vAlign w:val="center"/>
            <w:hideMark/>
          </w:tcPr>
          <w:p w14:paraId="67C4D857"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6</w:t>
            </w:r>
          </w:p>
        </w:tc>
        <w:tc>
          <w:tcPr>
            <w:tcW w:w="708" w:type="dxa"/>
            <w:vAlign w:val="center"/>
          </w:tcPr>
          <w:p w14:paraId="05AC6C4F"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26</w:t>
            </w:r>
          </w:p>
        </w:tc>
        <w:tc>
          <w:tcPr>
            <w:tcW w:w="708" w:type="dxa"/>
            <w:shd w:val="clear" w:color="auto" w:fill="auto"/>
            <w:noWrap/>
            <w:vAlign w:val="center"/>
            <w:hideMark/>
          </w:tcPr>
          <w:p w14:paraId="42C3B8FD" w14:textId="77777777" w:rsidR="00365A49" w:rsidRPr="00DC4A3A" w:rsidRDefault="00365A49" w:rsidP="001B3695">
            <w:pPr>
              <w:jc w:val="center"/>
              <w:rPr>
                <w:rFonts w:cstheme="minorHAnsi"/>
                <w:color w:val="000000"/>
                <w:sz w:val="20"/>
                <w:lang w:val="fr-FR" w:eastAsia="fr-FR"/>
              </w:rPr>
            </w:pPr>
            <w:r>
              <w:rPr>
                <w:rFonts w:cstheme="minorHAnsi"/>
                <w:color w:val="000000"/>
                <w:sz w:val="20"/>
                <w:lang w:val="fr-FR" w:eastAsia="fr-FR"/>
              </w:rPr>
              <w:t>1</w:t>
            </w:r>
          </w:p>
        </w:tc>
      </w:tr>
    </w:tbl>
    <w:p w14:paraId="39D9C785" w14:textId="71C375D5" w:rsidR="006A232A" w:rsidRPr="005314B5" w:rsidRDefault="006A232A" w:rsidP="006A232A">
      <w:pPr>
        <w:pStyle w:val="SMcaption"/>
        <w:rPr>
          <w:rFonts w:ascii="Myriad Pro" w:hAnsi="Myriad Pro"/>
          <w:sz w:val="22"/>
          <w:szCs w:val="22"/>
        </w:rPr>
      </w:pPr>
    </w:p>
    <w:p w14:paraId="72C807EA" w14:textId="262F6703" w:rsidR="006A232A" w:rsidRPr="002333E1" w:rsidRDefault="006A232A" w:rsidP="002333E1">
      <w:pPr>
        <w:pStyle w:val="SMHeading"/>
        <w:spacing w:line="276" w:lineRule="auto"/>
        <w:jc w:val="both"/>
        <w:rPr>
          <w:b w:val="0"/>
          <w:bCs w:val="0"/>
        </w:rPr>
      </w:pPr>
      <w:r w:rsidRPr="002333E1">
        <w:t xml:space="preserve">Table S3. </w:t>
      </w:r>
      <w:r w:rsidR="00365A49" w:rsidRPr="002333E1">
        <w:rPr>
          <w:b w:val="0"/>
          <w:bCs w:val="0"/>
        </w:rPr>
        <w:t>Ranges of estimated diffuse hydrothermal heat flux for the Tour Eiffel and White Castle sites, based on values in Supplementary Tables 2 and 3. Qmin/Qmax (slab) is calculated for the mound and slab domain, based on a simplified setting in which cracks in the underlying basalts, vent 140°C end-member rich fluids at 5 to 10 mm/s (see Supplementary Table 2 for corresponding heat flux per m</w:t>
      </w:r>
      <w:r w:rsidR="00365A49" w:rsidRPr="002333E1">
        <w:rPr>
          <w:b w:val="0"/>
          <w:bCs w:val="0"/>
          <w:vertAlign w:val="superscript"/>
        </w:rPr>
        <w:t>2</w:t>
      </w:r>
      <w:r w:rsidR="00365A49" w:rsidRPr="002333E1">
        <w:rPr>
          <w:b w:val="0"/>
          <w:bCs w:val="0"/>
        </w:rPr>
        <w:t>)</w:t>
      </w:r>
      <w:r w:rsidR="00065B8D">
        <w:rPr>
          <w:b w:val="0"/>
          <w:bCs w:val="0"/>
        </w:rPr>
        <w:t xml:space="preserve"> and</w:t>
      </w:r>
      <w:r w:rsidR="00365A49" w:rsidRPr="002333E1">
        <w:rPr>
          <w:b w:val="0"/>
          <w:bCs w:val="0"/>
        </w:rPr>
        <w:t xml:space="preserve"> represent 1/100 of the slab surface (Supplementary Table 3). Qmin/Qmax (off slab) is the range calculated for patches and cracks outside the slab domain, using 1.1 MW/m</w:t>
      </w:r>
      <w:r w:rsidR="00365A49" w:rsidRPr="002333E1">
        <w:rPr>
          <w:b w:val="0"/>
          <w:bCs w:val="0"/>
          <w:vertAlign w:val="superscript"/>
        </w:rPr>
        <w:t>2</w:t>
      </w:r>
      <w:r w:rsidR="00365A49" w:rsidRPr="002333E1">
        <w:rPr>
          <w:b w:val="0"/>
          <w:bCs w:val="0"/>
        </w:rPr>
        <w:t xml:space="preserve"> (Mittelstaedt et al., 2012) for cracks (this corresponds to the minimum value used in Barreyre et al., 2012; Supplementary Table 2)</w:t>
      </w:r>
      <w:r w:rsidR="002333E1" w:rsidRPr="002333E1">
        <w:rPr>
          <w:b w:val="0"/>
          <w:bCs w:val="0"/>
        </w:rPr>
        <w:t xml:space="preserve"> </w:t>
      </w:r>
      <w:r w:rsidR="00365A49" w:rsidRPr="002333E1">
        <w:rPr>
          <w:b w:val="0"/>
          <w:bCs w:val="0"/>
        </w:rPr>
        <w:t>and the following range of values for patches: 0.188 to 0.941 W/m</w:t>
      </w:r>
      <w:r w:rsidR="00365A49" w:rsidRPr="002333E1">
        <w:rPr>
          <w:b w:val="0"/>
          <w:bCs w:val="0"/>
          <w:vertAlign w:val="superscript"/>
        </w:rPr>
        <w:t>2</w:t>
      </w:r>
      <w:r w:rsidR="00365A49" w:rsidRPr="002333E1">
        <w:rPr>
          <w:b w:val="0"/>
          <w:bCs w:val="0"/>
        </w:rPr>
        <w:t xml:space="preserve"> for white patches; and 0.308 to 1.539 W/m</w:t>
      </w:r>
      <w:r w:rsidR="00365A49" w:rsidRPr="002333E1">
        <w:rPr>
          <w:b w:val="0"/>
          <w:bCs w:val="0"/>
          <w:vertAlign w:val="superscript"/>
        </w:rPr>
        <w:t>2</w:t>
      </w:r>
      <w:r w:rsidR="00365A49" w:rsidRPr="002333E1">
        <w:rPr>
          <w:b w:val="0"/>
          <w:bCs w:val="0"/>
        </w:rPr>
        <w:t xml:space="preserve"> for grey patches (Supplementary Table 2). (1) Mittelstaedt et al. (2012) total diffuse and focused heat flux estimates for Tour Eiffel.</w:t>
      </w:r>
      <w:r w:rsidRPr="002333E1">
        <w:rPr>
          <w:b w:val="0"/>
          <w:bCs w:val="0"/>
        </w:rPr>
        <w:t xml:space="preserve">  </w:t>
      </w:r>
    </w:p>
    <w:p w14:paraId="20A613AF" w14:textId="77777777" w:rsidR="006A232A" w:rsidRDefault="006A232A" w:rsidP="0066722B">
      <w:pPr>
        <w:pStyle w:val="SMcaption"/>
        <w:rPr>
          <w:rFonts w:ascii="Myriad Pro" w:hAnsi="Myriad Pro"/>
          <w:b/>
          <w:i/>
          <w:sz w:val="22"/>
          <w:szCs w:val="22"/>
        </w:rPr>
      </w:pPr>
    </w:p>
    <w:tbl>
      <w:tblPr>
        <w:tblW w:w="719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247"/>
        <w:gridCol w:w="1276"/>
        <w:gridCol w:w="1276"/>
        <w:gridCol w:w="1417"/>
        <w:gridCol w:w="1418"/>
      </w:tblGrid>
      <w:tr w:rsidR="00365A49" w:rsidRPr="008D1FB1" w14:paraId="0C5A1602" w14:textId="77777777" w:rsidTr="001B3695">
        <w:trPr>
          <w:trHeight w:val="1124"/>
        </w:trPr>
        <w:tc>
          <w:tcPr>
            <w:tcW w:w="562" w:type="dxa"/>
            <w:shd w:val="clear" w:color="auto" w:fill="auto"/>
            <w:vAlign w:val="center"/>
            <w:hideMark/>
          </w:tcPr>
          <w:p w14:paraId="21C007EF"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lastRenderedPageBreak/>
              <w:t>Site</w:t>
            </w:r>
          </w:p>
        </w:tc>
        <w:tc>
          <w:tcPr>
            <w:tcW w:w="1247" w:type="dxa"/>
            <w:vAlign w:val="center"/>
          </w:tcPr>
          <w:p w14:paraId="5EFD1BE3" w14:textId="77777777" w:rsidR="00365A49" w:rsidRDefault="00365A49" w:rsidP="001B3695">
            <w:pPr>
              <w:jc w:val="center"/>
              <w:rPr>
                <w:rFonts w:cstheme="minorHAnsi"/>
                <w:color w:val="000000"/>
                <w:sz w:val="20"/>
                <w:lang w:val="fr-FR" w:eastAsia="fr-FR"/>
              </w:rPr>
            </w:pPr>
            <w:r>
              <w:rPr>
                <w:rFonts w:cstheme="minorHAnsi"/>
                <w:color w:val="000000"/>
                <w:sz w:val="20"/>
                <w:lang w:val="fr-FR" w:eastAsia="fr-FR"/>
              </w:rPr>
              <w:t>Diffuse</w:t>
            </w:r>
          </w:p>
          <w:p w14:paraId="2F23B8EB"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Qmin/Qmax (slab) (W)</w:t>
            </w:r>
          </w:p>
        </w:tc>
        <w:tc>
          <w:tcPr>
            <w:tcW w:w="1276" w:type="dxa"/>
            <w:vAlign w:val="center"/>
          </w:tcPr>
          <w:p w14:paraId="0879E6F7" w14:textId="77777777" w:rsidR="00365A49" w:rsidRPr="009F2533" w:rsidRDefault="00365A49" w:rsidP="001B3695">
            <w:pPr>
              <w:jc w:val="center"/>
              <w:rPr>
                <w:rFonts w:cstheme="minorHAnsi"/>
                <w:color w:val="000000"/>
                <w:sz w:val="20"/>
                <w:lang w:eastAsia="fr-FR"/>
              </w:rPr>
            </w:pPr>
            <w:r>
              <w:rPr>
                <w:rFonts w:cstheme="minorHAnsi"/>
                <w:color w:val="000000"/>
                <w:sz w:val="20"/>
                <w:lang w:val="fr-FR" w:eastAsia="fr-FR"/>
              </w:rPr>
              <w:t>Diffuse</w:t>
            </w:r>
            <w:r w:rsidRPr="009F2533">
              <w:rPr>
                <w:rFonts w:cstheme="minorHAnsi"/>
                <w:color w:val="000000"/>
                <w:sz w:val="20"/>
                <w:lang w:eastAsia="fr-FR"/>
              </w:rPr>
              <w:t xml:space="preserve"> Qmin/Qmax (off slab) (W)</w:t>
            </w:r>
          </w:p>
        </w:tc>
        <w:tc>
          <w:tcPr>
            <w:tcW w:w="1276" w:type="dxa"/>
            <w:vAlign w:val="center"/>
          </w:tcPr>
          <w:p w14:paraId="479E522B" w14:textId="77777777" w:rsidR="00365A49" w:rsidRPr="008D1FB1" w:rsidRDefault="00365A49" w:rsidP="001B3695">
            <w:pPr>
              <w:jc w:val="center"/>
              <w:rPr>
                <w:rFonts w:cstheme="minorHAnsi"/>
                <w:color w:val="000000"/>
                <w:sz w:val="20"/>
                <w:lang w:val="fr-FR" w:eastAsia="fr-FR"/>
              </w:rPr>
            </w:pPr>
            <w:r>
              <w:rPr>
                <w:rFonts w:cstheme="minorHAnsi"/>
                <w:color w:val="000000"/>
                <w:sz w:val="20"/>
                <w:lang w:val="fr-FR" w:eastAsia="fr-FR"/>
              </w:rPr>
              <w:t>Diffuse</w:t>
            </w:r>
            <w:r w:rsidRPr="008D1FB1">
              <w:rPr>
                <w:rFonts w:cstheme="minorHAnsi"/>
                <w:color w:val="000000"/>
                <w:sz w:val="20"/>
                <w:lang w:val="fr-FR" w:eastAsia="fr-FR"/>
              </w:rPr>
              <w:t xml:space="preserve"> Qmin/Qmax (total) (W)</w:t>
            </w:r>
          </w:p>
        </w:tc>
        <w:tc>
          <w:tcPr>
            <w:tcW w:w="1417" w:type="dxa"/>
          </w:tcPr>
          <w:p w14:paraId="1FC31D8E" w14:textId="77777777" w:rsidR="00365A49" w:rsidRDefault="00365A49" w:rsidP="001B3695">
            <w:pPr>
              <w:jc w:val="center"/>
              <w:rPr>
                <w:rFonts w:cstheme="minorHAnsi"/>
                <w:color w:val="000000"/>
                <w:sz w:val="20"/>
                <w:lang w:val="fr-FR" w:eastAsia="fr-FR"/>
              </w:rPr>
            </w:pPr>
          </w:p>
          <w:p w14:paraId="1B519393" w14:textId="77777777" w:rsidR="00365A49" w:rsidRDefault="00365A49" w:rsidP="001B3695">
            <w:pPr>
              <w:jc w:val="center"/>
              <w:rPr>
                <w:rFonts w:cstheme="minorHAnsi"/>
                <w:color w:val="000000"/>
                <w:sz w:val="20"/>
                <w:lang w:val="fr-FR" w:eastAsia="fr-FR"/>
              </w:rPr>
            </w:pPr>
            <w:r>
              <w:rPr>
                <w:rFonts w:cstheme="minorHAnsi"/>
                <w:color w:val="000000"/>
                <w:sz w:val="20"/>
                <w:lang w:val="fr-FR" w:eastAsia="fr-FR"/>
              </w:rPr>
              <w:t>Diffuse</w:t>
            </w:r>
            <w:r w:rsidRPr="008D1FB1">
              <w:rPr>
                <w:rFonts w:cstheme="minorHAnsi"/>
                <w:color w:val="000000"/>
                <w:sz w:val="20"/>
                <w:lang w:val="fr-FR" w:eastAsia="fr-FR"/>
              </w:rPr>
              <w:t xml:space="preserve"> </w:t>
            </w:r>
          </w:p>
          <w:p w14:paraId="239730B7" w14:textId="77777777" w:rsidR="00365A49" w:rsidRDefault="00365A49" w:rsidP="001B3695">
            <w:pPr>
              <w:jc w:val="center"/>
              <w:rPr>
                <w:rFonts w:cstheme="minorHAnsi"/>
                <w:color w:val="000000"/>
                <w:sz w:val="20"/>
                <w:lang w:val="fr-FR" w:eastAsia="fr-FR"/>
              </w:rPr>
            </w:pPr>
            <w:r w:rsidRPr="008D1FB1">
              <w:rPr>
                <w:rFonts w:cstheme="minorHAnsi"/>
                <w:color w:val="000000"/>
                <w:sz w:val="20"/>
                <w:lang w:val="fr-FR" w:eastAsia="fr-FR"/>
              </w:rPr>
              <w:t>Q (total) (W)</w:t>
            </w:r>
          </w:p>
          <w:p w14:paraId="7A34ACCD" w14:textId="77777777" w:rsidR="00365A49" w:rsidRDefault="00365A49" w:rsidP="001B3695">
            <w:pPr>
              <w:jc w:val="center"/>
              <w:rPr>
                <w:rFonts w:cstheme="minorHAnsi"/>
                <w:color w:val="000000"/>
                <w:sz w:val="20"/>
                <w:lang w:val="fr-FR" w:eastAsia="fr-FR"/>
              </w:rPr>
            </w:pPr>
            <w:r>
              <w:rPr>
                <w:rFonts w:cstheme="minorHAnsi"/>
                <w:color w:val="000000"/>
                <w:sz w:val="20"/>
                <w:lang w:val="fr-FR" w:eastAsia="fr-FR"/>
              </w:rPr>
              <w:t>(1)</w:t>
            </w:r>
          </w:p>
        </w:tc>
        <w:tc>
          <w:tcPr>
            <w:tcW w:w="1418" w:type="dxa"/>
          </w:tcPr>
          <w:p w14:paraId="51D629E2" w14:textId="77777777" w:rsidR="00365A49" w:rsidRDefault="00365A49" w:rsidP="001B3695">
            <w:pPr>
              <w:jc w:val="center"/>
              <w:rPr>
                <w:rFonts w:cstheme="minorHAnsi"/>
                <w:color w:val="000000"/>
                <w:sz w:val="20"/>
                <w:lang w:val="fr-FR" w:eastAsia="fr-FR"/>
              </w:rPr>
            </w:pPr>
          </w:p>
          <w:p w14:paraId="2011B538" w14:textId="77777777" w:rsidR="00365A49" w:rsidRDefault="00365A49" w:rsidP="001B3695">
            <w:pPr>
              <w:jc w:val="center"/>
              <w:rPr>
                <w:rFonts w:cstheme="minorHAnsi"/>
                <w:color w:val="000000"/>
                <w:sz w:val="20"/>
                <w:lang w:val="fr-FR" w:eastAsia="fr-FR"/>
              </w:rPr>
            </w:pPr>
            <w:r>
              <w:rPr>
                <w:rFonts w:cstheme="minorHAnsi"/>
                <w:color w:val="000000"/>
                <w:sz w:val="20"/>
                <w:lang w:val="fr-FR" w:eastAsia="fr-FR"/>
              </w:rPr>
              <w:t>Focused</w:t>
            </w:r>
            <w:r w:rsidRPr="008D1FB1">
              <w:rPr>
                <w:rFonts w:cstheme="minorHAnsi"/>
                <w:color w:val="000000"/>
                <w:sz w:val="20"/>
                <w:lang w:val="fr-FR" w:eastAsia="fr-FR"/>
              </w:rPr>
              <w:t xml:space="preserve"> </w:t>
            </w:r>
          </w:p>
          <w:p w14:paraId="6261F152" w14:textId="77777777" w:rsidR="00365A49" w:rsidRDefault="00365A49" w:rsidP="001B3695">
            <w:pPr>
              <w:jc w:val="center"/>
              <w:rPr>
                <w:rFonts w:cstheme="minorHAnsi"/>
                <w:color w:val="000000"/>
                <w:sz w:val="20"/>
                <w:lang w:val="fr-FR" w:eastAsia="fr-FR"/>
              </w:rPr>
            </w:pPr>
            <w:r w:rsidRPr="008D1FB1">
              <w:rPr>
                <w:rFonts w:cstheme="minorHAnsi"/>
                <w:color w:val="000000"/>
                <w:sz w:val="20"/>
                <w:lang w:val="fr-FR" w:eastAsia="fr-FR"/>
              </w:rPr>
              <w:t>Q (total) (W)</w:t>
            </w:r>
          </w:p>
          <w:p w14:paraId="6273B7AB" w14:textId="77777777" w:rsidR="00365A49" w:rsidRDefault="00365A49" w:rsidP="001B3695">
            <w:pPr>
              <w:jc w:val="center"/>
              <w:rPr>
                <w:rFonts w:cstheme="minorHAnsi"/>
                <w:color w:val="000000"/>
                <w:sz w:val="20"/>
                <w:lang w:val="fr-FR" w:eastAsia="fr-FR"/>
              </w:rPr>
            </w:pPr>
            <w:r>
              <w:rPr>
                <w:rFonts w:cstheme="minorHAnsi"/>
                <w:color w:val="000000"/>
                <w:sz w:val="20"/>
                <w:lang w:val="fr-FR" w:eastAsia="fr-FR"/>
              </w:rPr>
              <w:t>(1)</w:t>
            </w:r>
          </w:p>
        </w:tc>
      </w:tr>
      <w:tr w:rsidR="00365A49" w:rsidRPr="00DC4A3A" w14:paraId="4DC15B60" w14:textId="77777777" w:rsidTr="001B3695">
        <w:trPr>
          <w:trHeight w:val="320"/>
        </w:trPr>
        <w:tc>
          <w:tcPr>
            <w:tcW w:w="562" w:type="dxa"/>
            <w:shd w:val="clear" w:color="auto" w:fill="auto"/>
            <w:noWrap/>
            <w:vAlign w:val="center"/>
            <w:hideMark/>
          </w:tcPr>
          <w:p w14:paraId="770AFA01"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TE</w:t>
            </w:r>
          </w:p>
        </w:tc>
        <w:tc>
          <w:tcPr>
            <w:tcW w:w="1247" w:type="dxa"/>
          </w:tcPr>
          <w:p w14:paraId="7B25E9CD" w14:textId="77777777" w:rsidR="00365A49" w:rsidRPr="00DC4A3A" w:rsidRDefault="00365A49" w:rsidP="001B3695">
            <w:pPr>
              <w:jc w:val="center"/>
              <w:rPr>
                <w:rFonts w:cstheme="minorHAnsi"/>
                <w:color w:val="000000"/>
                <w:sz w:val="20"/>
                <w:lang w:val="fr-FR" w:eastAsia="fr-FR"/>
              </w:rPr>
            </w:pPr>
            <w:r>
              <w:rPr>
                <w:rFonts w:cstheme="minorHAnsi"/>
                <w:color w:val="000000"/>
                <w:sz w:val="20"/>
                <w:lang w:val="fr-FR" w:eastAsia="fr-FR"/>
              </w:rPr>
              <w:t>14.44</w:t>
            </w:r>
            <w:r w:rsidRPr="00DC4A3A">
              <w:rPr>
                <w:rFonts w:cstheme="minorHAnsi"/>
                <w:color w:val="000000"/>
                <w:sz w:val="20"/>
                <w:lang w:val="fr-FR" w:eastAsia="fr-FR"/>
              </w:rPr>
              <w:t>/</w:t>
            </w:r>
            <w:r>
              <w:rPr>
                <w:rFonts w:cstheme="minorHAnsi"/>
                <w:color w:val="000000"/>
                <w:sz w:val="20"/>
                <w:lang w:val="fr-FR" w:eastAsia="fr-FR"/>
              </w:rPr>
              <w:t>28.88</w:t>
            </w:r>
          </w:p>
        </w:tc>
        <w:tc>
          <w:tcPr>
            <w:tcW w:w="1276" w:type="dxa"/>
          </w:tcPr>
          <w:p w14:paraId="78875DF9"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6.</w:t>
            </w:r>
            <w:r>
              <w:rPr>
                <w:rFonts w:cstheme="minorHAnsi"/>
                <w:color w:val="000000"/>
                <w:sz w:val="20"/>
                <w:lang w:val="fr-FR" w:eastAsia="fr-FR"/>
              </w:rPr>
              <w:t>9</w:t>
            </w:r>
            <w:r w:rsidRPr="00DC4A3A">
              <w:rPr>
                <w:rFonts w:cstheme="minorHAnsi"/>
                <w:color w:val="000000"/>
                <w:sz w:val="20"/>
                <w:lang w:val="fr-FR" w:eastAsia="fr-FR"/>
              </w:rPr>
              <w:t>2/</w:t>
            </w:r>
            <w:r>
              <w:rPr>
                <w:rFonts w:cstheme="minorHAnsi"/>
                <w:color w:val="000000"/>
                <w:sz w:val="20"/>
                <w:lang w:val="fr-FR" w:eastAsia="fr-FR"/>
              </w:rPr>
              <w:t>25.19</w:t>
            </w:r>
          </w:p>
        </w:tc>
        <w:tc>
          <w:tcPr>
            <w:tcW w:w="1276" w:type="dxa"/>
          </w:tcPr>
          <w:p w14:paraId="7C2D0713" w14:textId="77777777" w:rsidR="00365A49" w:rsidRPr="00DC4A3A" w:rsidRDefault="00365A49" w:rsidP="001B3695">
            <w:pPr>
              <w:jc w:val="center"/>
              <w:rPr>
                <w:rFonts w:cstheme="minorHAnsi"/>
                <w:color w:val="000000"/>
                <w:sz w:val="20"/>
                <w:lang w:val="fr-FR" w:eastAsia="fr-FR"/>
              </w:rPr>
            </w:pPr>
            <w:r>
              <w:rPr>
                <w:rFonts w:cstheme="minorHAnsi"/>
                <w:color w:val="000000"/>
                <w:sz w:val="20"/>
                <w:lang w:val="fr-FR" w:eastAsia="fr-FR"/>
              </w:rPr>
              <w:t>21.36/54.07</w:t>
            </w:r>
          </w:p>
        </w:tc>
        <w:tc>
          <w:tcPr>
            <w:tcW w:w="1417" w:type="dxa"/>
          </w:tcPr>
          <w:p w14:paraId="66755A36" w14:textId="77777777" w:rsidR="00365A49" w:rsidRPr="00DC4A3A" w:rsidRDefault="00365A49" w:rsidP="001B3695">
            <w:pPr>
              <w:jc w:val="center"/>
              <w:rPr>
                <w:rFonts w:cstheme="minorHAnsi"/>
                <w:color w:val="000000"/>
                <w:sz w:val="20"/>
                <w:lang w:val="fr-FR" w:eastAsia="fr-FR"/>
              </w:rPr>
            </w:pPr>
            <w:r>
              <w:rPr>
                <w:rFonts w:cstheme="minorHAnsi"/>
                <w:color w:val="000000"/>
                <w:sz w:val="20"/>
                <w:lang w:val="fr-FR" w:eastAsia="fr-FR"/>
              </w:rPr>
              <w:t>18.75±2.2</w:t>
            </w:r>
          </w:p>
        </w:tc>
        <w:tc>
          <w:tcPr>
            <w:tcW w:w="1418" w:type="dxa"/>
          </w:tcPr>
          <w:p w14:paraId="3F12C2A0" w14:textId="77777777" w:rsidR="00365A49" w:rsidRPr="00DC4A3A" w:rsidRDefault="00365A49" w:rsidP="001B3695">
            <w:pPr>
              <w:jc w:val="center"/>
              <w:rPr>
                <w:rFonts w:cstheme="minorHAnsi"/>
                <w:color w:val="000000"/>
                <w:sz w:val="20"/>
                <w:lang w:val="fr-FR" w:eastAsia="fr-FR"/>
              </w:rPr>
            </w:pPr>
            <w:r>
              <w:rPr>
                <w:rFonts w:cstheme="minorHAnsi"/>
                <w:color w:val="000000"/>
                <w:sz w:val="20"/>
                <w:lang w:val="fr-FR" w:eastAsia="fr-FR"/>
              </w:rPr>
              <w:t>1.07±0.66</w:t>
            </w:r>
          </w:p>
        </w:tc>
      </w:tr>
      <w:tr w:rsidR="00365A49" w:rsidRPr="00DC4A3A" w14:paraId="6850B4E7" w14:textId="77777777" w:rsidTr="001B3695">
        <w:trPr>
          <w:trHeight w:val="320"/>
        </w:trPr>
        <w:tc>
          <w:tcPr>
            <w:tcW w:w="562" w:type="dxa"/>
            <w:shd w:val="clear" w:color="auto" w:fill="auto"/>
            <w:noWrap/>
            <w:vAlign w:val="center"/>
            <w:hideMark/>
          </w:tcPr>
          <w:p w14:paraId="0DDB5742" w14:textId="77777777" w:rsidR="00365A49" w:rsidRPr="00DC4A3A" w:rsidRDefault="00365A49" w:rsidP="001B3695">
            <w:pPr>
              <w:jc w:val="center"/>
              <w:rPr>
                <w:rFonts w:cstheme="minorHAnsi"/>
                <w:color w:val="000000"/>
                <w:sz w:val="20"/>
                <w:lang w:val="fr-FR" w:eastAsia="fr-FR"/>
              </w:rPr>
            </w:pPr>
            <w:r w:rsidRPr="00DC4A3A">
              <w:rPr>
                <w:rFonts w:cstheme="minorHAnsi"/>
                <w:color w:val="000000"/>
                <w:sz w:val="20"/>
                <w:lang w:val="fr-FR" w:eastAsia="fr-FR"/>
              </w:rPr>
              <w:t>WC</w:t>
            </w:r>
          </w:p>
        </w:tc>
        <w:tc>
          <w:tcPr>
            <w:tcW w:w="1247" w:type="dxa"/>
          </w:tcPr>
          <w:p w14:paraId="32AF293D" w14:textId="77777777" w:rsidR="00365A49" w:rsidRPr="00DC4A3A" w:rsidRDefault="00365A49" w:rsidP="001B3695">
            <w:pPr>
              <w:jc w:val="center"/>
              <w:rPr>
                <w:rFonts w:cstheme="minorHAnsi"/>
                <w:color w:val="000000"/>
                <w:sz w:val="20"/>
                <w:lang w:val="fr-FR" w:eastAsia="fr-FR"/>
              </w:rPr>
            </w:pPr>
            <w:r>
              <w:rPr>
                <w:rFonts w:cstheme="minorHAnsi"/>
                <w:color w:val="000000"/>
                <w:sz w:val="20"/>
                <w:lang w:val="fr-FR" w:eastAsia="fr-FR"/>
              </w:rPr>
              <w:t>3.77</w:t>
            </w:r>
            <w:r w:rsidRPr="00DC4A3A">
              <w:rPr>
                <w:rFonts w:cstheme="minorHAnsi"/>
                <w:color w:val="000000"/>
                <w:sz w:val="20"/>
                <w:lang w:val="fr-FR" w:eastAsia="fr-FR"/>
              </w:rPr>
              <w:t>/</w:t>
            </w:r>
            <w:r>
              <w:rPr>
                <w:rFonts w:cstheme="minorHAnsi"/>
                <w:color w:val="000000"/>
                <w:sz w:val="20"/>
                <w:lang w:val="fr-FR" w:eastAsia="fr-FR"/>
              </w:rPr>
              <w:t>7.54</w:t>
            </w:r>
          </w:p>
        </w:tc>
        <w:tc>
          <w:tcPr>
            <w:tcW w:w="1276" w:type="dxa"/>
          </w:tcPr>
          <w:p w14:paraId="04CDCDB9" w14:textId="273CC0A6" w:rsidR="00365A49" w:rsidRDefault="00C7142F" w:rsidP="001B3695">
            <w:pPr>
              <w:jc w:val="center"/>
              <w:rPr>
                <w:rFonts w:cstheme="minorHAnsi"/>
                <w:color w:val="000000"/>
                <w:sz w:val="20"/>
                <w:lang w:val="fr-FR" w:eastAsia="fr-FR"/>
              </w:rPr>
            </w:pPr>
            <w:r>
              <w:rPr>
                <w:rFonts w:cstheme="minorHAnsi"/>
                <w:color w:val="000000"/>
                <w:sz w:val="20"/>
                <w:lang w:val="fr-FR" w:eastAsia="fr-FR"/>
              </w:rPr>
              <w:t>4.48</w:t>
            </w:r>
            <w:r w:rsidR="00365A49" w:rsidRPr="00DC4A3A">
              <w:rPr>
                <w:rFonts w:cstheme="minorHAnsi"/>
                <w:color w:val="000000"/>
                <w:sz w:val="20"/>
                <w:lang w:val="fr-FR" w:eastAsia="fr-FR"/>
              </w:rPr>
              <w:t>/</w:t>
            </w:r>
            <w:r w:rsidR="00365A49">
              <w:rPr>
                <w:rFonts w:cstheme="minorHAnsi"/>
                <w:color w:val="000000"/>
                <w:sz w:val="20"/>
                <w:lang w:val="fr-FR" w:eastAsia="fr-FR"/>
              </w:rPr>
              <w:t>2</w:t>
            </w:r>
            <w:r>
              <w:rPr>
                <w:rFonts w:cstheme="minorHAnsi"/>
                <w:color w:val="000000"/>
                <w:sz w:val="20"/>
                <w:lang w:val="fr-FR" w:eastAsia="fr-FR"/>
              </w:rPr>
              <w:t>2.41</w:t>
            </w:r>
          </w:p>
        </w:tc>
        <w:tc>
          <w:tcPr>
            <w:tcW w:w="1276" w:type="dxa"/>
          </w:tcPr>
          <w:p w14:paraId="6659ED66" w14:textId="1E45C1E6" w:rsidR="00365A49" w:rsidRPr="00DC4A3A" w:rsidRDefault="00C7142F" w:rsidP="001B3695">
            <w:pPr>
              <w:jc w:val="center"/>
              <w:rPr>
                <w:rFonts w:cstheme="minorHAnsi"/>
                <w:color w:val="000000"/>
                <w:sz w:val="20"/>
                <w:lang w:val="fr-FR" w:eastAsia="fr-FR"/>
              </w:rPr>
            </w:pPr>
            <w:r>
              <w:rPr>
                <w:rFonts w:cstheme="minorHAnsi"/>
                <w:color w:val="000000"/>
                <w:sz w:val="20"/>
                <w:lang w:val="fr-FR" w:eastAsia="fr-FR"/>
              </w:rPr>
              <w:t>8.25</w:t>
            </w:r>
            <w:r w:rsidR="00365A49">
              <w:rPr>
                <w:rFonts w:cstheme="minorHAnsi"/>
                <w:color w:val="000000"/>
                <w:sz w:val="20"/>
                <w:lang w:val="fr-FR" w:eastAsia="fr-FR"/>
              </w:rPr>
              <w:t>/</w:t>
            </w:r>
            <w:r>
              <w:rPr>
                <w:rFonts w:cstheme="minorHAnsi"/>
                <w:color w:val="000000"/>
                <w:sz w:val="20"/>
                <w:lang w:val="fr-FR" w:eastAsia="fr-FR"/>
              </w:rPr>
              <w:t>29.95</w:t>
            </w:r>
          </w:p>
        </w:tc>
        <w:tc>
          <w:tcPr>
            <w:tcW w:w="1417" w:type="dxa"/>
          </w:tcPr>
          <w:p w14:paraId="22F54EED" w14:textId="77777777" w:rsidR="00365A49" w:rsidRDefault="00365A49" w:rsidP="001B3695">
            <w:pPr>
              <w:jc w:val="center"/>
              <w:rPr>
                <w:rFonts w:cstheme="minorHAnsi"/>
                <w:color w:val="000000"/>
                <w:sz w:val="20"/>
                <w:lang w:val="fr-FR" w:eastAsia="fr-FR"/>
              </w:rPr>
            </w:pPr>
            <w:r>
              <w:rPr>
                <w:rFonts w:cstheme="minorHAnsi"/>
                <w:color w:val="000000"/>
                <w:sz w:val="20"/>
                <w:lang w:val="fr-FR" w:eastAsia="fr-FR"/>
              </w:rPr>
              <w:t>nd</w:t>
            </w:r>
          </w:p>
        </w:tc>
        <w:tc>
          <w:tcPr>
            <w:tcW w:w="1418" w:type="dxa"/>
          </w:tcPr>
          <w:p w14:paraId="37E1B104" w14:textId="77777777" w:rsidR="00365A49" w:rsidRDefault="00365A49" w:rsidP="001B3695">
            <w:pPr>
              <w:jc w:val="center"/>
              <w:rPr>
                <w:rFonts w:cstheme="minorHAnsi"/>
                <w:color w:val="000000"/>
                <w:sz w:val="20"/>
                <w:lang w:val="fr-FR" w:eastAsia="fr-FR"/>
              </w:rPr>
            </w:pPr>
            <w:r>
              <w:rPr>
                <w:rFonts w:cstheme="minorHAnsi"/>
                <w:color w:val="000000"/>
                <w:sz w:val="20"/>
                <w:lang w:val="fr-FR" w:eastAsia="fr-FR"/>
              </w:rPr>
              <w:t>nd</w:t>
            </w:r>
          </w:p>
        </w:tc>
      </w:tr>
    </w:tbl>
    <w:p w14:paraId="1E4DDD0B" w14:textId="1BDDA999" w:rsidR="006A232A" w:rsidRPr="005314B5" w:rsidRDefault="006A232A" w:rsidP="006A232A">
      <w:pPr>
        <w:pStyle w:val="SMcaption"/>
        <w:rPr>
          <w:rFonts w:ascii="Myriad Pro" w:hAnsi="Myriad Pro"/>
          <w:sz w:val="22"/>
          <w:szCs w:val="22"/>
        </w:rPr>
      </w:pPr>
    </w:p>
    <w:p w14:paraId="7DC92A7E" w14:textId="3731C971" w:rsidR="00365A49" w:rsidRPr="00D10A82" w:rsidRDefault="006A232A" w:rsidP="00D10A82">
      <w:pPr>
        <w:spacing w:line="276" w:lineRule="auto"/>
        <w:jc w:val="both"/>
        <w:rPr>
          <w:szCs w:val="24"/>
        </w:rPr>
      </w:pPr>
      <w:r w:rsidRPr="00D10A82">
        <w:rPr>
          <w:szCs w:val="24"/>
        </w:rPr>
        <w:t>Table S</w:t>
      </w:r>
      <w:r w:rsidR="009A0826" w:rsidRPr="00D10A82">
        <w:rPr>
          <w:szCs w:val="24"/>
        </w:rPr>
        <w:t>4</w:t>
      </w:r>
      <w:r w:rsidRPr="00D10A82">
        <w:rPr>
          <w:szCs w:val="24"/>
        </w:rPr>
        <w:t xml:space="preserve">. </w:t>
      </w:r>
      <w:r w:rsidR="00365A49" w:rsidRPr="00D10A82">
        <w:rPr>
          <w:szCs w:val="24"/>
        </w:rPr>
        <w:t>Ranges of estimated diffuse hydrothermal heat flux for the Tour Eiffel and White Castle sites, based on values in Supplementary Tables 2 and 3. Qmin/Qmax (slab) is calculated for the mound and slab domain, based on a simplified setting in which cracks in the underlying basalts, vent 140°C end-member rich fluids at 5 to 10 mm/s (see Supplementary Table 2 for corresponding heat flux per m</w:t>
      </w:r>
      <w:r w:rsidR="00365A49" w:rsidRPr="00D10A82">
        <w:rPr>
          <w:szCs w:val="24"/>
          <w:vertAlign w:val="superscript"/>
        </w:rPr>
        <w:t>2</w:t>
      </w:r>
      <w:r w:rsidR="00365A49" w:rsidRPr="00D10A82">
        <w:rPr>
          <w:szCs w:val="24"/>
        </w:rPr>
        <w:t>)</w:t>
      </w:r>
      <w:r w:rsidR="00065B8D">
        <w:rPr>
          <w:szCs w:val="24"/>
        </w:rPr>
        <w:t xml:space="preserve"> and</w:t>
      </w:r>
      <w:r w:rsidR="00365A49" w:rsidRPr="00D10A82">
        <w:rPr>
          <w:szCs w:val="24"/>
        </w:rPr>
        <w:t xml:space="preserve"> represent 1/100 of the slab surface (Supplementary Table 3). Qmin/Qmax (off slab) is the range calculated for patches and cracks outside the slab domain, using 1.1 MW/m</w:t>
      </w:r>
      <w:r w:rsidR="00365A49" w:rsidRPr="00D10A82">
        <w:rPr>
          <w:szCs w:val="24"/>
          <w:vertAlign w:val="superscript"/>
        </w:rPr>
        <w:t>2</w:t>
      </w:r>
      <w:r w:rsidR="00365A49" w:rsidRPr="00D10A82">
        <w:rPr>
          <w:szCs w:val="24"/>
        </w:rPr>
        <w:t xml:space="preserve"> (Mittelstaedt et al., 2012) for cracks (this corresponds to the minimum value used in Barreyre et al., 2012; Supplementary Table 2),  and the following range of values for patches: 0.188 to 0.941 W/m</w:t>
      </w:r>
      <w:r w:rsidR="00365A49" w:rsidRPr="00D10A82">
        <w:rPr>
          <w:szCs w:val="24"/>
          <w:vertAlign w:val="superscript"/>
        </w:rPr>
        <w:t>2</w:t>
      </w:r>
      <w:r w:rsidR="00365A49" w:rsidRPr="00D10A82">
        <w:rPr>
          <w:szCs w:val="24"/>
        </w:rPr>
        <w:t xml:space="preserve"> for white patches; and 0.308 to 1.539 W/m</w:t>
      </w:r>
      <w:r w:rsidR="00365A49" w:rsidRPr="00D10A82">
        <w:rPr>
          <w:szCs w:val="24"/>
          <w:vertAlign w:val="superscript"/>
        </w:rPr>
        <w:t>2</w:t>
      </w:r>
      <w:r w:rsidR="00365A49" w:rsidRPr="00D10A82">
        <w:rPr>
          <w:szCs w:val="24"/>
        </w:rPr>
        <w:t xml:space="preserve"> for grey patches (Supplementary Table 2). (1) Mittelstaedt et al. (2012) total diffuse and focused heat flux estimates for Tour Eiffel.</w:t>
      </w:r>
    </w:p>
    <w:p w14:paraId="7F792F84" w14:textId="3EB7809F" w:rsidR="00B9440A" w:rsidRPr="00D10A82" w:rsidRDefault="00B9440A" w:rsidP="00D10A82">
      <w:pPr>
        <w:pStyle w:val="SMHeading"/>
        <w:rPr>
          <w:rFonts w:ascii="Myriad Pro" w:hAnsi="Myriad Pro"/>
          <w:sz w:val="22"/>
          <w:szCs w:val="22"/>
        </w:rPr>
      </w:pPr>
    </w:p>
    <w:sectPr w:rsidR="00B9440A" w:rsidRPr="00D10A82" w:rsidSect="00F125EE">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9BD34" w14:textId="77777777" w:rsidR="007E23A2" w:rsidRDefault="007E23A2">
      <w:r>
        <w:separator/>
      </w:r>
    </w:p>
  </w:endnote>
  <w:endnote w:type="continuationSeparator" w:id="0">
    <w:p w14:paraId="3927BCD6" w14:textId="77777777" w:rsidR="007E23A2" w:rsidRDefault="007E2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Pieddepage"/>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4734C" w14:textId="77777777" w:rsidR="007E23A2" w:rsidRDefault="007E23A2">
      <w:r>
        <w:separator/>
      </w:r>
    </w:p>
  </w:footnote>
  <w:footnote w:type="continuationSeparator" w:id="0">
    <w:p w14:paraId="2650F256" w14:textId="77777777" w:rsidR="007E23A2" w:rsidRDefault="007E2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1"/>
  </w:num>
  <w:num w:numId="12" w16cid:durableId="438374261">
    <w:abstractNumId w:val="13"/>
  </w:num>
  <w:num w:numId="13" w16cid:durableId="1146118364">
    <w:abstractNumId w:val="10"/>
  </w:num>
  <w:num w:numId="14" w16cid:durableId="1984233882">
    <w:abstractNumId w:val="15"/>
  </w:num>
  <w:num w:numId="15" w16cid:durableId="1230462683">
    <w:abstractNumId w:val="14"/>
  </w:num>
  <w:num w:numId="16" w16cid:durableId="11960405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B8D"/>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966FD"/>
    <w:rsid w:val="00197826"/>
    <w:rsid w:val="001A1BDE"/>
    <w:rsid w:val="001C7B4E"/>
    <w:rsid w:val="001F0876"/>
    <w:rsid w:val="001F167C"/>
    <w:rsid w:val="001F4D68"/>
    <w:rsid w:val="001F5E91"/>
    <w:rsid w:val="0020183F"/>
    <w:rsid w:val="00207752"/>
    <w:rsid w:val="002077B9"/>
    <w:rsid w:val="00221C70"/>
    <w:rsid w:val="002251AF"/>
    <w:rsid w:val="00227D86"/>
    <w:rsid w:val="002333E1"/>
    <w:rsid w:val="00243B68"/>
    <w:rsid w:val="00262D72"/>
    <w:rsid w:val="002800B6"/>
    <w:rsid w:val="002B35D4"/>
    <w:rsid w:val="002C030F"/>
    <w:rsid w:val="002E47E9"/>
    <w:rsid w:val="002F3966"/>
    <w:rsid w:val="00320E2C"/>
    <w:rsid w:val="00331D75"/>
    <w:rsid w:val="00355362"/>
    <w:rsid w:val="00363E44"/>
    <w:rsid w:val="00365A49"/>
    <w:rsid w:val="00395E86"/>
    <w:rsid w:val="003A2FD8"/>
    <w:rsid w:val="003B40E6"/>
    <w:rsid w:val="003C007A"/>
    <w:rsid w:val="003E1980"/>
    <w:rsid w:val="003F6E14"/>
    <w:rsid w:val="00405336"/>
    <w:rsid w:val="004260E2"/>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464C5"/>
    <w:rsid w:val="00552C23"/>
    <w:rsid w:val="005607DD"/>
    <w:rsid w:val="00572B67"/>
    <w:rsid w:val="00572DFF"/>
    <w:rsid w:val="005A558C"/>
    <w:rsid w:val="005B186E"/>
    <w:rsid w:val="005C6651"/>
    <w:rsid w:val="005D6D71"/>
    <w:rsid w:val="005E28F8"/>
    <w:rsid w:val="005E6513"/>
    <w:rsid w:val="00611F9E"/>
    <w:rsid w:val="006237D4"/>
    <w:rsid w:val="00643845"/>
    <w:rsid w:val="00651114"/>
    <w:rsid w:val="00662109"/>
    <w:rsid w:val="006622CF"/>
    <w:rsid w:val="00664A12"/>
    <w:rsid w:val="0066722B"/>
    <w:rsid w:val="00670299"/>
    <w:rsid w:val="0068469F"/>
    <w:rsid w:val="00691985"/>
    <w:rsid w:val="006962C1"/>
    <w:rsid w:val="006A1B64"/>
    <w:rsid w:val="006A232A"/>
    <w:rsid w:val="006B03AD"/>
    <w:rsid w:val="006F602A"/>
    <w:rsid w:val="007108F5"/>
    <w:rsid w:val="00713AF2"/>
    <w:rsid w:val="00713E5B"/>
    <w:rsid w:val="007402FC"/>
    <w:rsid w:val="007411A1"/>
    <w:rsid w:val="0075592D"/>
    <w:rsid w:val="007563F2"/>
    <w:rsid w:val="00764008"/>
    <w:rsid w:val="00795D4D"/>
    <w:rsid w:val="007E23A2"/>
    <w:rsid w:val="007F2F12"/>
    <w:rsid w:val="00807D35"/>
    <w:rsid w:val="008115D9"/>
    <w:rsid w:val="0082251E"/>
    <w:rsid w:val="00825950"/>
    <w:rsid w:val="00885C9B"/>
    <w:rsid w:val="008927D0"/>
    <w:rsid w:val="00896FAB"/>
    <w:rsid w:val="008D5D2A"/>
    <w:rsid w:val="008E2CF1"/>
    <w:rsid w:val="008F08DC"/>
    <w:rsid w:val="008F5A8A"/>
    <w:rsid w:val="0090309A"/>
    <w:rsid w:val="009055D1"/>
    <w:rsid w:val="00914B63"/>
    <w:rsid w:val="00922705"/>
    <w:rsid w:val="00924546"/>
    <w:rsid w:val="00932FE5"/>
    <w:rsid w:val="009354F3"/>
    <w:rsid w:val="009447DC"/>
    <w:rsid w:val="00961BA5"/>
    <w:rsid w:val="009743A9"/>
    <w:rsid w:val="00975720"/>
    <w:rsid w:val="009859A7"/>
    <w:rsid w:val="009915CA"/>
    <w:rsid w:val="009A0826"/>
    <w:rsid w:val="009A1EC6"/>
    <w:rsid w:val="009A3F5D"/>
    <w:rsid w:val="009A5287"/>
    <w:rsid w:val="009B2AC5"/>
    <w:rsid w:val="009B7984"/>
    <w:rsid w:val="009F4BED"/>
    <w:rsid w:val="009F7D93"/>
    <w:rsid w:val="00A04CC3"/>
    <w:rsid w:val="00A276DF"/>
    <w:rsid w:val="00A3084A"/>
    <w:rsid w:val="00A3403B"/>
    <w:rsid w:val="00A50033"/>
    <w:rsid w:val="00A51A12"/>
    <w:rsid w:val="00A627D4"/>
    <w:rsid w:val="00A74DA2"/>
    <w:rsid w:val="00A92733"/>
    <w:rsid w:val="00AA76F3"/>
    <w:rsid w:val="00AC7DA6"/>
    <w:rsid w:val="00AD3F66"/>
    <w:rsid w:val="00AD499C"/>
    <w:rsid w:val="00B30334"/>
    <w:rsid w:val="00B3147F"/>
    <w:rsid w:val="00B36869"/>
    <w:rsid w:val="00B43B31"/>
    <w:rsid w:val="00B47CFA"/>
    <w:rsid w:val="00B529C0"/>
    <w:rsid w:val="00B57F00"/>
    <w:rsid w:val="00B626CB"/>
    <w:rsid w:val="00B7560C"/>
    <w:rsid w:val="00B77E40"/>
    <w:rsid w:val="00B82C22"/>
    <w:rsid w:val="00B93DBA"/>
    <w:rsid w:val="00B9440A"/>
    <w:rsid w:val="00B952C1"/>
    <w:rsid w:val="00B968D7"/>
    <w:rsid w:val="00BA3953"/>
    <w:rsid w:val="00BB2D2A"/>
    <w:rsid w:val="00BD58CF"/>
    <w:rsid w:val="00BF1BEB"/>
    <w:rsid w:val="00BF1BF9"/>
    <w:rsid w:val="00BF32D8"/>
    <w:rsid w:val="00C04CC1"/>
    <w:rsid w:val="00C071FC"/>
    <w:rsid w:val="00C22C02"/>
    <w:rsid w:val="00C231E2"/>
    <w:rsid w:val="00C27F6F"/>
    <w:rsid w:val="00C30E83"/>
    <w:rsid w:val="00C50C6D"/>
    <w:rsid w:val="00C600D9"/>
    <w:rsid w:val="00C634D7"/>
    <w:rsid w:val="00C7142F"/>
    <w:rsid w:val="00C73E09"/>
    <w:rsid w:val="00C97916"/>
    <w:rsid w:val="00CB5072"/>
    <w:rsid w:val="00CC1384"/>
    <w:rsid w:val="00CD3720"/>
    <w:rsid w:val="00CE6EAA"/>
    <w:rsid w:val="00CF1848"/>
    <w:rsid w:val="00CF5C2F"/>
    <w:rsid w:val="00D04BCF"/>
    <w:rsid w:val="00D10134"/>
    <w:rsid w:val="00D10A82"/>
    <w:rsid w:val="00D143D9"/>
    <w:rsid w:val="00D4372A"/>
    <w:rsid w:val="00D60BB0"/>
    <w:rsid w:val="00D628FE"/>
    <w:rsid w:val="00D65708"/>
    <w:rsid w:val="00D6579D"/>
    <w:rsid w:val="00D8159F"/>
    <w:rsid w:val="00DD1D04"/>
    <w:rsid w:val="00DD79D7"/>
    <w:rsid w:val="00DF765E"/>
    <w:rsid w:val="00E10596"/>
    <w:rsid w:val="00E20431"/>
    <w:rsid w:val="00E257C8"/>
    <w:rsid w:val="00E34324"/>
    <w:rsid w:val="00E40896"/>
    <w:rsid w:val="00E43D2D"/>
    <w:rsid w:val="00E449CB"/>
    <w:rsid w:val="00E52A8F"/>
    <w:rsid w:val="00E63760"/>
    <w:rsid w:val="00E64049"/>
    <w:rsid w:val="00E9773B"/>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link w:val="Titre3Car"/>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 w:type="paragraph" w:customStyle="1" w:styleId="Normal1">
    <w:name w:val="Normal1"/>
    <w:rsid w:val="00C231E2"/>
    <w:pPr>
      <w:spacing w:line="276" w:lineRule="auto"/>
    </w:pPr>
    <w:rPr>
      <w:rFonts w:ascii="Arial" w:eastAsia="Arial" w:hAnsi="Arial" w:cs="Arial"/>
      <w:sz w:val="22"/>
      <w:szCs w:val="22"/>
      <w:lang w:val="en" w:eastAsia="fr-FR"/>
    </w:rPr>
  </w:style>
  <w:style w:type="character" w:customStyle="1" w:styleId="Titre3Car">
    <w:name w:val="Titre 3 Car"/>
    <w:basedOn w:val="Policepardfaut"/>
    <w:link w:val="Titre3"/>
    <w:semiHidden/>
    <w:rsid w:val="009A0826"/>
    <w:rPr>
      <w:rFonts w:ascii="Times" w:eastAsia="Times" w:hAnsi="Times"/>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13</Pages>
  <Words>1846</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mathilde cannat</cp:lastModifiedBy>
  <cp:revision>27</cp:revision>
  <cp:lastPrinted>2014-09-30T16:49:00Z</cp:lastPrinted>
  <dcterms:created xsi:type="dcterms:W3CDTF">2023-06-19T09:26:00Z</dcterms:created>
  <dcterms:modified xsi:type="dcterms:W3CDTF">2024-02-13T12:43:00Z</dcterms:modified>
</cp:coreProperties>
</file>