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81C2E" w14:textId="77777777" w:rsidR="006B5E40" w:rsidRDefault="006B5E40" w:rsidP="006B5E40">
      <w:pPr>
        <w:spacing w:after="200" w:line="276" w:lineRule="auto"/>
        <w:jc w:val="left"/>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CHAPTER 4 - S</w:t>
      </w:r>
      <w:r w:rsidRPr="000D3C3A">
        <w:rPr>
          <w:rFonts w:ascii="Times New Roman" w:hAnsi="Times New Roman"/>
          <w:b/>
          <w:color w:val="000000" w:themeColor="text1"/>
          <w:sz w:val="28"/>
          <w:szCs w:val="28"/>
          <w:lang w:val="en-US"/>
        </w:rPr>
        <w:t>pecific events during the year 2020</w:t>
      </w:r>
    </w:p>
    <w:p w14:paraId="1888E990" w14:textId="43F3C234" w:rsidR="006B5E40" w:rsidRPr="006B5E40" w:rsidRDefault="006B5E40" w:rsidP="00FC4976">
      <w:pPr>
        <w:pStyle w:val="Heading3"/>
        <w:rPr>
          <w:rFonts w:ascii="Times New Roman" w:hAnsi="Times New Roman" w:cs="Times New Roman"/>
          <w:b/>
          <w:bCs/>
          <w:color w:val="000000" w:themeColor="text1"/>
          <w:sz w:val="28"/>
          <w:szCs w:val="28"/>
          <w:lang w:val="en-US"/>
        </w:rPr>
      </w:pPr>
      <w:r w:rsidRPr="006B5E40">
        <w:rPr>
          <w:rFonts w:ascii="Times New Roman" w:hAnsi="Times New Roman" w:cs="Times New Roman"/>
          <w:b/>
          <w:bCs/>
          <w:color w:val="000000" w:themeColor="text1"/>
          <w:sz w:val="28"/>
          <w:szCs w:val="28"/>
          <w:lang w:val="en-US"/>
        </w:rPr>
        <w:t>Supplementary material</w:t>
      </w:r>
    </w:p>
    <w:p w14:paraId="519F8E92" w14:textId="5413C34C" w:rsidR="00FC4976" w:rsidRDefault="00FC4976" w:rsidP="00FC4976">
      <w:pPr>
        <w:rPr>
          <w:lang w:val="en-US"/>
        </w:rPr>
      </w:pPr>
    </w:p>
    <w:p w14:paraId="15382383" w14:textId="2B01A7BF" w:rsidR="006B5E40" w:rsidRDefault="006B5E40" w:rsidP="006B5E40">
      <w:pPr>
        <w:spacing w:after="200" w:line="276" w:lineRule="auto"/>
        <w:jc w:val="left"/>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4</w:t>
      </w:r>
      <w:r w:rsidRPr="009807F1">
        <w:rPr>
          <w:rFonts w:ascii="Times New Roman" w:hAnsi="Times New Roman"/>
          <w:b/>
          <w:color w:val="000000" w:themeColor="text1"/>
          <w:sz w:val="28"/>
          <w:szCs w:val="28"/>
          <w:lang w:val="en-US"/>
        </w:rPr>
        <w:t>.1 Western Mediterranean record-breaking storm Gloria: an integrated assessment based on models and observations</w:t>
      </w:r>
    </w:p>
    <w:p w14:paraId="4C10E330" w14:textId="77777777" w:rsidR="001978DE" w:rsidRPr="009807F1" w:rsidRDefault="001978DE" w:rsidP="001978DE">
      <w:pPr>
        <w:spacing w:before="200" w:after="0" w:line="276" w:lineRule="auto"/>
        <w:jc w:val="left"/>
        <w:rPr>
          <w:rFonts w:ascii="Times New Roman" w:hAnsi="Times New Roman"/>
          <w:b/>
        </w:rPr>
      </w:pPr>
      <w:r>
        <w:rPr>
          <w:rFonts w:ascii="Times New Roman" w:hAnsi="Times New Roman"/>
          <w:b/>
        </w:rPr>
        <w:t xml:space="preserve">Authors: </w:t>
      </w:r>
      <w:r w:rsidRPr="006374DD">
        <w:rPr>
          <w:rFonts w:ascii="Times New Roman" w:eastAsiaTheme="minorHAnsi" w:hAnsi="Times New Roman"/>
          <w:lang w:val="es-ES"/>
        </w:rPr>
        <w:t>Alvarez-Fanjul, E., Pérez Gómez, B., de Alfonso Alonso-Muñoyerro, M., Lorente Jiménez, P., García Sotillo, M., Lin-Ye, J., Aznar Lecocq, R., Ruíz Gil de la Serna, M., Pérez Rubio, S., Clementi, E., Coppini, G</w:t>
      </w:r>
      <w:r>
        <w:rPr>
          <w:rFonts w:ascii="Times New Roman" w:eastAsiaTheme="minorHAnsi" w:hAnsi="Times New Roman"/>
          <w:lang w:val="es-ES"/>
        </w:rPr>
        <w:t>.</w:t>
      </w:r>
      <w:r w:rsidRPr="006374DD">
        <w:rPr>
          <w:rFonts w:ascii="Times New Roman" w:eastAsiaTheme="minorHAnsi" w:hAnsi="Times New Roman"/>
          <w:lang w:val="es-ES"/>
        </w:rPr>
        <w:t>,</w:t>
      </w:r>
      <w:r w:rsidRPr="006374DD">
        <w:rPr>
          <w:rFonts w:ascii="Times New Roman" w:hAnsi="Times New Roman"/>
          <w:lang w:val="es-ES"/>
        </w:rPr>
        <w:t xml:space="preserve"> </w:t>
      </w:r>
      <w:r w:rsidRPr="006374DD">
        <w:rPr>
          <w:rFonts w:ascii="Times New Roman" w:eastAsiaTheme="minorHAnsi" w:hAnsi="Times New Roman"/>
          <w:lang w:val="es-ES"/>
        </w:rPr>
        <w:t>García-León, M., Fernandes, M., García Valdecasas, J., García Valdecasas, J.M., Santos Muñoz, D., Luna Rico, M.Y., Mestres, M., Molina, R., Tintore, J.</w:t>
      </w:r>
      <w:r w:rsidRPr="009807F1">
        <w:rPr>
          <w:rFonts w:ascii="Times New Roman" w:eastAsiaTheme="minorHAnsi" w:hAnsi="Times New Roman"/>
          <w:lang w:val="es-ES"/>
        </w:rPr>
        <w:t>,</w:t>
      </w:r>
      <w:r>
        <w:rPr>
          <w:rFonts w:ascii="Times New Roman" w:eastAsiaTheme="minorHAnsi" w:hAnsi="Times New Roman"/>
          <w:vertAlign w:val="superscript"/>
          <w:lang w:val="es-ES"/>
        </w:rPr>
        <w:t xml:space="preserve"> </w:t>
      </w:r>
      <w:r w:rsidRPr="006374DD">
        <w:rPr>
          <w:rFonts w:ascii="Times New Roman" w:eastAsiaTheme="minorHAnsi" w:hAnsi="Times New Roman"/>
          <w:lang w:val="es-ES"/>
        </w:rPr>
        <w:t>Mourre, B., Masina, S., Mosso, C., Reyes, E., Santana, A.</w:t>
      </w:r>
    </w:p>
    <w:p w14:paraId="798D226D" w14:textId="77777777" w:rsidR="001978DE" w:rsidRPr="001978DE" w:rsidRDefault="001978DE" w:rsidP="006B5E40">
      <w:pPr>
        <w:spacing w:after="200" w:line="276" w:lineRule="auto"/>
        <w:jc w:val="left"/>
        <w:rPr>
          <w:rFonts w:ascii="Times New Roman" w:hAnsi="Times New Roman"/>
          <w:b/>
          <w:color w:val="000000" w:themeColor="text1"/>
          <w:sz w:val="28"/>
          <w:szCs w:val="28"/>
        </w:rPr>
      </w:pPr>
    </w:p>
    <w:p w14:paraId="7F5F5556" w14:textId="19705F90" w:rsidR="006B5E40" w:rsidRPr="006B5E40" w:rsidRDefault="006B5E40" w:rsidP="006B5E40">
      <w:pPr>
        <w:pStyle w:val="Heading3"/>
        <w:rPr>
          <w:rFonts w:ascii="Times New Roman" w:hAnsi="Times New Roman" w:cs="Times New Roman"/>
          <w:b/>
          <w:bCs/>
          <w:color w:val="000000" w:themeColor="text1"/>
          <w:lang w:val="en-US"/>
        </w:rPr>
      </w:pPr>
      <w:r w:rsidRPr="006B5E40">
        <w:rPr>
          <w:rFonts w:ascii="Times New Roman" w:hAnsi="Times New Roman" w:cs="Times New Roman"/>
          <w:b/>
          <w:bCs/>
          <w:color w:val="000000" w:themeColor="text1"/>
          <w:lang w:val="en-US"/>
        </w:rPr>
        <w:t>Assessment of model forecasting services performance</w:t>
      </w:r>
    </w:p>
    <w:p w14:paraId="712D49E8" w14:textId="6D2D5694" w:rsidR="00FC4976" w:rsidRPr="006B5E40" w:rsidRDefault="00FC4976" w:rsidP="00FC4976">
      <w:pPr>
        <w:pStyle w:val="Heading3"/>
        <w:spacing w:before="200" w:line="276" w:lineRule="auto"/>
        <w:jc w:val="left"/>
        <w:rPr>
          <w:rFonts w:ascii="Times New Roman" w:eastAsia="Calibri" w:hAnsi="Times New Roman" w:cs="Times New Roman"/>
          <w:b/>
          <w:bCs/>
          <w:color w:val="000000" w:themeColor="text1"/>
        </w:rPr>
      </w:pPr>
      <w:r w:rsidRPr="006B5E40">
        <w:rPr>
          <w:rFonts w:ascii="Times New Roman" w:eastAsia="Calibri" w:hAnsi="Times New Roman" w:cs="Times New Roman"/>
          <w:b/>
          <w:bCs/>
          <w:color w:val="000000" w:themeColor="text1"/>
        </w:rPr>
        <w:t>Wave forecast validation</w:t>
      </w:r>
    </w:p>
    <w:p w14:paraId="7179456F" w14:textId="77777777" w:rsidR="00FC4976" w:rsidRPr="00BE123C" w:rsidRDefault="00FC4976" w:rsidP="00FC4976"/>
    <w:p w14:paraId="5469B2C7" w14:textId="77777777" w:rsidR="00FC4976" w:rsidRPr="000F7629" w:rsidRDefault="00FC4976" w:rsidP="00FC4976">
      <w:pPr>
        <w:rPr>
          <w:rFonts w:ascii="Times New Roman" w:eastAsiaTheme="minorHAnsi" w:hAnsi="Times New Roman"/>
          <w:szCs w:val="24"/>
          <w:lang w:val="en-US"/>
        </w:rPr>
      </w:pPr>
      <w:r w:rsidRPr="00620E52">
        <w:rPr>
          <w:rFonts w:ascii="Times New Roman" w:eastAsiaTheme="minorHAnsi" w:hAnsi="Times New Roman"/>
          <w:szCs w:val="24"/>
          <w:lang w:val="en-US"/>
        </w:rPr>
        <w:t xml:space="preserve">In </w:t>
      </w:r>
      <w:r>
        <w:rPr>
          <w:rFonts w:ascii="Times New Roman" w:eastAsiaTheme="minorHAnsi" w:hAnsi="Times New Roman"/>
          <w:szCs w:val="24"/>
          <w:lang w:val="en-US"/>
        </w:rPr>
        <w:t>figure</w:t>
      </w:r>
      <w:r w:rsidRPr="00620E52">
        <w:rPr>
          <w:rFonts w:ascii="Times New Roman" w:eastAsiaTheme="minorHAnsi" w:hAnsi="Times New Roman"/>
          <w:szCs w:val="24"/>
          <w:lang w:val="en-US"/>
        </w:rPr>
        <w:t xml:space="preserve"> </w:t>
      </w:r>
      <w:r>
        <w:rPr>
          <w:rFonts w:ascii="Times New Roman" w:eastAsiaTheme="minorHAnsi" w:hAnsi="Times New Roman"/>
          <w:szCs w:val="24"/>
          <w:lang w:val="en-US"/>
        </w:rPr>
        <w:t>C.4.1.1</w:t>
      </w:r>
      <w:r w:rsidRPr="00620E52">
        <w:rPr>
          <w:rFonts w:ascii="Times New Roman" w:eastAsiaTheme="minorHAnsi" w:hAnsi="Times New Roman"/>
          <w:szCs w:val="24"/>
          <w:lang w:val="en-US"/>
        </w:rPr>
        <w:t>., the</w:t>
      </w:r>
      <w:r w:rsidRPr="000F7629">
        <w:rPr>
          <w:rFonts w:ascii="Times New Roman" w:eastAsiaTheme="minorHAnsi" w:hAnsi="Times New Roman"/>
          <w:szCs w:val="24"/>
          <w:lang w:val="en-US"/>
        </w:rPr>
        <w:t xml:space="preserve"> evolution of the storm is represented through comparative time series of the significant wave height (Hm0) and the mean direction, from the buoys and the Portus forecasting model. The reanalysis of the Hm0, during Gloria differed in less than 1m from the corresponding buoy measurements. The only exception was Tarragona. The model also presented a smoother evolution of Hm0 than the observations. The predictions in calm periods were smaller than 0.4m. The wave direction was more erratic during the calm period preceding and continuing Storm Gloria, but it turned predominantly Eastern in Valencia, Tarragona and Begur, the three peninsular sites. It was mainly North-Eastern, in Dragonera. The prediction of the wave direction was practically coincident with the measurements. </w:t>
      </w:r>
    </w:p>
    <w:p w14:paraId="75FC5514" w14:textId="77777777" w:rsidR="00FC4976" w:rsidRDefault="00FC4976" w:rsidP="00FC4976">
      <w:pPr>
        <w:rPr>
          <w:szCs w:val="24"/>
        </w:rPr>
      </w:pPr>
    </w:p>
    <w:p w14:paraId="6C58E9D5" w14:textId="77777777" w:rsidR="00FC4976" w:rsidRDefault="00FC4976" w:rsidP="00FC4976">
      <w:pPr>
        <w:rPr>
          <w:szCs w:val="24"/>
        </w:rPr>
      </w:pPr>
      <w:bookmarkStart w:id="0" w:name="_Hlk87515168"/>
      <w:r>
        <w:rPr>
          <w:noProof/>
          <w:szCs w:val="24"/>
        </w:rPr>
        <w:drawing>
          <wp:inline distT="0" distB="0" distL="0" distR="0" wp14:anchorId="24D2EF8E" wp14:editId="4B3CE297">
            <wp:extent cx="5295900" cy="3085348"/>
            <wp:effectExtent l="0" t="0" r="0" b="1270"/>
            <wp:docPr id="32" name="Imagen 3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4001" cy="3090068"/>
                    </a:xfrm>
                    <a:prstGeom prst="rect">
                      <a:avLst/>
                    </a:prstGeom>
                  </pic:spPr>
                </pic:pic>
              </a:graphicData>
            </a:graphic>
          </wp:inline>
        </w:drawing>
      </w:r>
    </w:p>
    <w:p w14:paraId="2A0F7D1A" w14:textId="77777777" w:rsidR="00FC4976" w:rsidRPr="009D11FD" w:rsidRDefault="00FC4976" w:rsidP="00FC4976">
      <w:pPr>
        <w:jc w:val="center"/>
        <w:rPr>
          <w:i/>
          <w:iCs/>
          <w:color w:val="000000"/>
          <w:sz w:val="22"/>
          <w:szCs w:val="20"/>
          <w:lang w:val="en-US"/>
        </w:rPr>
      </w:pPr>
      <w:r w:rsidRPr="00620E52">
        <w:rPr>
          <w:i/>
          <w:iCs/>
          <w:color w:val="000000"/>
          <w:sz w:val="22"/>
          <w:szCs w:val="20"/>
        </w:rPr>
        <w:lastRenderedPageBreak/>
        <w:t xml:space="preserve">Figure </w:t>
      </w:r>
      <w:r>
        <w:rPr>
          <w:i/>
          <w:iCs/>
          <w:color w:val="000000"/>
          <w:sz w:val="22"/>
          <w:szCs w:val="20"/>
        </w:rPr>
        <w:t>C.4.1.1.</w:t>
      </w:r>
      <w:r w:rsidRPr="00620E52">
        <w:rPr>
          <w:i/>
          <w:iCs/>
          <w:color w:val="000000"/>
          <w:sz w:val="22"/>
          <w:szCs w:val="20"/>
        </w:rPr>
        <w:t xml:space="preserve"> Evolution</w:t>
      </w:r>
      <w:r w:rsidRPr="00BE123C">
        <w:rPr>
          <w:i/>
          <w:iCs/>
          <w:color w:val="000000"/>
          <w:sz w:val="22"/>
          <w:szCs w:val="20"/>
        </w:rPr>
        <w:t xml:space="preserve"> of the spectral significant wave height (Hm0) during storm Gloria, as measured by the buoy in Dragonera (a), Valencia (b), Tarragona (c) and Begur (d). The re-analyses are also presented. The dates are shown in “day-month-year hour” (UTC). The solid dots are the reanalyses, the lighter dots are the buoy measurements, the darker arrows are the wave directions from the reanalysis, the lighter arrows are the observed wave directions (the positive y-axis is 0º and the direction increases clockwise). </w:t>
      </w:r>
      <w:r w:rsidRPr="008645AF">
        <w:rPr>
          <w:i/>
          <w:iCs/>
          <w:color w:val="000000"/>
          <w:sz w:val="22"/>
          <w:szCs w:val="20"/>
          <w:lang w:val="en-US"/>
        </w:rPr>
        <w:t xml:space="preserve">CMEMS </w:t>
      </w:r>
      <w:r>
        <w:rPr>
          <w:i/>
          <w:iCs/>
          <w:color w:val="000000"/>
          <w:sz w:val="22"/>
          <w:szCs w:val="20"/>
          <w:lang w:val="en-US"/>
        </w:rPr>
        <w:t>d</w:t>
      </w:r>
      <w:r w:rsidRPr="00BF24B0">
        <w:rPr>
          <w:i/>
          <w:iCs/>
          <w:color w:val="000000"/>
          <w:sz w:val="22"/>
          <w:szCs w:val="20"/>
          <w:lang w:val="en-US"/>
        </w:rPr>
        <w:t>a</w:t>
      </w:r>
      <w:r>
        <w:rPr>
          <w:i/>
          <w:iCs/>
          <w:color w:val="000000"/>
          <w:sz w:val="22"/>
          <w:szCs w:val="20"/>
          <w:lang w:val="en-US"/>
        </w:rPr>
        <w:t xml:space="preserve">ta </w:t>
      </w:r>
      <w:r w:rsidRPr="00742855">
        <w:rPr>
          <w:i/>
          <w:iCs/>
          <w:color w:val="000000"/>
          <w:sz w:val="22"/>
          <w:szCs w:val="20"/>
          <w:lang w:val="en-US"/>
        </w:rPr>
        <w:t>product ref-</w:t>
      </w:r>
      <w:r>
        <w:rPr>
          <w:i/>
          <w:iCs/>
          <w:color w:val="000000"/>
          <w:sz w:val="22"/>
          <w:szCs w:val="20"/>
          <w:lang w:val="en-US"/>
        </w:rPr>
        <w:t xml:space="preserve">4.1.5 for observations and </w:t>
      </w:r>
      <w:r>
        <w:rPr>
          <w:i/>
          <w:iCs/>
          <w:color w:val="000000"/>
          <w:sz w:val="22"/>
          <w:szCs w:val="20"/>
        </w:rPr>
        <w:t xml:space="preserve">data from </w:t>
      </w:r>
      <w:r w:rsidRPr="00742855">
        <w:rPr>
          <w:i/>
          <w:iCs/>
          <w:color w:val="000000"/>
          <w:sz w:val="22"/>
          <w:szCs w:val="20"/>
          <w:lang w:val="en-US"/>
        </w:rPr>
        <w:t>ref-</w:t>
      </w:r>
      <w:r>
        <w:rPr>
          <w:i/>
          <w:iCs/>
          <w:color w:val="000000"/>
          <w:sz w:val="22"/>
          <w:szCs w:val="20"/>
          <w:lang w:val="en-US"/>
        </w:rPr>
        <w:t>4.1.7 for</w:t>
      </w:r>
      <w:r>
        <w:rPr>
          <w:i/>
          <w:iCs/>
          <w:color w:val="000000"/>
          <w:sz w:val="22"/>
          <w:szCs w:val="20"/>
        </w:rPr>
        <w:t xml:space="preserve"> modeled time series</w:t>
      </w:r>
    </w:p>
    <w:bookmarkEnd w:id="0"/>
    <w:p w14:paraId="2F3F1780" w14:textId="26A70DF0" w:rsidR="00FC4976" w:rsidRPr="006B5E40" w:rsidRDefault="00FC4976" w:rsidP="00FC4976">
      <w:pPr>
        <w:pStyle w:val="Heading3"/>
        <w:spacing w:before="200" w:line="276" w:lineRule="auto"/>
        <w:jc w:val="left"/>
        <w:rPr>
          <w:rFonts w:ascii="Times New Roman" w:eastAsia="Calibri" w:hAnsi="Times New Roman" w:cs="Times New Roman"/>
          <w:b/>
          <w:bCs/>
          <w:color w:val="000000" w:themeColor="text1"/>
        </w:rPr>
      </w:pPr>
      <w:r w:rsidRPr="006B5E40">
        <w:rPr>
          <w:rFonts w:ascii="Times New Roman" w:eastAsia="Calibri" w:hAnsi="Times New Roman" w:cs="Times New Roman"/>
          <w:b/>
          <w:bCs/>
          <w:color w:val="000000" w:themeColor="text1"/>
        </w:rPr>
        <w:t>Sea level forecast validation</w:t>
      </w:r>
    </w:p>
    <w:p w14:paraId="2275672A" w14:textId="77777777" w:rsidR="00FC4976" w:rsidRPr="00E06E2F" w:rsidRDefault="00FC4976" w:rsidP="00FC4976">
      <w:pPr>
        <w:rPr>
          <w:rFonts w:ascii="Times New Roman" w:eastAsiaTheme="minorHAnsi" w:hAnsi="Times New Roman"/>
          <w:szCs w:val="24"/>
          <w:lang w:val="en-US"/>
        </w:rPr>
      </w:pPr>
    </w:p>
    <w:p w14:paraId="0D036BAF" w14:textId="77777777" w:rsidR="00FC4976" w:rsidRDefault="00FC4976" w:rsidP="00FC4976">
      <w:pPr>
        <w:rPr>
          <w:rFonts w:ascii="Times New Roman" w:eastAsiaTheme="minorHAnsi" w:hAnsi="Times New Roman"/>
          <w:szCs w:val="24"/>
          <w:lang w:val="en-US"/>
        </w:rPr>
      </w:pPr>
      <w:r>
        <w:rPr>
          <w:rFonts w:ascii="Times New Roman" w:eastAsiaTheme="minorHAnsi" w:hAnsi="Times New Roman"/>
          <w:szCs w:val="24"/>
          <w:lang w:val="en-US"/>
        </w:rPr>
        <w:t>E</w:t>
      </w:r>
      <w:r w:rsidRPr="00E06E2F">
        <w:rPr>
          <w:rFonts w:ascii="Times New Roman" w:eastAsiaTheme="minorHAnsi" w:hAnsi="Times New Roman"/>
          <w:szCs w:val="24"/>
          <w:lang w:val="en-US"/>
        </w:rPr>
        <w:t xml:space="preserve">ach </w:t>
      </w:r>
      <w:r>
        <w:rPr>
          <w:rFonts w:ascii="Times New Roman" w:eastAsiaTheme="minorHAnsi" w:hAnsi="Times New Roman"/>
          <w:szCs w:val="24"/>
          <w:lang w:val="en-US"/>
        </w:rPr>
        <w:t xml:space="preserve">ENSURF </w:t>
      </w:r>
      <w:r w:rsidRPr="00E06E2F">
        <w:rPr>
          <w:rFonts w:ascii="Times New Roman" w:eastAsiaTheme="minorHAnsi" w:hAnsi="Times New Roman"/>
          <w:szCs w:val="24"/>
          <w:lang w:val="en-US"/>
        </w:rPr>
        <w:t>ensemble member provides a storm-surge signal, mainly differing in the spatial domain of each model and their intrinsic physics</w:t>
      </w:r>
      <w:r>
        <w:rPr>
          <w:rFonts w:ascii="Times New Roman" w:eastAsiaTheme="minorHAnsi" w:hAnsi="Times New Roman"/>
          <w:szCs w:val="24"/>
          <w:lang w:val="en-US"/>
        </w:rPr>
        <w:t xml:space="preserve">. </w:t>
      </w:r>
      <w:r w:rsidRPr="00E06E2F">
        <w:rPr>
          <w:rFonts w:ascii="Times New Roman" w:eastAsiaTheme="minorHAnsi" w:hAnsi="Times New Roman"/>
          <w:szCs w:val="24"/>
          <w:lang w:val="en-US"/>
        </w:rPr>
        <w:t>None of these models addresses high frequency processes. Also, even though the spati</w:t>
      </w:r>
      <w:r>
        <w:rPr>
          <w:rFonts w:ascii="Times New Roman" w:eastAsiaTheme="minorHAnsi" w:hAnsi="Times New Roman"/>
          <w:szCs w:val="24"/>
          <w:lang w:val="en-US"/>
        </w:rPr>
        <w:t xml:space="preserve">al and </w:t>
      </w:r>
      <w:r w:rsidRPr="00E06E2F">
        <w:rPr>
          <w:rFonts w:ascii="Times New Roman" w:eastAsiaTheme="minorHAnsi" w:hAnsi="Times New Roman"/>
          <w:szCs w:val="24"/>
          <w:lang w:val="en-US"/>
        </w:rPr>
        <w:t xml:space="preserve">temporal resolutions of the atmospheric forcing differ, all of them use the same model (ECMWF-IFS). This last issue eases the intercomparison among different sea-level forecasts because the atmospheric surface fields (winds and </w:t>
      </w:r>
      <w:r>
        <w:rPr>
          <w:rFonts w:ascii="Times New Roman" w:eastAsiaTheme="minorHAnsi" w:hAnsi="Times New Roman"/>
          <w:szCs w:val="24"/>
          <w:lang w:val="en-US"/>
        </w:rPr>
        <w:t>mean seal level pressure</w:t>
      </w:r>
      <w:r w:rsidRPr="00E06E2F">
        <w:rPr>
          <w:rFonts w:ascii="Times New Roman" w:eastAsiaTheme="minorHAnsi" w:hAnsi="Times New Roman"/>
          <w:szCs w:val="24"/>
          <w:lang w:val="en-US"/>
        </w:rPr>
        <w:t>) share similarities.</w:t>
      </w:r>
    </w:p>
    <w:p w14:paraId="5746DF9B" w14:textId="77777777" w:rsidR="00FC4976" w:rsidRPr="00E06E2F" w:rsidRDefault="00FC4976" w:rsidP="00FC4976">
      <w:pPr>
        <w:rPr>
          <w:rFonts w:ascii="Times New Roman" w:eastAsiaTheme="minorHAnsi" w:hAnsi="Times New Roman"/>
          <w:szCs w:val="24"/>
          <w:lang w:val="en-US"/>
        </w:rPr>
      </w:pPr>
    </w:p>
    <w:p w14:paraId="54FD1EA4" w14:textId="77777777" w:rsidR="00FC4976" w:rsidRDefault="00FC4976" w:rsidP="00FC4976">
      <w:pPr>
        <w:rPr>
          <w:rFonts w:ascii="Times New Roman" w:eastAsiaTheme="minorHAnsi" w:hAnsi="Times New Roman"/>
          <w:szCs w:val="24"/>
          <w:lang w:val="en-US"/>
        </w:rPr>
      </w:pPr>
      <w:r w:rsidRPr="00620E52">
        <w:rPr>
          <w:rFonts w:ascii="Times New Roman" w:eastAsiaTheme="minorHAnsi" w:hAnsi="Times New Roman"/>
          <w:szCs w:val="24"/>
          <w:lang w:val="en-US"/>
        </w:rPr>
        <w:t xml:space="preserve">Figure </w:t>
      </w:r>
      <w:r>
        <w:rPr>
          <w:rFonts w:ascii="Times New Roman" w:eastAsiaTheme="minorHAnsi" w:hAnsi="Times New Roman"/>
          <w:szCs w:val="24"/>
          <w:lang w:val="en-US"/>
        </w:rPr>
        <w:t>C.4.1.2</w:t>
      </w:r>
      <w:r w:rsidRPr="00620E52">
        <w:rPr>
          <w:rFonts w:ascii="Times New Roman" w:eastAsiaTheme="minorHAnsi" w:hAnsi="Times New Roman"/>
          <w:szCs w:val="24"/>
          <w:lang w:val="en-US"/>
        </w:rPr>
        <w:t>. show how</w:t>
      </w:r>
      <w:r w:rsidRPr="00E06E2F">
        <w:rPr>
          <w:rFonts w:ascii="Times New Roman" w:eastAsiaTheme="minorHAnsi" w:hAnsi="Times New Roman"/>
          <w:szCs w:val="24"/>
          <w:lang w:val="en-US"/>
        </w:rPr>
        <w:t xml:space="preserve"> all models correctly reproduce the basic features of the storm in terms of sea level residuals. For the sake of clarity, only the surge component is presented, although ENSURF forecasts total sea level. The best statistical behavior corresponds, depending on the station, to ENSURF or </w:t>
      </w:r>
      <w:r>
        <w:rPr>
          <w:rFonts w:ascii="Times New Roman" w:eastAsiaTheme="minorHAnsi" w:hAnsi="Times New Roman"/>
          <w:szCs w:val="24"/>
          <w:lang w:val="en-US"/>
        </w:rPr>
        <w:t>MedMFC</w:t>
      </w:r>
      <w:r w:rsidRPr="00E06E2F">
        <w:rPr>
          <w:rFonts w:ascii="Times New Roman" w:eastAsiaTheme="minorHAnsi" w:hAnsi="Times New Roman"/>
          <w:szCs w:val="24"/>
          <w:lang w:val="en-US"/>
        </w:rPr>
        <w:t xml:space="preserve">, being generally Nivmar the less accurate system for this </w:t>
      </w:r>
      <w:r>
        <w:rPr>
          <w:rFonts w:ascii="Times New Roman" w:eastAsiaTheme="minorHAnsi" w:hAnsi="Times New Roman"/>
          <w:szCs w:val="24"/>
          <w:lang w:val="en-US"/>
        </w:rPr>
        <w:t xml:space="preserve">particular </w:t>
      </w:r>
      <w:r w:rsidRPr="00E06E2F">
        <w:rPr>
          <w:rFonts w:ascii="Times New Roman" w:eastAsiaTheme="minorHAnsi" w:hAnsi="Times New Roman"/>
          <w:szCs w:val="24"/>
          <w:lang w:val="en-US"/>
        </w:rPr>
        <w:t>storm. </w:t>
      </w:r>
    </w:p>
    <w:p w14:paraId="0D8D518C" w14:textId="77777777" w:rsidR="00FC4976" w:rsidRPr="00E06E2F" w:rsidRDefault="00FC4976" w:rsidP="00FC4976">
      <w:pPr>
        <w:rPr>
          <w:rFonts w:ascii="Times New Roman" w:eastAsiaTheme="minorHAnsi" w:hAnsi="Times New Roman"/>
          <w:szCs w:val="24"/>
          <w:lang w:val="en-US"/>
        </w:rPr>
      </w:pPr>
    </w:p>
    <w:p w14:paraId="017E24C8" w14:textId="77777777" w:rsidR="00FC4976" w:rsidRDefault="00FC4976" w:rsidP="00FC4976">
      <w:pPr>
        <w:rPr>
          <w:rFonts w:ascii="Times New Roman" w:eastAsiaTheme="minorHAnsi" w:hAnsi="Times New Roman"/>
          <w:szCs w:val="24"/>
          <w:lang w:val="en-US"/>
        </w:rPr>
      </w:pPr>
      <w:r w:rsidRPr="00E06E2F">
        <w:rPr>
          <w:rFonts w:ascii="Times New Roman" w:eastAsiaTheme="minorHAnsi" w:hAnsi="Times New Roman"/>
          <w:szCs w:val="24"/>
          <w:lang w:val="en-US"/>
        </w:rPr>
        <w:t>It is important to note that analysis of other storms can show different behavior of the forecasting systems. For other historical events, Nivmar has been shown as the most accurate system</w:t>
      </w:r>
      <w:r>
        <w:rPr>
          <w:rFonts w:ascii="Times New Roman" w:eastAsiaTheme="minorHAnsi" w:hAnsi="Times New Roman"/>
          <w:szCs w:val="24"/>
          <w:lang w:val="en-US"/>
        </w:rPr>
        <w:t xml:space="preserve"> (Pérez et al., 2021)</w:t>
      </w:r>
      <w:r w:rsidRPr="00E06E2F">
        <w:rPr>
          <w:rFonts w:ascii="Times New Roman" w:eastAsiaTheme="minorHAnsi" w:hAnsi="Times New Roman"/>
          <w:szCs w:val="24"/>
          <w:lang w:val="en-US"/>
        </w:rPr>
        <w:t xml:space="preserve">. This is reflected in the behavior of the BMA system, which does not rely on a single model and is the result of the previous statistical training, demonstrating that all considered models are of interest for studying the surges in the region. </w:t>
      </w:r>
    </w:p>
    <w:p w14:paraId="5F55B39E" w14:textId="77777777" w:rsidR="00FC4976" w:rsidRPr="00E06E2F" w:rsidRDefault="00FC4976" w:rsidP="00FC4976">
      <w:pPr>
        <w:rPr>
          <w:rFonts w:ascii="Times New Roman" w:eastAsiaTheme="minorHAnsi" w:hAnsi="Times New Roman"/>
          <w:szCs w:val="24"/>
          <w:lang w:val="en-US"/>
        </w:rPr>
      </w:pPr>
    </w:p>
    <w:p w14:paraId="75D89F9E" w14:textId="77777777" w:rsidR="00FC4976" w:rsidRDefault="00FC4976" w:rsidP="00FC4976">
      <w:pPr>
        <w:rPr>
          <w:rFonts w:ascii="Times New Roman" w:eastAsiaTheme="minorHAnsi" w:hAnsi="Times New Roman"/>
          <w:szCs w:val="24"/>
          <w:lang w:val="en-US"/>
        </w:rPr>
      </w:pPr>
      <w:r w:rsidRPr="00E06E2F">
        <w:rPr>
          <w:rFonts w:ascii="Times New Roman" w:eastAsiaTheme="minorHAnsi" w:hAnsi="Times New Roman"/>
          <w:szCs w:val="24"/>
          <w:lang w:val="en-US"/>
        </w:rPr>
        <w:t xml:space="preserve">ENSURF produced accurate results during the Gloria event, although underestimating the main peak in the most affected areas (specially Sagunto, Gandía and Almería). In regions where the peak was not so extreme, like Melilla or Málaga, ENSURF outperforms the rest of the models. For example, at Barcelona the BMA shows better statistical values than both </w:t>
      </w:r>
      <w:r>
        <w:rPr>
          <w:rFonts w:ascii="Times New Roman" w:eastAsiaTheme="minorHAnsi" w:hAnsi="Times New Roman"/>
          <w:szCs w:val="24"/>
          <w:lang w:val="en-US"/>
        </w:rPr>
        <w:t>IBIMFC</w:t>
      </w:r>
      <w:r w:rsidRPr="00E06E2F">
        <w:rPr>
          <w:rFonts w:ascii="Times New Roman" w:eastAsiaTheme="minorHAnsi" w:hAnsi="Times New Roman"/>
          <w:szCs w:val="24"/>
          <w:lang w:val="en-US"/>
        </w:rPr>
        <w:t xml:space="preserve"> and </w:t>
      </w:r>
      <w:r>
        <w:rPr>
          <w:rFonts w:ascii="Times New Roman" w:eastAsiaTheme="minorHAnsi" w:hAnsi="Times New Roman"/>
          <w:szCs w:val="24"/>
          <w:lang w:val="en-US"/>
        </w:rPr>
        <w:t>MedMFC. The Correlation of Efficiency - COE</w:t>
      </w:r>
      <w:r w:rsidRPr="00E06E2F">
        <w:rPr>
          <w:rFonts w:ascii="Times New Roman" w:eastAsiaTheme="minorHAnsi" w:hAnsi="Times New Roman"/>
          <w:szCs w:val="24"/>
          <w:lang w:val="en-US"/>
        </w:rPr>
        <w:t xml:space="preserve"> </w:t>
      </w:r>
      <w:r>
        <w:rPr>
          <w:rFonts w:ascii="Times New Roman" w:eastAsiaTheme="minorHAnsi" w:hAnsi="Times New Roman"/>
          <w:szCs w:val="24"/>
          <w:lang w:val="en-US"/>
        </w:rPr>
        <w:t>(</w:t>
      </w:r>
      <w:r w:rsidRPr="00177E27">
        <w:rPr>
          <w:rFonts w:ascii="Times New Roman" w:eastAsiaTheme="minorHAnsi" w:hAnsi="Times New Roman"/>
          <w:szCs w:val="24"/>
          <w:lang w:val="en-US"/>
        </w:rPr>
        <w:t>Legates and McCabe, 1999</w:t>
      </w:r>
      <w:r>
        <w:rPr>
          <w:rFonts w:ascii="Times New Roman" w:eastAsiaTheme="minorHAnsi" w:hAnsi="Times New Roman"/>
          <w:szCs w:val="24"/>
          <w:lang w:val="en-US"/>
        </w:rPr>
        <w:t>) is</w:t>
      </w:r>
      <w:r w:rsidRPr="00E06E2F">
        <w:rPr>
          <w:rFonts w:ascii="Times New Roman" w:eastAsiaTheme="minorHAnsi" w:hAnsi="Times New Roman"/>
          <w:szCs w:val="24"/>
          <w:lang w:val="en-US"/>
        </w:rPr>
        <w:t xml:space="preserve"> 0.696 </w:t>
      </w:r>
      <w:r>
        <w:rPr>
          <w:rFonts w:ascii="Times New Roman" w:eastAsiaTheme="minorHAnsi" w:hAnsi="Times New Roman"/>
          <w:szCs w:val="24"/>
          <w:lang w:val="en-US"/>
        </w:rPr>
        <w:t xml:space="preserve">for the former, </w:t>
      </w:r>
      <w:r w:rsidRPr="00E06E2F">
        <w:rPr>
          <w:rFonts w:ascii="Times New Roman" w:eastAsiaTheme="minorHAnsi" w:hAnsi="Times New Roman"/>
          <w:szCs w:val="24"/>
          <w:lang w:val="en-US"/>
        </w:rPr>
        <w:t>vs. 0.622 and 0.567 respectively. It is also important to remark that the surge lies, for all stations, inside the confidence band predicted by ENSURF. The reliability of the uncertainty estimation demonstrates the importance and benefit of the multi-model ensemble method.</w:t>
      </w:r>
    </w:p>
    <w:p w14:paraId="1270794C" w14:textId="77777777" w:rsidR="00FC4976" w:rsidRPr="00E06E2F" w:rsidRDefault="00FC4976" w:rsidP="00FC4976">
      <w:pPr>
        <w:rPr>
          <w:rFonts w:ascii="Times New Roman" w:eastAsiaTheme="minorHAnsi" w:hAnsi="Times New Roman"/>
          <w:szCs w:val="24"/>
          <w:lang w:val="en-US"/>
        </w:rPr>
      </w:pPr>
    </w:p>
    <w:p w14:paraId="7FEA06B0" w14:textId="77777777" w:rsidR="00FC4976" w:rsidRDefault="00FC4976" w:rsidP="00FC4976">
      <w:pPr>
        <w:rPr>
          <w:rFonts w:ascii="Times New Roman" w:eastAsiaTheme="minorHAnsi" w:hAnsi="Times New Roman"/>
          <w:szCs w:val="24"/>
          <w:lang w:val="en-US"/>
        </w:rPr>
      </w:pPr>
      <w:r w:rsidRPr="00E06E2F">
        <w:rPr>
          <w:rFonts w:ascii="Times New Roman" w:eastAsiaTheme="minorHAnsi" w:hAnsi="Times New Roman"/>
          <w:szCs w:val="24"/>
          <w:lang w:val="en-US"/>
        </w:rPr>
        <w:t xml:space="preserve">For all the stations, the </w:t>
      </w:r>
      <w:r>
        <w:rPr>
          <w:rFonts w:ascii="Times New Roman" w:eastAsiaTheme="minorHAnsi" w:hAnsi="Times New Roman"/>
          <w:szCs w:val="24"/>
          <w:lang w:val="en-US"/>
        </w:rPr>
        <w:t>MedMFC</w:t>
      </w:r>
      <w:r w:rsidRPr="00E06E2F">
        <w:rPr>
          <w:rFonts w:ascii="Times New Roman" w:eastAsiaTheme="minorHAnsi" w:hAnsi="Times New Roman"/>
          <w:szCs w:val="24"/>
          <w:lang w:val="en-US"/>
        </w:rPr>
        <w:t xml:space="preserve"> is producing the largest surge of all the models. At points with a very large surge, like Almería, Gandía and Sagunto, this produces the more accurate reproduction of the peak of the storm. At Gandía, where the highest surge was recorded, around 54 cm, the underestimation is 14 cm. Nevertheless, in other points with lower values on the peak, like Ibiza, the </w:t>
      </w:r>
      <w:r>
        <w:rPr>
          <w:rFonts w:ascii="Times New Roman" w:eastAsiaTheme="minorHAnsi" w:hAnsi="Times New Roman"/>
          <w:szCs w:val="24"/>
          <w:lang w:val="en-US"/>
        </w:rPr>
        <w:t>MedMFC</w:t>
      </w:r>
      <w:r w:rsidRPr="00E06E2F">
        <w:rPr>
          <w:rFonts w:ascii="Times New Roman" w:eastAsiaTheme="minorHAnsi" w:hAnsi="Times New Roman"/>
          <w:szCs w:val="24"/>
          <w:lang w:val="en-US"/>
        </w:rPr>
        <w:t xml:space="preserve"> forecast severely overshoots the measurements.</w:t>
      </w:r>
    </w:p>
    <w:p w14:paraId="500F82FA" w14:textId="77777777" w:rsidR="00FC4976" w:rsidRPr="00E06E2F" w:rsidRDefault="00FC4976" w:rsidP="00FC4976">
      <w:pPr>
        <w:rPr>
          <w:rFonts w:ascii="Times New Roman" w:eastAsiaTheme="minorHAnsi" w:hAnsi="Times New Roman"/>
          <w:szCs w:val="24"/>
          <w:lang w:val="en-US"/>
        </w:rPr>
      </w:pPr>
    </w:p>
    <w:p w14:paraId="7E20802A" w14:textId="77777777" w:rsidR="00FC4976" w:rsidRDefault="00FC4976" w:rsidP="00FC4976">
      <w:pPr>
        <w:rPr>
          <w:rFonts w:ascii="Times New Roman" w:eastAsiaTheme="minorHAnsi" w:hAnsi="Times New Roman"/>
          <w:szCs w:val="24"/>
          <w:lang w:val="en-US"/>
        </w:rPr>
      </w:pPr>
      <w:r>
        <w:rPr>
          <w:rFonts w:ascii="Times New Roman" w:eastAsiaTheme="minorHAnsi" w:hAnsi="Times New Roman"/>
          <w:szCs w:val="24"/>
          <w:lang w:val="en-US"/>
        </w:rPr>
        <w:lastRenderedPageBreak/>
        <w:t>IBIMFC</w:t>
      </w:r>
      <w:r w:rsidRPr="00E06E2F">
        <w:rPr>
          <w:rFonts w:ascii="Times New Roman" w:eastAsiaTheme="minorHAnsi" w:hAnsi="Times New Roman"/>
          <w:szCs w:val="24"/>
          <w:lang w:val="en-US"/>
        </w:rPr>
        <w:t xml:space="preserve"> is, for all stations, producing worse statistical results for Gloria than </w:t>
      </w:r>
      <w:r>
        <w:rPr>
          <w:rFonts w:ascii="Times New Roman" w:eastAsiaTheme="minorHAnsi" w:hAnsi="Times New Roman"/>
          <w:szCs w:val="24"/>
          <w:lang w:val="en-US"/>
        </w:rPr>
        <w:t>MedMFC</w:t>
      </w:r>
      <w:r w:rsidRPr="00E06E2F">
        <w:rPr>
          <w:rFonts w:ascii="Times New Roman" w:eastAsiaTheme="minorHAnsi" w:hAnsi="Times New Roman"/>
          <w:szCs w:val="24"/>
          <w:lang w:val="en-US"/>
        </w:rPr>
        <w:t xml:space="preserve"> and ENSURF. At the peak of the storm, the </w:t>
      </w:r>
      <w:r>
        <w:rPr>
          <w:rFonts w:ascii="Times New Roman" w:eastAsiaTheme="minorHAnsi" w:hAnsi="Times New Roman"/>
          <w:szCs w:val="24"/>
          <w:lang w:val="en-US"/>
        </w:rPr>
        <w:t>IBIMFC</w:t>
      </w:r>
      <w:r w:rsidRPr="00E06E2F">
        <w:rPr>
          <w:rFonts w:ascii="Times New Roman" w:eastAsiaTheme="minorHAnsi" w:hAnsi="Times New Roman"/>
          <w:szCs w:val="24"/>
          <w:lang w:val="en-US"/>
        </w:rPr>
        <w:t xml:space="preserve"> is producing a much smaller surge than </w:t>
      </w:r>
      <w:r>
        <w:rPr>
          <w:rFonts w:ascii="Times New Roman" w:eastAsiaTheme="minorHAnsi" w:hAnsi="Times New Roman"/>
          <w:szCs w:val="24"/>
          <w:lang w:val="en-US"/>
        </w:rPr>
        <w:t>MedMFC</w:t>
      </w:r>
      <w:r w:rsidRPr="00E06E2F">
        <w:rPr>
          <w:rFonts w:ascii="Times New Roman" w:eastAsiaTheme="minorHAnsi" w:hAnsi="Times New Roman"/>
          <w:szCs w:val="24"/>
          <w:lang w:val="en-US"/>
        </w:rPr>
        <w:t>. Similarly, Nivmar severely underestimated the main peak of the storm, and the analysis of the Taylor diagram shows that in general, it had a relatively poor performance during this particular event.</w:t>
      </w:r>
      <w:r>
        <w:rPr>
          <w:rFonts w:ascii="Times New Roman" w:eastAsiaTheme="minorHAnsi" w:hAnsi="Times New Roman"/>
          <w:szCs w:val="24"/>
          <w:lang w:val="en-US"/>
        </w:rPr>
        <w:t xml:space="preserve"> A detailed analysis of the origin of the differences between the models goes beyond the scope of this section and can be found at (Perez-Gómez et al., 2021).</w:t>
      </w:r>
    </w:p>
    <w:p w14:paraId="3FE1D92C" w14:textId="77777777" w:rsidR="00FC4976" w:rsidRDefault="00FC4976" w:rsidP="00FC4976">
      <w:pPr>
        <w:rPr>
          <w:rFonts w:ascii="Times New Roman" w:eastAsiaTheme="minorHAnsi" w:hAnsi="Times New Roman"/>
          <w:szCs w:val="24"/>
          <w:lang w:val="en-US"/>
        </w:rPr>
      </w:pPr>
    </w:p>
    <w:p w14:paraId="56554805" w14:textId="1FE43C73" w:rsidR="00FC4976" w:rsidRPr="006B5E40" w:rsidRDefault="00FC4976" w:rsidP="00FC4976">
      <w:pPr>
        <w:pStyle w:val="Heading3"/>
        <w:spacing w:before="200" w:line="276" w:lineRule="auto"/>
        <w:jc w:val="left"/>
        <w:rPr>
          <w:rFonts w:ascii="Times New Roman" w:eastAsia="Calibri" w:hAnsi="Times New Roman" w:cs="Times New Roman"/>
          <w:b/>
          <w:bCs/>
          <w:color w:val="000000" w:themeColor="text1"/>
        </w:rPr>
      </w:pPr>
      <w:r w:rsidRPr="006B5E40">
        <w:rPr>
          <w:rFonts w:ascii="Times New Roman" w:eastAsia="Calibri" w:hAnsi="Times New Roman" w:cs="Times New Roman"/>
          <w:b/>
          <w:bCs/>
          <w:color w:val="000000" w:themeColor="text1"/>
        </w:rPr>
        <w:t>Circulation</w:t>
      </w:r>
    </w:p>
    <w:p w14:paraId="20B8DC42" w14:textId="77777777" w:rsidR="00FC4976" w:rsidRPr="00AB3C47" w:rsidRDefault="00FC4976" w:rsidP="00FC4976">
      <w:pPr>
        <w:rPr>
          <w:rFonts w:ascii="Times New Roman" w:eastAsiaTheme="minorHAnsi" w:hAnsi="Times New Roman"/>
          <w:szCs w:val="24"/>
          <w:lang w:val="en-US"/>
        </w:rPr>
      </w:pPr>
    </w:p>
    <w:p w14:paraId="6EE68DCA" w14:textId="77777777" w:rsidR="00FC4976" w:rsidRDefault="00FC4976" w:rsidP="00FC4976">
      <w:pPr>
        <w:rPr>
          <w:rFonts w:ascii="Times New Roman" w:eastAsiaTheme="minorHAnsi" w:hAnsi="Times New Roman"/>
          <w:szCs w:val="24"/>
          <w:lang w:val="en-US"/>
        </w:rPr>
      </w:pPr>
      <w:r w:rsidRPr="006B4F33">
        <w:rPr>
          <w:rFonts w:ascii="Times New Roman" w:eastAsiaTheme="minorHAnsi" w:hAnsi="Times New Roman"/>
          <w:szCs w:val="24"/>
          <w:lang w:val="en-US"/>
        </w:rPr>
        <w:t xml:space="preserve">Figure </w:t>
      </w:r>
      <w:r>
        <w:rPr>
          <w:rFonts w:ascii="Times New Roman" w:eastAsiaTheme="minorHAnsi" w:hAnsi="Times New Roman"/>
          <w:szCs w:val="24"/>
          <w:lang w:val="en-US"/>
        </w:rPr>
        <w:t xml:space="preserve">4.1.10. shows the </w:t>
      </w:r>
      <w:r w:rsidRPr="00AB3C47">
        <w:rPr>
          <w:rFonts w:ascii="Times New Roman" w:eastAsiaTheme="minorHAnsi" w:hAnsi="Times New Roman"/>
          <w:szCs w:val="24"/>
          <w:lang w:val="en-US"/>
        </w:rPr>
        <w:t>circulation</w:t>
      </w:r>
      <w:r>
        <w:rPr>
          <w:rFonts w:ascii="Times New Roman" w:eastAsiaTheme="minorHAnsi" w:hAnsi="Times New Roman"/>
          <w:szCs w:val="24"/>
          <w:lang w:val="en-US"/>
        </w:rPr>
        <w:t xml:space="preserve"> fields (daily means) as </w:t>
      </w:r>
      <w:r w:rsidRPr="00AB3C47">
        <w:rPr>
          <w:rFonts w:ascii="Times New Roman" w:eastAsiaTheme="minorHAnsi" w:hAnsi="Times New Roman"/>
          <w:szCs w:val="24"/>
          <w:lang w:val="en-US"/>
        </w:rPr>
        <w:t>modeled</w:t>
      </w:r>
      <w:r>
        <w:rPr>
          <w:rFonts w:ascii="Times New Roman" w:eastAsiaTheme="minorHAnsi" w:hAnsi="Times New Roman"/>
          <w:szCs w:val="24"/>
          <w:lang w:val="en-US"/>
        </w:rPr>
        <w:t xml:space="preserve"> </w:t>
      </w:r>
      <w:r w:rsidRPr="00AB3C47">
        <w:rPr>
          <w:rFonts w:ascii="Times New Roman" w:eastAsiaTheme="minorHAnsi" w:hAnsi="Times New Roman"/>
          <w:szCs w:val="24"/>
          <w:lang w:val="en-US"/>
        </w:rPr>
        <w:t>by</w:t>
      </w:r>
      <w:r>
        <w:rPr>
          <w:rFonts w:ascii="Times New Roman" w:eastAsiaTheme="minorHAnsi" w:hAnsi="Times New Roman"/>
          <w:szCs w:val="24"/>
          <w:lang w:val="en-US"/>
        </w:rPr>
        <w:t xml:space="preserve"> WMOP, IBIMFC and MedMFC on the domain of the HF radar, that can be directly compared with the observations (figure</w:t>
      </w:r>
      <w:r w:rsidRPr="00620E52">
        <w:rPr>
          <w:rFonts w:ascii="Times New Roman" w:eastAsiaTheme="minorHAnsi" w:hAnsi="Times New Roman"/>
          <w:szCs w:val="24"/>
          <w:lang w:val="en-US"/>
        </w:rPr>
        <w:t xml:space="preserve"> </w:t>
      </w:r>
      <w:r>
        <w:rPr>
          <w:rFonts w:ascii="Times New Roman" w:eastAsiaTheme="minorHAnsi" w:hAnsi="Times New Roman"/>
          <w:szCs w:val="24"/>
          <w:lang w:val="en-US"/>
        </w:rPr>
        <w:t>4.1.</w:t>
      </w:r>
      <w:r w:rsidRPr="00620E52">
        <w:rPr>
          <w:rFonts w:ascii="Times New Roman" w:eastAsiaTheme="minorHAnsi" w:hAnsi="Times New Roman"/>
          <w:szCs w:val="24"/>
          <w:lang w:val="en-US"/>
        </w:rPr>
        <w:t>7.).</w:t>
      </w:r>
      <w:r>
        <w:rPr>
          <w:rFonts w:ascii="Times New Roman" w:eastAsiaTheme="minorHAnsi" w:hAnsi="Times New Roman"/>
          <w:szCs w:val="24"/>
          <w:lang w:val="en-US"/>
        </w:rPr>
        <w:t xml:space="preserve"> All the models react to the event with an important intensification of the currents, but the differences between then and with observations are significant.</w:t>
      </w:r>
    </w:p>
    <w:p w14:paraId="1DDA78F8" w14:textId="77777777" w:rsidR="00FC4976" w:rsidRDefault="00FC4976" w:rsidP="00FC4976">
      <w:pPr>
        <w:jc w:val="center"/>
        <w:rPr>
          <w:rFonts w:eastAsiaTheme="minorHAnsi" w:cstheme="minorBidi"/>
        </w:rPr>
      </w:pPr>
      <w:bookmarkStart w:id="1" w:name="_Hlk87515178"/>
      <w:r>
        <w:rPr>
          <w:noProof/>
          <w:color w:val="000000"/>
          <w:bdr w:val="none" w:sz="0" w:space="0" w:color="auto" w:frame="1"/>
          <w:lang w:eastAsia="zh-CN"/>
        </w:rPr>
        <w:lastRenderedPageBreak/>
        <w:drawing>
          <wp:inline distT="0" distB="0" distL="0" distR="0" wp14:anchorId="79CDAA0C" wp14:editId="62017D7A">
            <wp:extent cx="4248150" cy="6886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6886575"/>
                    </a:xfrm>
                    <a:prstGeom prst="rect">
                      <a:avLst/>
                    </a:prstGeom>
                    <a:noFill/>
                    <a:ln>
                      <a:noFill/>
                    </a:ln>
                  </pic:spPr>
                </pic:pic>
              </a:graphicData>
            </a:graphic>
          </wp:inline>
        </w:drawing>
      </w:r>
    </w:p>
    <w:p w14:paraId="615F7BDD" w14:textId="77777777" w:rsidR="00FC4976" w:rsidRPr="002E5C7F" w:rsidRDefault="00FC4976" w:rsidP="00FC4976">
      <w:pPr>
        <w:jc w:val="center"/>
        <w:rPr>
          <w:i/>
          <w:iCs/>
        </w:rPr>
      </w:pPr>
      <w:r w:rsidRPr="00011764">
        <w:rPr>
          <w:i/>
          <w:iCs/>
          <w:color w:val="000000"/>
          <w:sz w:val="22"/>
          <w:szCs w:val="20"/>
        </w:rPr>
        <w:t xml:space="preserve">Figure </w:t>
      </w:r>
      <w:r>
        <w:rPr>
          <w:i/>
          <w:iCs/>
          <w:color w:val="000000"/>
          <w:sz w:val="22"/>
          <w:szCs w:val="20"/>
        </w:rPr>
        <w:t>C.4.1.2</w:t>
      </w:r>
      <w:r w:rsidRPr="00011764">
        <w:rPr>
          <w:i/>
          <w:iCs/>
          <w:color w:val="000000"/>
          <w:sz w:val="22"/>
          <w:szCs w:val="20"/>
        </w:rPr>
        <w:t xml:space="preserve">. Results of the ENSURF system at several TGs during the storm Gloria: Nivmar (red), </w:t>
      </w:r>
      <w:r>
        <w:rPr>
          <w:i/>
          <w:iCs/>
          <w:color w:val="000000"/>
          <w:sz w:val="22"/>
          <w:szCs w:val="20"/>
        </w:rPr>
        <w:t>IBIMFC</w:t>
      </w:r>
      <w:r w:rsidRPr="00011764">
        <w:rPr>
          <w:i/>
          <w:iCs/>
          <w:color w:val="000000"/>
          <w:sz w:val="22"/>
          <w:szCs w:val="20"/>
        </w:rPr>
        <w:t xml:space="preserve"> (magenta), </w:t>
      </w:r>
      <w:r>
        <w:rPr>
          <w:i/>
          <w:iCs/>
          <w:color w:val="000000"/>
          <w:sz w:val="22"/>
          <w:szCs w:val="20"/>
        </w:rPr>
        <w:t>MedMFC</w:t>
      </w:r>
      <w:r w:rsidRPr="00011764">
        <w:rPr>
          <w:i/>
          <w:iCs/>
          <w:color w:val="000000"/>
          <w:sz w:val="22"/>
          <w:szCs w:val="20"/>
        </w:rPr>
        <w:t xml:space="preserve"> (green), BMA-PdE (black) and observations (blue). Left: surge time series at Barcelona (A), Tarragona (C), Sagunto (E) and Gandía (G). B is the mean bias for each model, in meters (same chromatic index). MX is the maximum error, in meters. The grey areas enclose the 5-95th percentiles of the ENSURF system. Right panels: Taylor diagrams at Barcelona (B), Tarragona (D), Sagunto (F) and Gandía (H). Legend: Nivmar (red square), </w:t>
      </w:r>
      <w:r>
        <w:rPr>
          <w:i/>
          <w:iCs/>
          <w:color w:val="000000"/>
          <w:sz w:val="22"/>
          <w:szCs w:val="20"/>
        </w:rPr>
        <w:t>IBIMFC</w:t>
      </w:r>
      <w:r w:rsidRPr="00011764">
        <w:rPr>
          <w:i/>
          <w:iCs/>
          <w:color w:val="000000"/>
          <w:sz w:val="22"/>
          <w:szCs w:val="20"/>
        </w:rPr>
        <w:t xml:space="preserve"> (magenta rhombe), </w:t>
      </w:r>
      <w:r>
        <w:rPr>
          <w:i/>
          <w:iCs/>
          <w:color w:val="000000"/>
          <w:sz w:val="22"/>
          <w:szCs w:val="20"/>
        </w:rPr>
        <w:t>MedMFC</w:t>
      </w:r>
      <w:r w:rsidRPr="00011764">
        <w:rPr>
          <w:i/>
          <w:iCs/>
          <w:color w:val="000000"/>
          <w:sz w:val="22"/>
          <w:szCs w:val="20"/>
        </w:rPr>
        <w:t xml:space="preserve"> (green triangle), BMA (black dot). </w:t>
      </w:r>
      <w:r>
        <w:rPr>
          <w:i/>
          <w:iCs/>
          <w:color w:val="000000"/>
          <w:sz w:val="22"/>
          <w:szCs w:val="20"/>
        </w:rPr>
        <w:t xml:space="preserve">COE </w:t>
      </w:r>
      <w:r w:rsidRPr="00011764">
        <w:rPr>
          <w:i/>
          <w:iCs/>
          <w:color w:val="000000"/>
          <w:sz w:val="22"/>
          <w:szCs w:val="20"/>
        </w:rPr>
        <w:t>is the Coefficient of Efficiency for each model (adimensional).</w:t>
      </w:r>
      <w:r w:rsidRPr="002E5C7F">
        <w:rPr>
          <w:i/>
          <w:iCs/>
          <w:color w:val="000000"/>
          <w:sz w:val="22"/>
          <w:szCs w:val="20"/>
          <w:lang w:val="en-US"/>
        </w:rPr>
        <w:t xml:space="preserve"> </w:t>
      </w:r>
      <w:r w:rsidRPr="008645AF">
        <w:rPr>
          <w:i/>
          <w:iCs/>
          <w:color w:val="000000"/>
          <w:sz w:val="22"/>
          <w:szCs w:val="20"/>
          <w:lang w:val="en-US"/>
        </w:rPr>
        <w:t xml:space="preserve">CMEMS </w:t>
      </w:r>
      <w:r>
        <w:rPr>
          <w:i/>
          <w:iCs/>
          <w:color w:val="000000"/>
          <w:sz w:val="22"/>
          <w:szCs w:val="20"/>
          <w:lang w:val="en-US"/>
        </w:rPr>
        <w:t>d</w:t>
      </w:r>
      <w:r w:rsidRPr="00BF24B0">
        <w:rPr>
          <w:i/>
          <w:iCs/>
          <w:color w:val="000000"/>
          <w:sz w:val="22"/>
          <w:szCs w:val="20"/>
          <w:lang w:val="en-US"/>
        </w:rPr>
        <w:t>a</w:t>
      </w:r>
      <w:r>
        <w:rPr>
          <w:i/>
          <w:iCs/>
          <w:color w:val="000000"/>
          <w:sz w:val="22"/>
          <w:szCs w:val="20"/>
          <w:lang w:val="en-US"/>
        </w:rPr>
        <w:t xml:space="preserve">ta </w:t>
      </w:r>
      <w:r w:rsidRPr="00742855">
        <w:rPr>
          <w:i/>
          <w:iCs/>
          <w:color w:val="000000"/>
          <w:sz w:val="22"/>
          <w:szCs w:val="20"/>
          <w:lang w:val="en-US"/>
        </w:rPr>
        <w:t>product</w:t>
      </w:r>
      <w:r w:rsidRPr="00305DE2">
        <w:rPr>
          <w:i/>
          <w:iCs/>
          <w:color w:val="000000"/>
          <w:sz w:val="22"/>
          <w:szCs w:val="20"/>
          <w:lang w:val="en-US"/>
        </w:rPr>
        <w:t xml:space="preserve"> </w:t>
      </w:r>
      <w:r w:rsidRPr="00742855">
        <w:rPr>
          <w:i/>
          <w:iCs/>
          <w:color w:val="000000"/>
          <w:sz w:val="22"/>
          <w:szCs w:val="20"/>
          <w:lang w:val="en-US"/>
        </w:rPr>
        <w:t>ref-</w:t>
      </w:r>
      <w:r>
        <w:rPr>
          <w:i/>
          <w:iCs/>
          <w:color w:val="000000"/>
          <w:sz w:val="22"/>
          <w:szCs w:val="20"/>
          <w:lang w:val="en-US"/>
        </w:rPr>
        <w:t xml:space="preserve">4.1.5 (observations), </w:t>
      </w:r>
      <w:r w:rsidRPr="00742855">
        <w:rPr>
          <w:i/>
          <w:iCs/>
          <w:color w:val="000000"/>
          <w:sz w:val="22"/>
          <w:szCs w:val="20"/>
          <w:lang w:val="en-US"/>
        </w:rPr>
        <w:t>ref</w:t>
      </w:r>
      <w:r>
        <w:rPr>
          <w:i/>
          <w:iCs/>
          <w:color w:val="000000"/>
          <w:sz w:val="22"/>
          <w:szCs w:val="20"/>
          <w:lang w:val="en-US"/>
        </w:rPr>
        <w:t xml:space="preserve">-4.1.1. (MED model), ref-4.1.4. (IBI model) and </w:t>
      </w:r>
      <w:r>
        <w:rPr>
          <w:i/>
          <w:iCs/>
          <w:color w:val="000000"/>
          <w:sz w:val="22"/>
          <w:szCs w:val="20"/>
        </w:rPr>
        <w:t>ref-4.1.7. for ENSURF time series</w:t>
      </w:r>
    </w:p>
    <w:bookmarkEnd w:id="1"/>
    <w:p w14:paraId="271FA8D9" w14:textId="77777777" w:rsidR="00FC4976" w:rsidRPr="00AF1A92" w:rsidRDefault="00FC4976" w:rsidP="00FC4976">
      <w:pPr>
        <w:rPr>
          <w:rFonts w:ascii="Times New Roman" w:eastAsiaTheme="minorHAnsi" w:hAnsi="Times New Roman"/>
          <w:szCs w:val="24"/>
        </w:rPr>
      </w:pPr>
    </w:p>
    <w:p w14:paraId="049D6554" w14:textId="77777777" w:rsidR="00FC4976" w:rsidRPr="00E06E2F" w:rsidRDefault="00FC4976" w:rsidP="00FC4976">
      <w:pPr>
        <w:rPr>
          <w:rFonts w:ascii="Times New Roman" w:eastAsiaTheme="minorHAnsi" w:hAnsi="Times New Roman"/>
          <w:szCs w:val="24"/>
          <w:lang w:val="en-US"/>
        </w:rPr>
      </w:pPr>
    </w:p>
    <w:p w14:paraId="2544E87C" w14:textId="77777777" w:rsidR="00FC4976" w:rsidRDefault="00FC4976" w:rsidP="00FC4976">
      <w:pPr>
        <w:pStyle w:val="ListParagraph"/>
        <w:ind w:left="540"/>
        <w:rPr>
          <w:noProof/>
        </w:rPr>
      </w:pPr>
      <w:bookmarkStart w:id="2" w:name="_Hlk87515187"/>
      <w:r>
        <w:rPr>
          <w:noProof/>
        </w:rPr>
        <w:drawing>
          <wp:inline distT="0" distB="0" distL="0" distR="0" wp14:anchorId="6E37998B" wp14:editId="660A5CBC">
            <wp:extent cx="5400040" cy="203581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035810"/>
                    </a:xfrm>
                    <a:prstGeom prst="rect">
                      <a:avLst/>
                    </a:prstGeom>
                  </pic:spPr>
                </pic:pic>
              </a:graphicData>
            </a:graphic>
          </wp:inline>
        </w:drawing>
      </w:r>
    </w:p>
    <w:p w14:paraId="5F97B3E3" w14:textId="77777777" w:rsidR="00FC4976" w:rsidRPr="00BE123C" w:rsidRDefault="00FC4976" w:rsidP="00FC4976">
      <w:pPr>
        <w:pStyle w:val="ListParagraph"/>
        <w:ind w:left="540"/>
      </w:pPr>
      <w:r>
        <w:rPr>
          <w:noProof/>
        </w:rPr>
        <w:drawing>
          <wp:inline distT="0" distB="0" distL="0" distR="0" wp14:anchorId="36948039" wp14:editId="7A07E212">
            <wp:extent cx="5400040" cy="20497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049780"/>
                    </a:xfrm>
                    <a:prstGeom prst="rect">
                      <a:avLst/>
                    </a:prstGeom>
                  </pic:spPr>
                </pic:pic>
              </a:graphicData>
            </a:graphic>
          </wp:inline>
        </w:drawing>
      </w:r>
    </w:p>
    <w:p w14:paraId="59DCF94F" w14:textId="77777777" w:rsidR="00FC4976" w:rsidRPr="00DD5909" w:rsidRDefault="00FC4976" w:rsidP="00FC4976">
      <w:pPr>
        <w:pStyle w:val="ListParagraph"/>
        <w:ind w:left="540"/>
        <w:rPr>
          <w:rFonts w:ascii="Times New Roman" w:eastAsiaTheme="minorHAnsi" w:hAnsi="Times New Roman"/>
          <w:szCs w:val="24"/>
          <w:lang w:val="en-US"/>
        </w:rPr>
      </w:pPr>
      <w:r>
        <w:rPr>
          <w:noProof/>
        </w:rPr>
        <w:drawing>
          <wp:inline distT="0" distB="0" distL="0" distR="0" wp14:anchorId="1B78C4CD" wp14:editId="0322B47C">
            <wp:extent cx="5400040" cy="252857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528570"/>
                    </a:xfrm>
                    <a:prstGeom prst="rect">
                      <a:avLst/>
                    </a:prstGeom>
                  </pic:spPr>
                </pic:pic>
              </a:graphicData>
            </a:graphic>
          </wp:inline>
        </w:drawing>
      </w:r>
    </w:p>
    <w:p w14:paraId="0D55307B" w14:textId="77777777" w:rsidR="00FC4976" w:rsidRPr="00011764" w:rsidRDefault="00FC4976" w:rsidP="00FC4976">
      <w:pPr>
        <w:jc w:val="center"/>
        <w:rPr>
          <w:i/>
          <w:iCs/>
          <w:color w:val="000000"/>
          <w:sz w:val="22"/>
          <w:szCs w:val="20"/>
        </w:rPr>
      </w:pPr>
      <w:r w:rsidRPr="006B4F33">
        <w:rPr>
          <w:i/>
          <w:iCs/>
          <w:color w:val="000000"/>
          <w:sz w:val="22"/>
          <w:szCs w:val="20"/>
        </w:rPr>
        <w:t xml:space="preserve">Figure </w:t>
      </w:r>
      <w:r>
        <w:rPr>
          <w:i/>
          <w:iCs/>
          <w:color w:val="000000"/>
          <w:sz w:val="22"/>
          <w:szCs w:val="20"/>
        </w:rPr>
        <w:t xml:space="preserve">C.4.1.3. </w:t>
      </w:r>
      <w:r w:rsidRPr="00011764">
        <w:rPr>
          <w:i/>
          <w:iCs/>
          <w:color w:val="000000"/>
          <w:sz w:val="22"/>
          <w:szCs w:val="20"/>
        </w:rPr>
        <w:t xml:space="preserve">Model </w:t>
      </w:r>
      <w:r>
        <w:rPr>
          <w:i/>
          <w:iCs/>
          <w:color w:val="000000"/>
          <w:sz w:val="22"/>
          <w:szCs w:val="20"/>
        </w:rPr>
        <w:t xml:space="preserve">output (daily means) over the domain of the </w:t>
      </w:r>
      <w:r w:rsidRPr="00011764">
        <w:rPr>
          <w:i/>
          <w:iCs/>
          <w:color w:val="000000"/>
          <w:sz w:val="22"/>
          <w:szCs w:val="20"/>
        </w:rPr>
        <w:t>HF radars observations</w:t>
      </w:r>
      <w:r>
        <w:rPr>
          <w:i/>
          <w:iCs/>
          <w:color w:val="000000"/>
          <w:sz w:val="22"/>
          <w:szCs w:val="20"/>
        </w:rPr>
        <w:t>. C</w:t>
      </w:r>
      <w:r w:rsidRPr="00011764">
        <w:rPr>
          <w:i/>
          <w:iCs/>
          <w:color w:val="000000"/>
          <w:sz w:val="22"/>
          <w:szCs w:val="20"/>
        </w:rPr>
        <w:t>urrents simulated by M</w:t>
      </w:r>
      <w:r>
        <w:rPr>
          <w:i/>
          <w:iCs/>
          <w:color w:val="000000"/>
          <w:sz w:val="22"/>
          <w:szCs w:val="20"/>
        </w:rPr>
        <w:t>edMFC</w:t>
      </w:r>
      <w:r w:rsidRPr="00011764">
        <w:rPr>
          <w:i/>
          <w:iCs/>
          <w:color w:val="000000"/>
          <w:sz w:val="22"/>
          <w:szCs w:val="20"/>
        </w:rPr>
        <w:t xml:space="preserve"> (</w:t>
      </w:r>
      <w:r>
        <w:rPr>
          <w:i/>
          <w:iCs/>
          <w:color w:val="000000"/>
          <w:sz w:val="22"/>
          <w:szCs w:val="20"/>
        </w:rPr>
        <w:t>1st</w:t>
      </w:r>
      <w:r w:rsidRPr="00011764">
        <w:rPr>
          <w:i/>
          <w:iCs/>
          <w:color w:val="000000"/>
          <w:sz w:val="22"/>
          <w:szCs w:val="20"/>
        </w:rPr>
        <w:t xml:space="preserve">drow), </w:t>
      </w:r>
      <w:r>
        <w:rPr>
          <w:i/>
          <w:iCs/>
          <w:color w:val="000000"/>
          <w:sz w:val="22"/>
          <w:szCs w:val="20"/>
        </w:rPr>
        <w:t>WMOP</w:t>
      </w:r>
      <w:r w:rsidRPr="00011764">
        <w:rPr>
          <w:i/>
          <w:iCs/>
          <w:color w:val="000000"/>
          <w:sz w:val="22"/>
          <w:szCs w:val="20"/>
        </w:rPr>
        <w:t xml:space="preserve"> (</w:t>
      </w:r>
      <w:r>
        <w:rPr>
          <w:i/>
          <w:iCs/>
          <w:color w:val="000000"/>
          <w:sz w:val="22"/>
          <w:szCs w:val="20"/>
        </w:rPr>
        <w:t>2nd</w:t>
      </w:r>
      <w:r w:rsidRPr="00011764">
        <w:rPr>
          <w:i/>
          <w:iCs/>
          <w:color w:val="000000"/>
          <w:sz w:val="22"/>
          <w:szCs w:val="20"/>
        </w:rPr>
        <w:t xml:space="preserve"> row)</w:t>
      </w:r>
      <w:r>
        <w:rPr>
          <w:i/>
          <w:iCs/>
          <w:color w:val="000000"/>
          <w:sz w:val="22"/>
          <w:szCs w:val="20"/>
        </w:rPr>
        <w:t xml:space="preserve"> </w:t>
      </w:r>
      <w:r w:rsidRPr="00011764">
        <w:rPr>
          <w:i/>
          <w:iCs/>
          <w:color w:val="000000"/>
          <w:sz w:val="22"/>
          <w:szCs w:val="20"/>
        </w:rPr>
        <w:t xml:space="preserve">and </w:t>
      </w:r>
      <w:r>
        <w:rPr>
          <w:i/>
          <w:iCs/>
          <w:color w:val="000000"/>
          <w:sz w:val="22"/>
          <w:szCs w:val="20"/>
        </w:rPr>
        <w:t xml:space="preserve">IBIMFC </w:t>
      </w:r>
      <w:r w:rsidRPr="00011764">
        <w:rPr>
          <w:i/>
          <w:iCs/>
          <w:color w:val="000000"/>
          <w:sz w:val="22"/>
          <w:szCs w:val="20"/>
        </w:rPr>
        <w:t>(</w:t>
      </w:r>
      <w:r>
        <w:rPr>
          <w:i/>
          <w:iCs/>
          <w:color w:val="000000"/>
          <w:sz w:val="22"/>
          <w:szCs w:val="20"/>
        </w:rPr>
        <w:t>3rd</w:t>
      </w:r>
      <w:r w:rsidRPr="00011764">
        <w:rPr>
          <w:i/>
          <w:iCs/>
          <w:color w:val="000000"/>
          <w:sz w:val="22"/>
          <w:szCs w:val="20"/>
        </w:rPr>
        <w:t xml:space="preserve"> row), on the 19th (1st column), 20th (2nd column), and 21st (3rd column) of January. </w:t>
      </w:r>
      <w:r w:rsidRPr="008645AF">
        <w:rPr>
          <w:i/>
          <w:iCs/>
          <w:color w:val="000000"/>
          <w:sz w:val="22"/>
          <w:szCs w:val="20"/>
          <w:lang w:val="en-US"/>
        </w:rPr>
        <w:t xml:space="preserve">CMEMS </w:t>
      </w:r>
      <w:r>
        <w:rPr>
          <w:i/>
          <w:iCs/>
          <w:color w:val="000000"/>
          <w:sz w:val="22"/>
          <w:szCs w:val="20"/>
          <w:lang w:val="en-US"/>
        </w:rPr>
        <w:t>d</w:t>
      </w:r>
      <w:r w:rsidRPr="00BF24B0">
        <w:rPr>
          <w:i/>
          <w:iCs/>
          <w:color w:val="000000"/>
          <w:sz w:val="22"/>
          <w:szCs w:val="20"/>
          <w:lang w:val="en-US"/>
        </w:rPr>
        <w:t>a</w:t>
      </w:r>
      <w:r>
        <w:rPr>
          <w:i/>
          <w:iCs/>
          <w:color w:val="000000"/>
          <w:sz w:val="22"/>
          <w:szCs w:val="20"/>
          <w:lang w:val="en-US"/>
        </w:rPr>
        <w:t xml:space="preserve">ta </w:t>
      </w:r>
      <w:r w:rsidRPr="00742855">
        <w:rPr>
          <w:i/>
          <w:iCs/>
          <w:color w:val="000000"/>
          <w:sz w:val="22"/>
          <w:szCs w:val="20"/>
          <w:lang w:val="en-US"/>
        </w:rPr>
        <w:t>product</w:t>
      </w:r>
      <w:r w:rsidRPr="00305DE2">
        <w:rPr>
          <w:i/>
          <w:iCs/>
          <w:color w:val="000000"/>
          <w:sz w:val="22"/>
          <w:szCs w:val="20"/>
          <w:lang w:val="en-US"/>
        </w:rPr>
        <w:t xml:space="preserve"> </w:t>
      </w:r>
      <w:r w:rsidRPr="00742855">
        <w:rPr>
          <w:i/>
          <w:iCs/>
          <w:color w:val="000000"/>
          <w:sz w:val="22"/>
          <w:szCs w:val="20"/>
          <w:lang w:val="en-US"/>
        </w:rPr>
        <w:t>ref</w:t>
      </w:r>
      <w:r>
        <w:rPr>
          <w:i/>
          <w:iCs/>
          <w:color w:val="000000"/>
          <w:sz w:val="22"/>
          <w:szCs w:val="20"/>
          <w:lang w:val="en-US"/>
        </w:rPr>
        <w:t>-4.1.1. (</w:t>
      </w:r>
      <w:r w:rsidRPr="00011764">
        <w:rPr>
          <w:i/>
          <w:iCs/>
          <w:color w:val="000000"/>
          <w:sz w:val="22"/>
          <w:szCs w:val="20"/>
        </w:rPr>
        <w:t>M</w:t>
      </w:r>
      <w:r>
        <w:rPr>
          <w:i/>
          <w:iCs/>
          <w:color w:val="000000"/>
          <w:sz w:val="22"/>
          <w:szCs w:val="20"/>
        </w:rPr>
        <w:t>edMFC</w:t>
      </w:r>
      <w:r>
        <w:rPr>
          <w:i/>
          <w:iCs/>
          <w:color w:val="000000"/>
          <w:sz w:val="22"/>
          <w:szCs w:val="20"/>
          <w:lang w:val="en-US"/>
        </w:rPr>
        <w:t>), ref-4.1.4. (IBIMFC</w:t>
      </w:r>
      <w:r w:rsidRPr="00620E52">
        <w:rPr>
          <w:i/>
          <w:iCs/>
          <w:color w:val="000000"/>
          <w:sz w:val="22"/>
          <w:szCs w:val="20"/>
        </w:rPr>
        <w:t>) and ref</w:t>
      </w:r>
      <w:r>
        <w:rPr>
          <w:i/>
          <w:iCs/>
          <w:color w:val="000000"/>
          <w:sz w:val="22"/>
          <w:szCs w:val="20"/>
          <w:lang w:val="en-US"/>
        </w:rPr>
        <w:t>-4.1.6. (WMOP)</w:t>
      </w:r>
    </w:p>
    <w:bookmarkEnd w:id="2"/>
    <w:p w14:paraId="18319DED" w14:textId="77777777" w:rsidR="00FC4976" w:rsidRDefault="00FC4976" w:rsidP="00FC4976">
      <w:pPr>
        <w:rPr>
          <w:rFonts w:ascii="Times New Roman" w:eastAsiaTheme="minorHAnsi" w:hAnsi="Times New Roman"/>
          <w:szCs w:val="24"/>
          <w:lang w:val="en-US"/>
        </w:rPr>
      </w:pPr>
    </w:p>
    <w:p w14:paraId="42844C43" w14:textId="77777777" w:rsidR="00FC4976" w:rsidRDefault="00FC4976" w:rsidP="00FC4976">
      <w:pPr>
        <w:rPr>
          <w:rFonts w:ascii="Times New Roman" w:eastAsiaTheme="minorHAnsi" w:hAnsi="Times New Roman"/>
          <w:szCs w:val="24"/>
          <w:lang w:val="en-US"/>
        </w:rPr>
      </w:pPr>
      <w:r>
        <w:rPr>
          <w:rFonts w:ascii="Times New Roman" w:eastAsiaTheme="minorHAnsi" w:hAnsi="Times New Roman"/>
          <w:szCs w:val="24"/>
          <w:lang w:val="en-US"/>
        </w:rPr>
        <w:t>Th</w:t>
      </w:r>
      <w:r w:rsidRPr="007113A1">
        <w:rPr>
          <w:rFonts w:ascii="Times New Roman" w:eastAsiaTheme="minorHAnsi" w:hAnsi="Times New Roman"/>
          <w:szCs w:val="24"/>
          <w:lang w:val="en-US"/>
        </w:rPr>
        <w:t>is</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qualitative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comparison</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against</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HF</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radar</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maps</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is complemented</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with</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skill</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metrics</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(RMSE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and temporal</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correlation),</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spatially</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averaged</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over</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the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 xml:space="preserve">common </w:t>
      </w:r>
      <w:r>
        <w:rPr>
          <w:rFonts w:ascii="Times New Roman" w:eastAsiaTheme="minorHAnsi" w:hAnsi="Times New Roman"/>
          <w:szCs w:val="24"/>
          <w:lang w:val="en-US"/>
        </w:rPr>
        <w:t xml:space="preserve">domain. </w:t>
      </w:r>
      <w:r w:rsidRPr="007113A1">
        <w:rPr>
          <w:rFonts w:ascii="Times New Roman" w:eastAsiaTheme="minorHAnsi" w:hAnsi="Times New Roman"/>
          <w:szCs w:val="24"/>
          <w:lang w:val="en-US"/>
        </w:rPr>
        <w:t>The statistical</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results</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revealed</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that</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the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models’</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accuracy</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was</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higher</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for</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the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meridional</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current</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component</w:t>
      </w:r>
      <w:r>
        <w:rPr>
          <w:rFonts w:ascii="Times New Roman" w:eastAsiaTheme="minorHAnsi" w:hAnsi="Times New Roman"/>
          <w:szCs w:val="24"/>
          <w:lang w:val="en-US"/>
        </w:rPr>
        <w:t xml:space="preserve">, and significantly better during the storm than in the previous same length period (Sotillo et al., 2021). All the models were more capable of dealing with a situation where extreme wind, and not baroclinic mesoscale structures, was the dominant forcing. </w:t>
      </w:r>
      <w:r>
        <w:rPr>
          <w:rFonts w:ascii="Times New Roman" w:eastAsiaTheme="minorHAnsi" w:hAnsi="Times New Roman"/>
          <w:szCs w:val="24"/>
          <w:lang w:val="en-US"/>
        </w:rPr>
        <w:lastRenderedPageBreak/>
        <w:t xml:space="preserve">Correlation index for the meridional component computed in the period before the event range from 0.15 (IBIMFC) to 0.36 (WMOP), improving to reach the interval from 0,39 (IBIMFC) to 0.61 (WMOP). The best agreement with observations during Gloria corresponds to </w:t>
      </w:r>
      <w:r w:rsidRPr="007113A1">
        <w:rPr>
          <w:rFonts w:ascii="Times New Roman" w:eastAsiaTheme="minorHAnsi" w:hAnsi="Times New Roman"/>
          <w:szCs w:val="24"/>
          <w:lang w:val="en-US"/>
        </w:rPr>
        <w:t>WMOP, outperforming</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its</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parent</w:t>
      </w:r>
      <w:r>
        <w:rPr>
          <w:rFonts w:ascii="Times New Roman" w:eastAsiaTheme="minorHAnsi" w:hAnsi="Times New Roman"/>
          <w:szCs w:val="24"/>
          <w:lang w:val="en-US"/>
        </w:rPr>
        <w:t xml:space="preserve"> MedMFC </w:t>
      </w:r>
      <w:r w:rsidRPr="007113A1">
        <w:rPr>
          <w:rFonts w:ascii="Times New Roman" w:eastAsiaTheme="minorHAnsi" w:hAnsi="Times New Roman"/>
          <w:szCs w:val="24"/>
          <w:lang w:val="en-US"/>
        </w:rPr>
        <w:t>system</w:t>
      </w:r>
      <w:r>
        <w:rPr>
          <w:rFonts w:ascii="Times New Roman" w:eastAsiaTheme="minorHAnsi" w:hAnsi="Times New Roman"/>
          <w:szCs w:val="24"/>
          <w:lang w:val="en-US"/>
        </w:rPr>
        <w:t xml:space="preserve"> (correlation of 0,61 vs 0,40 and RMSE of 8.43 cm s</w:t>
      </w:r>
      <w:r w:rsidRPr="000164BF">
        <w:rPr>
          <w:rFonts w:ascii="Times New Roman" w:eastAsiaTheme="minorHAnsi" w:hAnsi="Times New Roman"/>
          <w:szCs w:val="24"/>
          <w:vertAlign w:val="superscript"/>
          <w:lang w:val="en-US"/>
        </w:rPr>
        <w:t>-1</w:t>
      </w:r>
      <w:r>
        <w:rPr>
          <w:rFonts w:ascii="Times New Roman" w:eastAsiaTheme="minorHAnsi" w:hAnsi="Times New Roman"/>
          <w:szCs w:val="24"/>
          <w:lang w:val="en-US"/>
        </w:rPr>
        <w:t xml:space="preserve"> vs 9.36 cm s</w:t>
      </w:r>
      <w:r w:rsidRPr="000164BF">
        <w:rPr>
          <w:rFonts w:ascii="Times New Roman" w:eastAsiaTheme="minorHAnsi" w:hAnsi="Times New Roman"/>
          <w:szCs w:val="24"/>
          <w:vertAlign w:val="superscript"/>
          <w:lang w:val="en-US"/>
        </w:rPr>
        <w:t>-1</w:t>
      </w:r>
      <w:r>
        <w:rPr>
          <w:rFonts w:ascii="Times New Roman" w:eastAsiaTheme="minorHAnsi" w:hAnsi="Times New Roman"/>
          <w:szCs w:val="24"/>
          <w:lang w:val="en-US"/>
        </w:rPr>
        <w:t xml:space="preserve"> for the meridional component)</w:t>
      </w:r>
      <w:r w:rsidRPr="007113A1">
        <w:rPr>
          <w:rFonts w:ascii="Times New Roman" w:eastAsiaTheme="minorHAnsi" w:hAnsi="Times New Roman"/>
          <w:szCs w:val="24"/>
          <w:lang w:val="en-US"/>
        </w:rPr>
        <w:t>.</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IBI</w:t>
      </w:r>
      <w:r>
        <w:rPr>
          <w:rFonts w:ascii="Times New Roman" w:eastAsiaTheme="minorHAnsi" w:hAnsi="Times New Roman"/>
          <w:szCs w:val="24"/>
          <w:lang w:val="en-US"/>
        </w:rPr>
        <w:t xml:space="preserve">MFC </w:t>
      </w:r>
      <w:r w:rsidRPr="007113A1">
        <w:rPr>
          <w:rFonts w:ascii="Times New Roman" w:eastAsiaTheme="minorHAnsi" w:hAnsi="Times New Roman"/>
          <w:szCs w:val="24"/>
          <w:lang w:val="en-US"/>
        </w:rPr>
        <w:t>clearly</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overpredicted</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the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SW</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slope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jet</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and</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underestimated</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the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current</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speed</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in</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nearshore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areas,</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the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comparison</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against</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the</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HF</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radar</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led</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to</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slightly</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lower</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meridional</w:t>
      </w:r>
      <w:r>
        <w:rPr>
          <w:rFonts w:ascii="Times New Roman" w:eastAsiaTheme="minorHAnsi" w:hAnsi="Times New Roman"/>
          <w:szCs w:val="24"/>
          <w:lang w:val="en-US"/>
        </w:rPr>
        <w:t xml:space="preserve"> </w:t>
      </w:r>
      <w:r w:rsidRPr="007113A1">
        <w:rPr>
          <w:rFonts w:ascii="Times New Roman" w:eastAsiaTheme="minorHAnsi" w:hAnsi="Times New Roman"/>
          <w:szCs w:val="24"/>
          <w:lang w:val="en-US"/>
        </w:rPr>
        <w:t xml:space="preserve">correlation (0.39) and higher RMSE </w:t>
      </w:r>
      <w:r>
        <w:rPr>
          <w:rFonts w:ascii="Times New Roman" w:eastAsiaTheme="minorHAnsi" w:hAnsi="Times New Roman"/>
          <w:szCs w:val="24"/>
          <w:lang w:val="en-US"/>
        </w:rPr>
        <w:t>(13.83 cm s</w:t>
      </w:r>
      <w:r w:rsidRPr="000164BF">
        <w:rPr>
          <w:rFonts w:ascii="Times New Roman" w:eastAsiaTheme="minorHAnsi" w:hAnsi="Times New Roman"/>
          <w:szCs w:val="24"/>
          <w:vertAlign w:val="superscript"/>
          <w:lang w:val="en-US"/>
        </w:rPr>
        <w:t>-1</w:t>
      </w:r>
      <w:r>
        <w:rPr>
          <w:rFonts w:ascii="Times New Roman" w:eastAsiaTheme="minorHAnsi" w:hAnsi="Times New Roman"/>
          <w:szCs w:val="24"/>
          <w:lang w:val="en-US"/>
        </w:rPr>
        <w:t>).</w:t>
      </w:r>
      <w:r w:rsidRPr="007113A1">
        <w:rPr>
          <w:rFonts w:ascii="Times New Roman" w:eastAsiaTheme="minorHAnsi" w:hAnsi="Times New Roman"/>
          <w:szCs w:val="24"/>
          <w:lang w:val="en-US"/>
        </w:rPr>
        <w:t xml:space="preserve"> </w:t>
      </w:r>
    </w:p>
    <w:p w14:paraId="686E84E6" w14:textId="77777777" w:rsidR="00FC4976" w:rsidRDefault="00FC4976" w:rsidP="00FC4976">
      <w:pPr>
        <w:rPr>
          <w:rFonts w:ascii="Times New Roman" w:eastAsiaTheme="minorHAnsi" w:hAnsi="Times New Roman"/>
          <w:szCs w:val="24"/>
          <w:lang w:val="en-US"/>
        </w:rPr>
      </w:pPr>
    </w:p>
    <w:p w14:paraId="72ED4E3C" w14:textId="77777777" w:rsidR="00FC4976" w:rsidRDefault="00FC4976" w:rsidP="00FC4976">
      <w:pPr>
        <w:rPr>
          <w:rFonts w:ascii="Times New Roman" w:eastAsiaTheme="minorHAnsi" w:hAnsi="Times New Roman"/>
          <w:szCs w:val="24"/>
          <w:lang w:val="en-US"/>
        </w:rPr>
      </w:pPr>
      <w:r w:rsidRPr="003A56FB">
        <w:rPr>
          <w:rFonts w:ascii="Times New Roman" w:eastAsiaTheme="minorHAnsi" w:hAnsi="Times New Roman"/>
          <w:szCs w:val="24"/>
          <w:lang w:val="en-US"/>
        </w:rPr>
        <w:t xml:space="preserve">These relatively poor behavior of all the models in quantitative terms is </w:t>
      </w:r>
      <w:r>
        <w:rPr>
          <w:rFonts w:ascii="Times New Roman" w:eastAsiaTheme="minorHAnsi" w:hAnsi="Times New Roman"/>
          <w:szCs w:val="24"/>
          <w:lang w:val="en-US"/>
        </w:rPr>
        <w:t>confirmed</w:t>
      </w:r>
      <w:r w:rsidRPr="003A56FB">
        <w:rPr>
          <w:rFonts w:ascii="Times New Roman" w:eastAsiaTheme="minorHAnsi" w:hAnsi="Times New Roman"/>
          <w:szCs w:val="24"/>
          <w:lang w:val="en-US"/>
        </w:rPr>
        <w:t xml:space="preserve"> by the comparisons of time series at the position of the buoys. Figure </w:t>
      </w:r>
      <w:r>
        <w:rPr>
          <w:rFonts w:ascii="Times New Roman" w:eastAsiaTheme="minorHAnsi" w:hAnsi="Times New Roman"/>
          <w:szCs w:val="24"/>
          <w:lang w:val="en-US"/>
        </w:rPr>
        <w:t>4.1.11.</w:t>
      </w:r>
      <w:r w:rsidRPr="003A56FB">
        <w:rPr>
          <w:rFonts w:ascii="Times New Roman" w:eastAsiaTheme="minorHAnsi" w:hAnsi="Times New Roman"/>
          <w:szCs w:val="24"/>
          <w:lang w:val="en-US"/>
        </w:rPr>
        <w:t xml:space="preserve"> shows the comparison for the position of the B3 buoy. All solutions differ from each other considerably and no one is accurately matching the observed values, even during the maximum storm.</w:t>
      </w:r>
      <w:r>
        <w:rPr>
          <w:rFonts w:ascii="Times New Roman" w:eastAsiaTheme="minorHAnsi" w:hAnsi="Times New Roman"/>
          <w:szCs w:val="24"/>
          <w:lang w:val="en-US"/>
        </w:rPr>
        <w:t xml:space="preserve"> </w:t>
      </w:r>
      <w:r w:rsidRPr="003A56FB">
        <w:rPr>
          <w:rFonts w:ascii="Times New Roman" w:eastAsiaTheme="minorHAnsi" w:hAnsi="Times New Roman"/>
          <w:szCs w:val="24"/>
          <w:lang w:val="en-US"/>
        </w:rPr>
        <w:t xml:space="preserve">All the </w:t>
      </w:r>
      <w:r>
        <w:rPr>
          <w:rFonts w:ascii="Times New Roman" w:eastAsiaTheme="minorHAnsi" w:hAnsi="Times New Roman"/>
          <w:szCs w:val="24"/>
          <w:lang w:val="en-US"/>
        </w:rPr>
        <w:t xml:space="preserve">circulation </w:t>
      </w:r>
      <w:r w:rsidRPr="003A56FB">
        <w:rPr>
          <w:rFonts w:ascii="Times New Roman" w:eastAsiaTheme="minorHAnsi" w:hAnsi="Times New Roman"/>
          <w:szCs w:val="24"/>
          <w:lang w:val="en-US"/>
        </w:rPr>
        <w:t>models show an increase of the current magnitude associated to the arrival of Gloria, but this is masked in IBI</w:t>
      </w:r>
      <w:r>
        <w:rPr>
          <w:rFonts w:ascii="Times New Roman" w:eastAsiaTheme="minorHAnsi" w:hAnsi="Times New Roman"/>
          <w:szCs w:val="24"/>
          <w:lang w:val="en-US"/>
        </w:rPr>
        <w:t>MFC</w:t>
      </w:r>
      <w:r w:rsidRPr="003A56FB">
        <w:rPr>
          <w:rFonts w:ascii="Times New Roman" w:eastAsiaTheme="minorHAnsi" w:hAnsi="Times New Roman"/>
          <w:szCs w:val="24"/>
          <w:lang w:val="en-US"/>
        </w:rPr>
        <w:t xml:space="preserve"> due to the existence of large currents associated to the mentioned overprediction of the SW shelf break current. In all cases, all the </w:t>
      </w:r>
      <w:r>
        <w:rPr>
          <w:rFonts w:ascii="Times New Roman" w:eastAsiaTheme="minorHAnsi" w:hAnsi="Times New Roman"/>
          <w:szCs w:val="24"/>
          <w:lang w:val="en-US"/>
        </w:rPr>
        <w:t xml:space="preserve">circulation </w:t>
      </w:r>
      <w:r w:rsidRPr="003A56FB">
        <w:rPr>
          <w:rFonts w:ascii="Times New Roman" w:eastAsiaTheme="minorHAnsi" w:hAnsi="Times New Roman"/>
          <w:szCs w:val="24"/>
          <w:lang w:val="en-US"/>
        </w:rPr>
        <w:t xml:space="preserve">models failed to properly capture the peak during Gloria and, in general, to reproduce accurately the </w:t>
      </w:r>
      <w:r>
        <w:rPr>
          <w:rFonts w:ascii="Times New Roman" w:eastAsiaTheme="minorHAnsi" w:hAnsi="Times New Roman"/>
          <w:szCs w:val="24"/>
          <w:lang w:val="en-US"/>
        </w:rPr>
        <w:t>currents</w:t>
      </w:r>
      <w:r w:rsidRPr="003A56FB">
        <w:rPr>
          <w:rFonts w:ascii="Times New Roman" w:eastAsiaTheme="minorHAnsi" w:hAnsi="Times New Roman"/>
          <w:szCs w:val="24"/>
          <w:lang w:val="en-US"/>
        </w:rPr>
        <w:t xml:space="preserve"> during the whole month</w:t>
      </w:r>
      <w:r>
        <w:rPr>
          <w:rFonts w:ascii="Times New Roman" w:eastAsiaTheme="minorHAnsi" w:hAnsi="Times New Roman"/>
          <w:szCs w:val="24"/>
          <w:lang w:val="en-US"/>
        </w:rPr>
        <w:t xml:space="preserve"> at the position of the buoy. As mentioned, this is consistent with</w:t>
      </w:r>
      <w:r w:rsidRPr="003A56FB">
        <w:rPr>
          <w:rFonts w:ascii="Times New Roman" w:eastAsiaTheme="minorHAnsi" w:hAnsi="Times New Roman"/>
          <w:szCs w:val="24"/>
          <w:lang w:val="en-US"/>
        </w:rPr>
        <w:t xml:space="preserve"> the poor correlation indexes described in the </w:t>
      </w:r>
      <w:r>
        <w:rPr>
          <w:rFonts w:ascii="Times New Roman" w:eastAsiaTheme="minorHAnsi" w:hAnsi="Times New Roman"/>
          <w:szCs w:val="24"/>
          <w:lang w:val="en-US"/>
        </w:rPr>
        <w:t>validation</w:t>
      </w:r>
      <w:r w:rsidRPr="003A56FB">
        <w:rPr>
          <w:rFonts w:ascii="Times New Roman" w:eastAsiaTheme="minorHAnsi" w:hAnsi="Times New Roman"/>
          <w:szCs w:val="24"/>
          <w:lang w:val="en-US"/>
        </w:rPr>
        <w:t xml:space="preserve"> with the HF radar.</w:t>
      </w:r>
    </w:p>
    <w:p w14:paraId="14DF361B" w14:textId="77777777" w:rsidR="00FC4976" w:rsidRDefault="00FC4976" w:rsidP="00FC4976">
      <w:pPr>
        <w:rPr>
          <w:rFonts w:ascii="Times New Roman" w:eastAsiaTheme="minorHAnsi" w:hAnsi="Times New Roman"/>
          <w:szCs w:val="24"/>
          <w:lang w:val="en-US"/>
        </w:rPr>
      </w:pPr>
    </w:p>
    <w:p w14:paraId="522B6946" w14:textId="77777777" w:rsidR="00FC4976" w:rsidRDefault="00FC4976" w:rsidP="00FC4976">
      <w:pPr>
        <w:jc w:val="center"/>
      </w:pPr>
      <w:bookmarkStart w:id="3" w:name="_Hlk87515197"/>
      <w:r>
        <w:rPr>
          <w:noProof/>
        </w:rPr>
        <w:drawing>
          <wp:inline distT="0" distB="0" distL="0" distR="0" wp14:anchorId="65729B83" wp14:editId="78C4DFB5">
            <wp:extent cx="4690466" cy="22696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7425" cy="2273036"/>
                    </a:xfrm>
                    <a:prstGeom prst="rect">
                      <a:avLst/>
                    </a:prstGeom>
                    <a:noFill/>
                    <a:ln>
                      <a:noFill/>
                    </a:ln>
                  </pic:spPr>
                </pic:pic>
              </a:graphicData>
            </a:graphic>
          </wp:inline>
        </w:drawing>
      </w:r>
    </w:p>
    <w:p w14:paraId="6672767F" w14:textId="77777777" w:rsidR="00FC4976" w:rsidRPr="00AF1A92" w:rsidRDefault="00FC4976" w:rsidP="00FC4976">
      <w:pPr>
        <w:jc w:val="center"/>
        <w:rPr>
          <w:i/>
          <w:iCs/>
        </w:rPr>
      </w:pPr>
      <w:r w:rsidRPr="00620E52">
        <w:rPr>
          <w:i/>
          <w:iCs/>
          <w:color w:val="000000"/>
          <w:sz w:val="22"/>
          <w:szCs w:val="20"/>
        </w:rPr>
        <w:t xml:space="preserve">Figure </w:t>
      </w:r>
      <w:r>
        <w:rPr>
          <w:i/>
          <w:iCs/>
          <w:color w:val="000000"/>
          <w:sz w:val="22"/>
          <w:szCs w:val="20"/>
        </w:rPr>
        <w:t xml:space="preserve">C.4.1.4. </w:t>
      </w:r>
      <w:r w:rsidRPr="00D14487">
        <w:rPr>
          <w:i/>
          <w:iCs/>
          <w:color w:val="000000"/>
          <w:sz w:val="22"/>
          <w:szCs w:val="20"/>
        </w:rPr>
        <w:t>Validation of operational ocean models within situ</w:t>
      </w:r>
      <w:r>
        <w:rPr>
          <w:i/>
          <w:iCs/>
          <w:color w:val="000000"/>
          <w:sz w:val="22"/>
          <w:szCs w:val="20"/>
        </w:rPr>
        <w:t xml:space="preserve"> </w:t>
      </w:r>
      <w:r w:rsidRPr="00D14487">
        <w:rPr>
          <w:i/>
          <w:iCs/>
          <w:color w:val="000000"/>
          <w:sz w:val="22"/>
          <w:szCs w:val="20"/>
        </w:rPr>
        <w:t>observations buoys: Timeseries of surface current [speed (in m</w:t>
      </w:r>
      <w:r>
        <w:rPr>
          <w:i/>
          <w:iCs/>
          <w:color w:val="000000"/>
          <w:sz w:val="22"/>
          <w:szCs w:val="20"/>
        </w:rPr>
        <w:t xml:space="preserve"> </w:t>
      </w:r>
      <w:r w:rsidRPr="00D14487">
        <w:rPr>
          <w:i/>
          <w:iCs/>
          <w:color w:val="000000"/>
          <w:sz w:val="22"/>
          <w:szCs w:val="20"/>
        </w:rPr>
        <w:t>s</w:t>
      </w:r>
      <w:r w:rsidRPr="00D14487">
        <w:rPr>
          <w:i/>
          <w:iCs/>
          <w:color w:val="000000"/>
          <w:sz w:val="22"/>
          <w:szCs w:val="20"/>
          <w:vertAlign w:val="superscript"/>
        </w:rPr>
        <w:t>−1</w:t>
      </w:r>
      <w:r w:rsidRPr="00D14487">
        <w:rPr>
          <w:i/>
          <w:iCs/>
          <w:color w:val="000000"/>
          <w:sz w:val="22"/>
          <w:szCs w:val="20"/>
        </w:rPr>
        <w:t>) and direction (deg) at Tarragona</w:t>
      </w:r>
      <w:r>
        <w:rPr>
          <w:i/>
          <w:iCs/>
          <w:color w:val="000000"/>
          <w:sz w:val="22"/>
          <w:szCs w:val="20"/>
        </w:rPr>
        <w:t xml:space="preserve"> </w:t>
      </w:r>
      <w:r w:rsidRPr="00D14487">
        <w:rPr>
          <w:i/>
          <w:iCs/>
          <w:color w:val="000000"/>
          <w:sz w:val="22"/>
          <w:szCs w:val="20"/>
        </w:rPr>
        <w:t xml:space="preserve">mooring. </w:t>
      </w:r>
      <w:r w:rsidRPr="008645AF">
        <w:rPr>
          <w:i/>
          <w:iCs/>
          <w:color w:val="000000"/>
          <w:sz w:val="22"/>
          <w:szCs w:val="20"/>
          <w:lang w:val="en-US"/>
        </w:rPr>
        <w:t xml:space="preserve">CMEMS </w:t>
      </w:r>
      <w:r>
        <w:rPr>
          <w:i/>
          <w:iCs/>
          <w:color w:val="000000"/>
          <w:sz w:val="22"/>
          <w:szCs w:val="20"/>
          <w:lang w:val="en-US"/>
        </w:rPr>
        <w:t>d</w:t>
      </w:r>
      <w:r w:rsidRPr="00BF24B0">
        <w:rPr>
          <w:i/>
          <w:iCs/>
          <w:color w:val="000000"/>
          <w:sz w:val="22"/>
          <w:szCs w:val="20"/>
          <w:lang w:val="en-US"/>
        </w:rPr>
        <w:t>a</w:t>
      </w:r>
      <w:r>
        <w:rPr>
          <w:i/>
          <w:iCs/>
          <w:color w:val="000000"/>
          <w:sz w:val="22"/>
          <w:szCs w:val="20"/>
          <w:lang w:val="en-US"/>
        </w:rPr>
        <w:t xml:space="preserve">ta </w:t>
      </w:r>
      <w:r w:rsidRPr="00742855">
        <w:rPr>
          <w:i/>
          <w:iCs/>
          <w:color w:val="000000"/>
          <w:sz w:val="22"/>
          <w:szCs w:val="20"/>
          <w:lang w:val="en-US"/>
        </w:rPr>
        <w:t>product</w:t>
      </w:r>
      <w:r w:rsidRPr="00305DE2">
        <w:rPr>
          <w:i/>
          <w:iCs/>
          <w:color w:val="000000"/>
          <w:sz w:val="22"/>
          <w:szCs w:val="20"/>
          <w:lang w:val="en-US"/>
        </w:rPr>
        <w:t xml:space="preserve"> </w:t>
      </w:r>
      <w:r w:rsidRPr="00742855">
        <w:rPr>
          <w:i/>
          <w:iCs/>
          <w:color w:val="000000"/>
          <w:sz w:val="22"/>
          <w:szCs w:val="20"/>
          <w:lang w:val="en-US"/>
        </w:rPr>
        <w:t>ref-</w:t>
      </w:r>
      <w:r>
        <w:rPr>
          <w:i/>
          <w:iCs/>
          <w:color w:val="000000"/>
          <w:sz w:val="22"/>
          <w:szCs w:val="20"/>
          <w:lang w:val="en-US"/>
        </w:rPr>
        <w:t xml:space="preserve">4.1.5 (observations), </w:t>
      </w:r>
      <w:r w:rsidRPr="00742855">
        <w:rPr>
          <w:i/>
          <w:iCs/>
          <w:color w:val="000000"/>
          <w:sz w:val="22"/>
          <w:szCs w:val="20"/>
          <w:lang w:val="en-US"/>
        </w:rPr>
        <w:t>ref-</w:t>
      </w:r>
      <w:r>
        <w:rPr>
          <w:i/>
          <w:iCs/>
          <w:color w:val="000000"/>
          <w:sz w:val="22"/>
          <w:szCs w:val="20"/>
          <w:lang w:val="en-US"/>
        </w:rPr>
        <w:t>4.1.1. (MED model) and ref-4.1.4. (IBI model).</w:t>
      </w:r>
    </w:p>
    <w:bookmarkEnd w:id="3"/>
    <w:p w14:paraId="5038DEB2" w14:textId="77777777" w:rsidR="00FC4976" w:rsidRDefault="00FC4976" w:rsidP="00FC4976">
      <w:pPr>
        <w:rPr>
          <w:rFonts w:ascii="Times New Roman" w:eastAsiaTheme="minorHAnsi" w:hAnsi="Times New Roman"/>
          <w:szCs w:val="24"/>
          <w:lang w:val="en-US"/>
        </w:rPr>
      </w:pPr>
    </w:p>
    <w:p w14:paraId="30C43678" w14:textId="6825795C" w:rsidR="00FC4976" w:rsidRPr="006B5E40" w:rsidRDefault="00FC4976" w:rsidP="00FC4976">
      <w:pPr>
        <w:pStyle w:val="Heading3"/>
        <w:spacing w:before="200" w:line="276" w:lineRule="auto"/>
        <w:jc w:val="left"/>
        <w:rPr>
          <w:rFonts w:ascii="Times New Roman" w:eastAsia="Calibri" w:hAnsi="Times New Roman" w:cs="Times New Roman"/>
          <w:b/>
          <w:bCs/>
          <w:color w:val="000000" w:themeColor="text1"/>
        </w:rPr>
      </w:pPr>
      <w:r w:rsidRPr="006B5E40">
        <w:rPr>
          <w:rFonts w:ascii="Times New Roman" w:eastAsia="Calibri" w:hAnsi="Times New Roman" w:cs="Times New Roman"/>
          <w:b/>
          <w:bCs/>
          <w:color w:val="000000" w:themeColor="text1"/>
        </w:rPr>
        <w:t>Conclusions of forecasting services performance</w:t>
      </w:r>
    </w:p>
    <w:p w14:paraId="726A7155" w14:textId="77777777" w:rsidR="00FC4976" w:rsidRPr="006B5E40" w:rsidRDefault="00FC4976" w:rsidP="00FC4976">
      <w:pPr>
        <w:rPr>
          <w:rFonts w:ascii="Times New Roman" w:eastAsiaTheme="minorHAnsi" w:hAnsi="Times New Roman"/>
          <w:b/>
          <w:bCs/>
          <w:color w:val="000000" w:themeColor="text1"/>
          <w:szCs w:val="24"/>
          <w:lang w:val="en-US"/>
        </w:rPr>
      </w:pPr>
    </w:p>
    <w:p w14:paraId="788ABE9D" w14:textId="77777777" w:rsidR="00FC4976" w:rsidRDefault="00FC4976" w:rsidP="00FC4976">
      <w:pPr>
        <w:rPr>
          <w:rFonts w:ascii="Times New Roman" w:eastAsiaTheme="minorHAnsi" w:hAnsi="Times New Roman"/>
          <w:szCs w:val="24"/>
          <w:lang w:val="en-US"/>
        </w:rPr>
      </w:pPr>
      <w:r>
        <w:rPr>
          <w:rFonts w:ascii="Times New Roman" w:eastAsiaTheme="minorHAnsi" w:hAnsi="Times New Roman"/>
          <w:szCs w:val="24"/>
          <w:lang w:val="en-US"/>
        </w:rPr>
        <w:t>In general, the forecasting systems performed quite correctly.</w:t>
      </w:r>
      <w:r w:rsidRPr="00C06C67">
        <w:rPr>
          <w:rFonts w:ascii="Times New Roman" w:eastAsiaTheme="minorHAnsi" w:hAnsi="Times New Roman"/>
          <w:szCs w:val="24"/>
          <w:lang w:val="en-US"/>
        </w:rPr>
        <w:t xml:space="preserve"> Nevertheless, th</w:t>
      </w:r>
      <w:r>
        <w:rPr>
          <w:rFonts w:ascii="Times New Roman" w:eastAsiaTheme="minorHAnsi" w:hAnsi="Times New Roman"/>
          <w:szCs w:val="24"/>
          <w:lang w:val="en-US"/>
        </w:rPr>
        <w:t>e</w:t>
      </w:r>
      <w:r w:rsidRPr="00C06C67">
        <w:rPr>
          <w:rFonts w:ascii="Times New Roman" w:eastAsiaTheme="minorHAnsi" w:hAnsi="Times New Roman"/>
          <w:szCs w:val="24"/>
          <w:lang w:val="en-US"/>
        </w:rPr>
        <w:t xml:space="preserve"> information</w:t>
      </w:r>
      <w:r>
        <w:rPr>
          <w:rFonts w:ascii="Times New Roman" w:eastAsiaTheme="minorHAnsi" w:hAnsi="Times New Roman"/>
          <w:szCs w:val="24"/>
          <w:lang w:val="en-US"/>
        </w:rPr>
        <w:t xml:space="preserve"> generated</w:t>
      </w:r>
      <w:r w:rsidRPr="00C06C67">
        <w:rPr>
          <w:rFonts w:ascii="Times New Roman" w:eastAsiaTheme="minorHAnsi" w:hAnsi="Times New Roman"/>
          <w:szCs w:val="24"/>
          <w:lang w:val="en-US"/>
        </w:rPr>
        <w:t xml:space="preserve"> </w:t>
      </w:r>
      <w:r>
        <w:rPr>
          <w:rFonts w:ascii="Times New Roman" w:eastAsiaTheme="minorHAnsi" w:hAnsi="Times New Roman"/>
          <w:szCs w:val="24"/>
          <w:lang w:val="en-US"/>
        </w:rPr>
        <w:t>was</w:t>
      </w:r>
      <w:r w:rsidRPr="00C06C67">
        <w:rPr>
          <w:rFonts w:ascii="Times New Roman" w:eastAsiaTheme="minorHAnsi" w:hAnsi="Times New Roman"/>
          <w:szCs w:val="24"/>
          <w:lang w:val="en-US"/>
        </w:rPr>
        <w:t xml:space="preserve"> more accurate for some variables than for others.</w:t>
      </w:r>
      <w:r>
        <w:rPr>
          <w:rFonts w:ascii="Times New Roman" w:eastAsiaTheme="minorHAnsi" w:hAnsi="Times New Roman"/>
          <w:szCs w:val="24"/>
          <w:lang w:val="en-US"/>
        </w:rPr>
        <w:t xml:space="preserve"> The extreme values waves (figure C.4.1.1.) and sea level (figure C.4.1.2.) were correctly forecasted, but the circulation models were only able to provide a general description of the response to the storm (see figure C.4.1.3.), failing as usual in forecasting specific values of current for a given point at a specific time (figure C.4.1.4.). This is a well-known problem, mainly related with the difficulties properly collocate mesoscale patterns into the initial 3D-fields </w:t>
      </w:r>
      <w:r>
        <w:rPr>
          <w:rFonts w:ascii="Times New Roman" w:eastAsiaTheme="minorHAnsi" w:hAnsi="Times New Roman"/>
          <w:szCs w:val="24"/>
          <w:lang w:val="en-US"/>
        </w:rPr>
        <w:lastRenderedPageBreak/>
        <w:t>of the simulation (</w:t>
      </w:r>
      <w:r w:rsidRPr="007D5EDD">
        <w:rPr>
          <w:rFonts w:ascii="Times New Roman" w:eastAsiaTheme="minorHAnsi" w:hAnsi="Times New Roman"/>
          <w:szCs w:val="24"/>
        </w:rPr>
        <w:t>Röhrs</w:t>
      </w:r>
      <w:r>
        <w:rPr>
          <w:rFonts w:ascii="Times New Roman" w:eastAsiaTheme="minorHAnsi" w:hAnsi="Times New Roman"/>
          <w:szCs w:val="24"/>
          <w:lang w:val="en-US"/>
        </w:rPr>
        <w:t xml:space="preserve"> et al, 2021) and, in this aspect CMEMS, as well as other state of the art circulation forecasting systems, have plenty of room for improvement in the future. </w:t>
      </w:r>
    </w:p>
    <w:p w14:paraId="7DBF8D3C" w14:textId="77777777" w:rsidR="00FC4976" w:rsidRDefault="00FC4976" w:rsidP="00FC4976">
      <w:pPr>
        <w:rPr>
          <w:rFonts w:ascii="Times New Roman" w:eastAsiaTheme="minorHAnsi" w:hAnsi="Times New Roman"/>
          <w:szCs w:val="24"/>
          <w:lang w:val="en-US"/>
        </w:rPr>
      </w:pPr>
    </w:p>
    <w:p w14:paraId="389A2EE8" w14:textId="77777777" w:rsidR="00FC4976" w:rsidRPr="005668D3" w:rsidRDefault="00FC4976" w:rsidP="00FC4976">
      <w:pPr>
        <w:rPr>
          <w:rFonts w:ascii="Times New Roman" w:eastAsiaTheme="minorHAnsi" w:hAnsi="Times New Roman"/>
          <w:szCs w:val="24"/>
          <w:lang w:val="en-US"/>
        </w:rPr>
      </w:pPr>
      <w:r>
        <w:rPr>
          <w:rFonts w:ascii="Times New Roman" w:eastAsiaTheme="minorHAnsi" w:hAnsi="Times New Roman"/>
          <w:szCs w:val="24"/>
          <w:lang w:val="en-US"/>
        </w:rPr>
        <w:t xml:space="preserve">The advantages of storm surge multi-model ensemble forecast system were demonstrated. </w:t>
      </w:r>
      <w:r w:rsidRPr="00D55AAA">
        <w:rPr>
          <w:rFonts w:ascii="Times New Roman" w:eastAsiaTheme="minorHAnsi" w:hAnsi="Times New Roman"/>
          <w:szCs w:val="24"/>
          <w:lang w:val="en-US"/>
        </w:rPr>
        <w:t>ENSURF produced accurate results during the Gloria event, although underestimating the main peak in the most affected areas (specially Sagunto, Gandía and Almería). It is also important to remark that the surge lies, for all stations, inside the confidence band predicted by ENSURF. The reliability of the uncertainty estimation demonstrates the importance and benefit of the multi-model ensemble method.</w:t>
      </w:r>
    </w:p>
    <w:p w14:paraId="0E065AB8" w14:textId="77777777" w:rsidR="00FC4976" w:rsidRPr="005668D3" w:rsidRDefault="00FC4976" w:rsidP="00FC4976">
      <w:pPr>
        <w:rPr>
          <w:rFonts w:ascii="Times New Roman" w:eastAsiaTheme="minorHAnsi" w:hAnsi="Times New Roman"/>
          <w:szCs w:val="24"/>
          <w:lang w:val="en-US"/>
        </w:rPr>
      </w:pPr>
    </w:p>
    <w:p w14:paraId="6CF49AB3" w14:textId="77777777" w:rsidR="00FC4976" w:rsidRPr="00FC4976" w:rsidRDefault="00FC4976">
      <w:pPr>
        <w:rPr>
          <w:lang w:val="en-US"/>
        </w:rPr>
      </w:pPr>
    </w:p>
    <w:sectPr w:rsidR="00FC4976" w:rsidRPr="00FC4976" w:rsidSect="005E5C03">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AC51F" w14:textId="77777777" w:rsidR="000E27B8" w:rsidRDefault="000E27B8">
      <w:pPr>
        <w:spacing w:after="0"/>
      </w:pPr>
      <w:r>
        <w:separator/>
      </w:r>
    </w:p>
  </w:endnote>
  <w:endnote w:type="continuationSeparator" w:id="0">
    <w:p w14:paraId="2844E553" w14:textId="77777777" w:rsidR="000E27B8" w:rsidRDefault="000E27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693633"/>
      <w:docPartObj>
        <w:docPartGallery w:val="Page Numbers (Bottom of Page)"/>
        <w:docPartUnique/>
      </w:docPartObj>
    </w:sdtPr>
    <w:sdtEndPr/>
    <w:sdtContent>
      <w:p w14:paraId="33C721E9" w14:textId="77777777" w:rsidR="001F17C3" w:rsidRDefault="000E27B8">
        <w:pPr>
          <w:pStyle w:val="Footer"/>
          <w:jc w:val="right"/>
        </w:pPr>
        <w:r>
          <w:fldChar w:fldCharType="begin"/>
        </w:r>
        <w:r>
          <w:instrText>PAGE   \* MERGEFORMAT</w:instrText>
        </w:r>
        <w:r>
          <w:fldChar w:fldCharType="separate"/>
        </w:r>
        <w:r>
          <w:rPr>
            <w:lang w:val="es-ES"/>
          </w:rPr>
          <w:t>2</w:t>
        </w:r>
        <w:r>
          <w:fldChar w:fldCharType="end"/>
        </w:r>
      </w:p>
    </w:sdtContent>
  </w:sdt>
  <w:p w14:paraId="796CA48F" w14:textId="77777777" w:rsidR="001F17C3" w:rsidRDefault="000E2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2C818" w14:textId="77777777" w:rsidR="000E27B8" w:rsidRDefault="000E27B8">
      <w:pPr>
        <w:spacing w:after="0"/>
      </w:pPr>
      <w:r>
        <w:separator/>
      </w:r>
    </w:p>
  </w:footnote>
  <w:footnote w:type="continuationSeparator" w:id="0">
    <w:p w14:paraId="7F46A357" w14:textId="77777777" w:rsidR="000E27B8" w:rsidRDefault="000E27B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976"/>
    <w:rsid w:val="000E27B8"/>
    <w:rsid w:val="001978DE"/>
    <w:rsid w:val="005A0D55"/>
    <w:rsid w:val="006B5E40"/>
    <w:rsid w:val="00FC49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052E1"/>
  <w15:chartTrackingRefBased/>
  <w15:docId w15:val="{E842DB2C-BEF3-DB4F-9F5E-6B2DE1969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976"/>
    <w:pPr>
      <w:spacing w:after="60"/>
      <w:jc w:val="both"/>
    </w:pPr>
    <w:rPr>
      <w:rFonts w:eastAsia="Times New Roman" w:cs="Times New Roman"/>
      <w:szCs w:val="22"/>
      <w:lang w:val="en-GB"/>
    </w:rPr>
  </w:style>
  <w:style w:type="paragraph" w:styleId="Heading3">
    <w:name w:val="heading 3"/>
    <w:basedOn w:val="Normal"/>
    <w:next w:val="Normal"/>
    <w:link w:val="Heading3Char"/>
    <w:uiPriority w:val="9"/>
    <w:unhideWhenUsed/>
    <w:qFormat/>
    <w:rsid w:val="00FC497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C4976"/>
    <w:rPr>
      <w:rFonts w:asciiTheme="majorHAnsi" w:eastAsiaTheme="majorEastAsia" w:hAnsiTheme="majorHAnsi" w:cstheme="majorBidi"/>
      <w:color w:val="1F3763" w:themeColor="accent1" w:themeShade="7F"/>
      <w:lang w:val="en-GB"/>
    </w:rPr>
  </w:style>
  <w:style w:type="paragraph" w:styleId="ListParagraph">
    <w:name w:val="List Paragraph"/>
    <w:basedOn w:val="Normal"/>
    <w:uiPriority w:val="34"/>
    <w:qFormat/>
    <w:rsid w:val="00FC4976"/>
    <w:pPr>
      <w:ind w:left="720"/>
      <w:contextualSpacing/>
    </w:pPr>
  </w:style>
  <w:style w:type="paragraph" w:styleId="Footer">
    <w:name w:val="footer"/>
    <w:basedOn w:val="Normal"/>
    <w:link w:val="FooterChar"/>
    <w:uiPriority w:val="99"/>
    <w:unhideWhenUsed/>
    <w:rsid w:val="00FC4976"/>
    <w:pPr>
      <w:tabs>
        <w:tab w:val="center" w:pos="4252"/>
        <w:tab w:val="right" w:pos="8504"/>
      </w:tabs>
      <w:spacing w:after="0"/>
    </w:pPr>
  </w:style>
  <w:style w:type="character" w:customStyle="1" w:styleId="FooterChar">
    <w:name w:val="Footer Char"/>
    <w:basedOn w:val="DefaultParagraphFont"/>
    <w:link w:val="Footer"/>
    <w:uiPriority w:val="99"/>
    <w:rsid w:val="00FC4976"/>
    <w:rPr>
      <w:rFonts w:eastAsia="Times New Roman" w:cs="Times New Roman"/>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1562</Words>
  <Characters>8904</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von Schuckmann</dc:creator>
  <cp:keywords/>
  <dc:description/>
  <cp:lastModifiedBy>raja</cp:lastModifiedBy>
  <cp:revision>2</cp:revision>
  <dcterms:created xsi:type="dcterms:W3CDTF">2022-07-01T03:41:00Z</dcterms:created>
  <dcterms:modified xsi:type="dcterms:W3CDTF">2022-07-01T03:41:00Z</dcterms:modified>
</cp:coreProperties>
</file>