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7301" w:rsidRDefault="00ED7301" w:rsidP="00ED7301">
      <w:pPr>
        <w:pStyle w:val="Titre1"/>
      </w:pPr>
      <w:bookmarkStart w:id="0" w:name="supplementary-materials"/>
      <w:r>
        <w:t>Supplementary Materials</w:t>
      </w:r>
    </w:p>
    <w:p w:rsidR="00ED7301" w:rsidRDefault="00ED7301" w:rsidP="00ED7301">
      <w:pPr>
        <w:pStyle w:val="Titre2"/>
      </w:pPr>
      <w:bookmarkStart w:id="1" w:name="fish-tol-apx"/>
      <w:r>
        <w:t>A</w:t>
      </w:r>
      <w:r>
        <w:tab/>
        <w:t>Salinity and dissolved oxygen valency groups</w:t>
      </w:r>
    </w:p>
    <w:p w:rsidR="00ED7301" w:rsidRDefault="00ED7301" w:rsidP="00ED7301">
      <w:r>
        <w:t xml:space="preserve">Table A.1: </w:t>
      </w:r>
      <w:proofErr w:type="spellStart"/>
      <w:r>
        <w:t>Benthodemersal</w:t>
      </w:r>
      <w:proofErr w:type="spellEnd"/>
      <w:r>
        <w:t xml:space="preserve"> fish taxa were assigned to ecological valency groups based on their tolerance to salinity and dissolved oxygen. Tolerance range values were retrieved from a meta-analysis of fish environmental niches conducted over estuarine and coastal nurseries of the Bay of Biscay. Ecological valency groups were attributed to all fish species using a classification procedure based on three tolerance range categories (wide: eury-, medium: meso-, narrow: steno-) of salinity (-</w:t>
      </w:r>
      <w:proofErr w:type="spellStart"/>
      <w:r>
        <w:t>haline</w:t>
      </w:r>
      <w:proofErr w:type="spellEnd"/>
      <w:r>
        <w:t>) and DO (-</w:t>
      </w:r>
      <w:proofErr w:type="spellStart"/>
      <w:r>
        <w:t>oxybiontic</w:t>
      </w:r>
      <w:proofErr w:type="spellEnd"/>
      <w:r>
        <w:t>).</w:t>
      </w:r>
    </w:p>
    <w:p w:rsidR="00ED7301" w:rsidRDefault="00ED7301" w:rsidP="00ED7301"/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2138"/>
        <w:gridCol w:w="1233"/>
        <w:gridCol w:w="1127"/>
        <w:gridCol w:w="1233"/>
        <w:gridCol w:w="1306"/>
      </w:tblGrid>
      <w:tr w:rsidR="00ED7301" w:rsidTr="000F179D">
        <w:trPr>
          <w:tblHeader/>
          <w:jc w:val="center"/>
        </w:trPr>
        <w:tc>
          <w:tcPr>
            <w:tcW w:w="2138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20"/>
                <w:szCs w:val="20"/>
              </w:rPr>
              <w:t>Taxon</w:t>
            </w:r>
          </w:p>
        </w:tc>
        <w:tc>
          <w:tcPr>
            <w:tcW w:w="1233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20"/>
                <w:szCs w:val="20"/>
              </w:rPr>
              <w:t>Salinity</w:t>
            </w:r>
            <w:r>
              <w:rPr>
                <w:rFonts w:ascii="custom" w:eastAsia="custom" w:hAnsi="custom" w:cs="custom"/>
                <w:color w:val="000000"/>
                <w:sz w:val="20"/>
                <w:szCs w:val="20"/>
              </w:rPr>
              <w:br/>
              <w:t>tolerance</w:t>
            </w:r>
          </w:p>
        </w:tc>
        <w:tc>
          <w:tcPr>
            <w:tcW w:w="1127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20"/>
                <w:szCs w:val="20"/>
              </w:rPr>
              <w:t>Salinity</w:t>
            </w:r>
            <w:r>
              <w:rPr>
                <w:rFonts w:ascii="custom" w:eastAsia="custom" w:hAnsi="custom" w:cs="custom"/>
                <w:color w:val="000000"/>
                <w:sz w:val="20"/>
                <w:szCs w:val="20"/>
              </w:rPr>
              <w:br/>
              <w:t>valency</w:t>
            </w:r>
          </w:p>
        </w:tc>
        <w:tc>
          <w:tcPr>
            <w:tcW w:w="1233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20"/>
                <w:szCs w:val="20"/>
              </w:rPr>
              <w:t>Oxygen</w:t>
            </w:r>
            <w:r>
              <w:rPr>
                <w:rFonts w:ascii="custom" w:eastAsia="custom" w:hAnsi="custom" w:cs="custom"/>
                <w:color w:val="000000"/>
                <w:sz w:val="20"/>
                <w:szCs w:val="20"/>
              </w:rPr>
              <w:br/>
              <w:t>tolerance</w:t>
            </w:r>
          </w:p>
        </w:tc>
        <w:tc>
          <w:tcPr>
            <w:tcW w:w="1306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20"/>
                <w:szCs w:val="20"/>
              </w:rPr>
              <w:t>Oxygen</w:t>
            </w:r>
            <w:r>
              <w:rPr>
                <w:rFonts w:ascii="custom" w:eastAsia="custom" w:hAnsi="custom" w:cs="custom"/>
                <w:color w:val="000000"/>
                <w:sz w:val="20"/>
                <w:szCs w:val="20"/>
              </w:rPr>
              <w:br/>
              <w:t>valency</w:t>
            </w:r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Abramis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brama</w:t>
            </w:r>
            <w:proofErr w:type="spellEnd"/>
          </w:p>
        </w:tc>
        <w:tc>
          <w:tcPr>
            <w:tcW w:w="1233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0.996</w:t>
            </w:r>
          </w:p>
        </w:tc>
        <w:tc>
          <w:tcPr>
            <w:tcW w:w="1127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0.935</w:t>
            </w:r>
          </w:p>
        </w:tc>
        <w:tc>
          <w:tcPr>
            <w:tcW w:w="1306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Ammodytes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tobianus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0.995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0.929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Anguilla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anguilla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0.998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0.990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Aphia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minuta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0.988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0.984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Arnoglossus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laterna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0.927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0.921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Buglossidium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luteum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0.972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0.979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Callionymus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lyra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0.994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0.987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Callionymus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reticulatus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stenohaline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0.161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stenoxybiontic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Chelidonichthys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lucerna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0.984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0.978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Chelon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labrosus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0.776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0.233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stenoxybiontic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Ciliata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mustela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0.991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0.976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Conger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conger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0.755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0.985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Ctenolabrus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rupestris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0.550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mesohaline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0.417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mesoxybiontic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Dicentrarchus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labrax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0.995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0.993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Dicentrarchus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punctatus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0.596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mesohaline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0.906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Dicologlossa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cuneata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0.892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0.561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mesoxybiontic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Echiichthys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vipera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0.974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0.983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Eutrigla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gurnardus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0.202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stenohaline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0.649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mesoxybiontic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Gobius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niger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0.999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0.987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Hippocampus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hippocampus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0.936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0.988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Hyperoplus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lanceolatus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0.987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0.943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Lepadogaster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candolii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0.037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stenohaline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0.335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stenoxybiontic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Limanda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limanda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0.858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0.637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mesoxybiontic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Merlangius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merlangus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0.916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0.992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Merluccius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merluccius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0.273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stenohaline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0.517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mesoxybiontic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Mullus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surmuletus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0.916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0.972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Osmerus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eperlanus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0.997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0.980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Pegusa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lascaris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0.830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0.429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mesoxybiontic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Platichthys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flesus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0.998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0.994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Pleuronectes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platessa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0.997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0.994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Pollachius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pollachius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0.739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0.990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Pomatoschistus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spp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0.996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0.962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Raja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undulata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0.412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mesohaline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0.345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stenoxybiontic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Sander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lucioperca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0.995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0.925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Scophthalmus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maximus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0.396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mesohaline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0.923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Scophthalmus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rhombus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0.870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0.990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Silurus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glanis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0.581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mesohaline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0.345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stenoxybiontic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Solea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senegalensis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0.971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0.686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mesoxybiontic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Solea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solea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0.999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0.993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Sparus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aurata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0.903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0.838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Spinachia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spinachia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0.820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0.978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Spondyliosoma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cantharus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0.485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mesohaline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0.983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Syngnathus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acus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0.988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0.986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Syngnathus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rostellatus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0.997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0.964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Syngnathus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typhle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0.956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0.496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mesoxybiontic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Torpedo marmorata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0.345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mesohaline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0.980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Trisopterus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luscus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0.846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0.989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euryoxybiontic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Trisopterus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minutus</w:t>
            </w:r>
            <w:proofErr w:type="spellEnd"/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0.711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mesohaline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0.520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mesoxybiontic</w:t>
            </w:r>
            <w:proofErr w:type="spellEnd"/>
          </w:p>
        </w:tc>
      </w:tr>
      <w:tr w:rsidR="00ED7301" w:rsidTr="000F179D">
        <w:trPr>
          <w:jc w:val="center"/>
        </w:trPr>
        <w:tc>
          <w:tcPr>
            <w:tcW w:w="2138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>Zeugopterus</w:t>
            </w:r>
            <w:proofErr w:type="spellEnd"/>
            <w:r>
              <w:rPr>
                <w:rFonts w:ascii="custom" w:eastAsia="custom" w:hAnsi="custom" w:cs="custom"/>
                <w:i/>
                <w:color w:val="000000"/>
                <w:sz w:val="14"/>
                <w:szCs w:val="14"/>
              </w:rPr>
              <w:t xml:space="preserve"> norvegicus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0.129</w:t>
            </w:r>
          </w:p>
        </w:tc>
        <w:tc>
          <w:tcPr>
            <w:tcW w:w="1127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stenohaline</w:t>
            </w:r>
          </w:p>
        </w:tc>
        <w:tc>
          <w:tcPr>
            <w:tcW w:w="1233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right"/>
            </w:pPr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0.384</w:t>
            </w:r>
          </w:p>
        </w:tc>
        <w:tc>
          <w:tcPr>
            <w:tcW w:w="1306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7301" w:rsidRDefault="00ED7301" w:rsidP="000F179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0" w:after="20" w:line="240" w:lineRule="auto"/>
              <w:ind w:left="100" w:right="100"/>
              <w:jc w:val="left"/>
            </w:pPr>
            <w:proofErr w:type="spellStart"/>
            <w:r>
              <w:rPr>
                <w:rFonts w:ascii="custom" w:eastAsia="custom" w:hAnsi="custom" w:cs="custom"/>
                <w:color w:val="000000"/>
                <w:sz w:val="14"/>
                <w:szCs w:val="14"/>
              </w:rPr>
              <w:t>mesoxybiontic</w:t>
            </w:r>
            <w:proofErr w:type="spellEnd"/>
          </w:p>
        </w:tc>
      </w:tr>
    </w:tbl>
    <w:p w:rsidR="00ED7301" w:rsidRDefault="00ED7301" w:rsidP="00ED7301">
      <w:pPr>
        <w:pStyle w:val="Titre2"/>
      </w:pPr>
      <w:bookmarkStart w:id="2" w:name="season-envir-apx"/>
      <w:bookmarkStart w:id="3" w:name="_GoBack"/>
      <w:bookmarkEnd w:id="1"/>
      <w:bookmarkEnd w:id="3"/>
      <w:r>
        <w:lastRenderedPageBreak/>
        <w:t>B</w:t>
      </w:r>
      <w:r>
        <w:tab/>
        <w:t>Monthly variability in environmental conditions in the Loire estuary</w:t>
      </w:r>
    </w:p>
    <w:p w:rsidR="00ED7301" w:rsidRDefault="00ED7301" w:rsidP="00ED7301">
      <w:r>
        <w:rPr>
          <w:noProof/>
        </w:rPr>
        <w:drawing>
          <wp:inline distT="0" distB="0" distL="0" distR="0" wp14:anchorId="6118849C" wp14:editId="04A439AE">
            <wp:extent cx="5753100" cy="6091517"/>
            <wp:effectExtent l="0" t="0" r="0" b="0"/>
            <wp:docPr id="351" name="Picture" descr="Figure 9: Daily mean values of abiotic variables measured at Montjean-sur-Loire hydrologic station (flow rate) and Paimbœuf environmental monitoring station (salinity, temperature, and DO), presented with LoESS regression curves associated with the intra-annual surveys (1982, 2011, and 2019)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" descr="Figures/Apx_abiotic_seasonality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15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301" w:rsidRDefault="00ED7301" w:rsidP="00ED7301">
      <w:r>
        <w:t xml:space="preserve">Figure B.1: Daily mean values of abiotic variables measured at </w:t>
      </w:r>
      <w:proofErr w:type="spellStart"/>
      <w:r>
        <w:t>Montjean</w:t>
      </w:r>
      <w:proofErr w:type="spellEnd"/>
      <w:r>
        <w:t xml:space="preserve">-sur-Loire hydrologic station (flow rate) and </w:t>
      </w:r>
      <w:proofErr w:type="spellStart"/>
      <w:r>
        <w:t>Paimbœuf</w:t>
      </w:r>
      <w:proofErr w:type="spellEnd"/>
      <w:r>
        <w:t xml:space="preserve"> environmental monitoring station (salinity, temperature, and DO), presented with </w:t>
      </w:r>
      <w:proofErr w:type="spellStart"/>
      <w:r>
        <w:t>LoESS</w:t>
      </w:r>
      <w:proofErr w:type="spellEnd"/>
      <w:r>
        <w:t xml:space="preserve"> regression curves associated with the intra-annual surveys (1982, 2011, and 2019).</w:t>
      </w:r>
    </w:p>
    <w:p w:rsidR="00ED7301" w:rsidRDefault="00ED7301" w:rsidP="00ED7301">
      <w:r>
        <w:br w:type="page"/>
      </w:r>
    </w:p>
    <w:p w:rsidR="00ED7301" w:rsidRDefault="00ED7301" w:rsidP="00ED7301">
      <w:pPr>
        <w:pStyle w:val="Titre2"/>
        <w:sectPr w:rsidR="00ED7301" w:rsidSect="00822FD8">
          <w:pgSz w:w="11906" w:h="16838"/>
          <w:pgMar w:top="1134" w:right="1418" w:bottom="1134" w:left="1418" w:header="709" w:footer="709" w:gutter="0"/>
          <w:lnNumType w:countBy="1" w:restart="continuous"/>
          <w:cols w:space="708"/>
          <w:docGrid w:linePitch="360"/>
        </w:sectPr>
      </w:pPr>
      <w:bookmarkStart w:id="4" w:name="month-trajectory-apx"/>
      <w:bookmarkEnd w:id="2"/>
    </w:p>
    <w:p w:rsidR="00ED7301" w:rsidRDefault="00ED7301" w:rsidP="00ED7301">
      <w:pPr>
        <w:pStyle w:val="Titre2"/>
      </w:pPr>
      <w:r>
        <w:t>C</w:t>
      </w:r>
      <w:r>
        <w:tab/>
        <w:t>Ecological trajectories and monthly composition of fish populations in the annual cycles</w:t>
      </w:r>
    </w:p>
    <w:p w:rsidR="00ED7301" w:rsidRDefault="00ED7301" w:rsidP="00ED7301">
      <w:pPr>
        <w:jc w:val="center"/>
      </w:pPr>
      <w:r>
        <w:rPr>
          <w:noProof/>
        </w:rPr>
        <w:drawing>
          <wp:inline distT="0" distB="0" distL="0" distR="0" wp14:anchorId="2B458CFF" wp14:editId="263EE2BD">
            <wp:extent cx="6829425" cy="4195551"/>
            <wp:effectExtent l="0" t="0" r="0" b="0"/>
            <wp:docPr id="355" name="Picture" descr="Figure 10: Above: site-specific ecological trajectories across four sites (kilometer milestones) and over three annual cycles (1982, 2011, 2019). Below: monthly relative abundance data for fish taxa (each column totals 100%). Total fish abundance is superimposed as a white line with black dots associated with the ordinate axis valu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" descr="Figures/Apx_month_trajectory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141" cy="4202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301" w:rsidRDefault="00ED7301" w:rsidP="00ED7301">
      <w:r>
        <w:t>Figure C.1: Above: site-specific ecological trajectories across four sites (</w:t>
      </w:r>
      <w:proofErr w:type="spellStart"/>
      <w:r>
        <w:t>kilometer</w:t>
      </w:r>
      <w:proofErr w:type="spellEnd"/>
      <w:r>
        <w:t xml:space="preserve"> milestones) and over three annual cycles (1982, 2011, 2019). Below: monthly relative abundance data for fish taxa (each column totals 100%). Total fish abundance is superimposed as a white line with black dots associated with the ordinate axis values.</w:t>
      </w:r>
      <w:r>
        <w:br w:type="page"/>
      </w:r>
    </w:p>
    <w:p w:rsidR="00ED7301" w:rsidRDefault="00ED7301" w:rsidP="00ED7301">
      <w:pPr>
        <w:pStyle w:val="Titre2"/>
      </w:pPr>
      <w:bookmarkStart w:id="5" w:name="yearly-dendrogram-apx"/>
      <w:bookmarkEnd w:id="4"/>
      <w:r>
        <w:t>D</w:t>
      </w:r>
      <w:r>
        <w:tab/>
        <w:t>Classification of inter-annual samples and species association with clusters</w:t>
      </w:r>
    </w:p>
    <w:p w:rsidR="00ED7301" w:rsidRDefault="00ED7301" w:rsidP="00ED7301">
      <w:pPr>
        <w:jc w:val="center"/>
      </w:pPr>
      <w:r>
        <w:rPr>
          <w:noProof/>
        </w:rPr>
        <w:drawing>
          <wp:inline distT="0" distB="0" distL="0" distR="0" wp14:anchorId="558D26CE" wp14:editId="231684E1">
            <wp:extent cx="7000875" cy="4300878"/>
            <wp:effectExtent l="0" t="0" r="0" b="4445"/>
            <wp:docPr id="359" name="Picture" descr="Figure 11: Hierarchical clustering analysis (Ward’s method) of inter-annual samples identified five well-differentiated clusters of samples visible on the associated dendrogram. The Dufrêne-Legendre association index (IndVal) was computed for each taxon identified at the inter-annual scale and significant associations are presented in the rightmost part of the figure (Dufrêne &amp; Legendre 1997)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" descr="Figures/Apx_year_clustering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19" cy="43098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301" w:rsidRDefault="00ED7301" w:rsidP="00ED7301">
      <w:r>
        <w:t xml:space="preserve">Figure D.1: Hierarchical clustering analysis (Ward’s method) of inter-annual samples identified five well-differentiated clusters of samples visible on the associated dendrogram. The </w:t>
      </w:r>
      <w:proofErr w:type="spellStart"/>
      <w:r>
        <w:t>Dufrêne</w:t>
      </w:r>
      <w:proofErr w:type="spellEnd"/>
      <w:r>
        <w:t>-Legendre association index (</w:t>
      </w:r>
      <w:proofErr w:type="spellStart"/>
      <w:r>
        <w:t>IndVal</w:t>
      </w:r>
      <w:proofErr w:type="spellEnd"/>
      <w:r>
        <w:t>) was computed for each taxon identified at the inter-annual scale and significant associations are presented in the rightmost part of the figure (</w:t>
      </w:r>
      <w:proofErr w:type="spellStart"/>
      <w:r>
        <w:t>Dufrêne</w:t>
      </w:r>
      <w:proofErr w:type="spellEnd"/>
      <w:r>
        <w:t xml:space="preserve"> &amp; Legendre 1997).</w:t>
      </w:r>
    </w:p>
    <w:p w:rsidR="00ED7301" w:rsidRDefault="00ED7301" w:rsidP="00ED7301">
      <w:pPr>
        <w:pStyle w:val="Titre2"/>
      </w:pPr>
      <w:bookmarkStart w:id="6" w:name="var-part-apx"/>
      <w:bookmarkEnd w:id="5"/>
      <w:r>
        <w:t>E</w:t>
      </w:r>
      <w:r>
        <w:tab/>
        <w:t xml:space="preserve">Partitioning of </w:t>
      </w:r>
      <w:proofErr w:type="spellStart"/>
      <w:r>
        <w:t>spatio</w:t>
      </w:r>
      <w:proofErr w:type="spellEnd"/>
      <w:r>
        <w:t>-temporal variation</w:t>
      </w:r>
    </w:p>
    <w:p w:rsidR="00ED7301" w:rsidRDefault="00ED7301" w:rsidP="00ED7301">
      <w:pPr>
        <w:jc w:val="center"/>
      </w:pPr>
      <w:r>
        <w:rPr>
          <w:noProof/>
        </w:rPr>
        <w:drawing>
          <wp:inline distT="0" distB="0" distL="0" distR="0" wp14:anchorId="31F46FA0" wp14:editId="096B1655">
            <wp:extent cx="7296150" cy="3648075"/>
            <wp:effectExtent l="0" t="0" r="0" b="9525"/>
            <wp:docPr id="363" name="Picture" descr="Figure 12: Summary table of the partitioning of variability (Venn diagrams) in \alpha-diversity, \beta-diversity, and dissimilarity among fish communities assessed at both intra-annual and inter-annual scal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" descr="Figures/Apx_var_part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301" w:rsidRDefault="00ED7301" w:rsidP="00ED7301">
      <w:r>
        <w:t xml:space="preserve">Figure E.1: Summary table of the partitioning of variability (Venn diagrams) in </w:t>
      </w:r>
      <m:oMath>
        <m:r>
          <w:rPr>
            <w:rFonts w:ascii="Cambria Math" w:hAnsi="Cambria Math"/>
          </w:rPr>
          <m:t>α</m:t>
        </m:r>
      </m:oMath>
      <w:r>
        <w:t xml:space="preserve">-diversity, </w:t>
      </w:r>
      <m:oMath>
        <m:r>
          <w:rPr>
            <w:rFonts w:ascii="Cambria Math" w:hAnsi="Cambria Math"/>
          </w:rPr>
          <m:t>β</m:t>
        </m:r>
      </m:oMath>
      <w:r>
        <w:t>-diversity, and dissimilarity among fish communities assessed at both intra-annual and inter-annual scales.</w:t>
      </w:r>
    </w:p>
    <w:p w:rsidR="00ED7301" w:rsidRDefault="00ED7301" w:rsidP="00ED7301">
      <w:r>
        <w:br w:type="page"/>
      </w:r>
    </w:p>
    <w:p w:rsidR="00ED7301" w:rsidRDefault="00ED7301" w:rsidP="00ED7301">
      <w:pPr>
        <w:pStyle w:val="Titre2"/>
      </w:pPr>
      <w:bookmarkStart w:id="7" w:name="main-fish-apx"/>
      <w:bookmarkEnd w:id="6"/>
      <w:r>
        <w:t>F</w:t>
      </w:r>
      <w:r>
        <w:tab/>
        <w:t>Evolution of abundance of major fish taxa over fine and broad temporal scales</w:t>
      </w:r>
    </w:p>
    <w:p w:rsidR="00ED7301" w:rsidRDefault="00ED7301" w:rsidP="00ED7301">
      <w:pPr>
        <w:jc w:val="center"/>
      </w:pPr>
      <w:r>
        <w:rPr>
          <w:noProof/>
        </w:rPr>
        <w:drawing>
          <wp:inline distT="0" distB="0" distL="0" distR="0" wp14:anchorId="6C44801C" wp14:editId="1AF3AC15">
            <wp:extent cx="8917305" cy="4907904"/>
            <wp:effectExtent l="0" t="0" r="0" b="0"/>
            <wp:docPr id="367" name="Picture" descr="Figure 13: Evolution of the abundance of major fish taxa over intra-annual (left grids) and inter-annual (right square-shaped grids) temporal scal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" descr="Figures/Apx_main_species_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305" cy="49079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301" w:rsidRDefault="00ED7301" w:rsidP="00ED7301">
      <w:r>
        <w:t>Figure F.1: Evolution of the abundance of major fish taxa over intra-annual (left grids) and inter-annual (right square-shaped grids) temporal scales.</w:t>
      </w:r>
    </w:p>
    <w:p w:rsidR="00ED7301" w:rsidRDefault="00ED7301" w:rsidP="00ED7301">
      <w:pPr>
        <w:jc w:val="center"/>
      </w:pPr>
      <w:r>
        <w:rPr>
          <w:noProof/>
        </w:rPr>
        <w:drawing>
          <wp:inline distT="0" distB="0" distL="0" distR="0" wp14:anchorId="111D697D" wp14:editId="30649B4E">
            <wp:extent cx="8917305" cy="4907904"/>
            <wp:effectExtent l="0" t="0" r="0" b="0"/>
            <wp:docPr id="370" name="Picture" descr="Figure 14: Continued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" descr="Figures/Apx_main_species_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305" cy="49079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ACC" w:rsidRDefault="00ED7301">
      <w:r>
        <w:t>Figure F.1: Continued.</w:t>
      </w:r>
      <w:bookmarkEnd w:id="0"/>
      <w:bookmarkEnd w:id="7"/>
    </w:p>
    <w:sectPr w:rsidR="00FF3ACC" w:rsidSect="00A20BF1">
      <w:pgSz w:w="16838" w:h="11906" w:orient="landscape"/>
      <w:pgMar w:top="1418" w:right="1134" w:bottom="1418" w:left="1134" w:header="709" w:footer="709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stom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301"/>
    <w:rsid w:val="004A325D"/>
    <w:rsid w:val="00ED7301"/>
    <w:rsid w:val="00FF3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2A585"/>
  <w15:chartTrackingRefBased/>
  <w15:docId w15:val="{E64490B5-2290-4455-A3BD-FBBE79F73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7301"/>
    <w:pPr>
      <w:spacing w:before="240" w:after="0" w:line="36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ED7301"/>
    <w:pPr>
      <w:keepNext/>
      <w:keepLines/>
      <w:spacing w:before="360" w:after="240" w:line="240" w:lineRule="auto"/>
      <w:outlineLvl w:val="0"/>
    </w:pPr>
    <w:rPr>
      <w:rFonts w:asciiTheme="majorHAnsi" w:eastAsiaTheme="majorEastAsia" w:hAnsiTheme="majorHAnsi" w:cstheme="majorBidi"/>
      <w:b/>
      <w:color w:val="1F3864" w:themeColor="accent1" w:themeShade="80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D7301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color w:val="1F3864" w:themeColor="accent1" w:themeShade="80"/>
      <w:sz w:val="3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D7301"/>
    <w:rPr>
      <w:rFonts w:asciiTheme="majorHAnsi" w:eastAsiaTheme="majorEastAsia" w:hAnsiTheme="majorHAnsi" w:cstheme="majorBidi"/>
      <w:b/>
      <w:color w:val="1F3864" w:themeColor="accent1" w:themeShade="80"/>
      <w:sz w:val="36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D7301"/>
    <w:rPr>
      <w:rFonts w:asciiTheme="majorHAnsi" w:eastAsiaTheme="majorEastAsia" w:hAnsiTheme="majorHAnsi" w:cstheme="majorBidi"/>
      <w:color w:val="1F3864" w:themeColor="accent1" w:themeShade="80"/>
      <w:sz w:val="32"/>
      <w:szCs w:val="26"/>
    </w:rPr>
  </w:style>
  <w:style w:type="character" w:styleId="Numrodeligne">
    <w:name w:val="line number"/>
    <w:basedOn w:val="Policepardfaut"/>
    <w:uiPriority w:val="99"/>
    <w:semiHidden/>
    <w:unhideWhenUsed/>
    <w:rsid w:val="00ED73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790</Words>
  <Characters>4508</Characters>
  <Application>Microsoft Office Word</Application>
  <DocSecurity>0</DocSecurity>
  <Lines>37</Lines>
  <Paragraphs>10</Paragraphs>
  <ScaleCrop>false</ScaleCrop>
  <Company>Agrocampus ouest</Company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LECUYER</dc:creator>
  <cp:keywords/>
  <dc:description/>
  <cp:lastModifiedBy>Romain LECUYER</cp:lastModifiedBy>
  <cp:revision>1</cp:revision>
  <dcterms:created xsi:type="dcterms:W3CDTF">2024-03-20T15:12:00Z</dcterms:created>
  <dcterms:modified xsi:type="dcterms:W3CDTF">2024-03-20T15:13:00Z</dcterms:modified>
</cp:coreProperties>
</file>