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73F29" w14:textId="52D64CD5" w:rsidR="00FE60A9" w:rsidRPr="00046083" w:rsidRDefault="00FE60A9" w:rsidP="008F011E">
      <w:pPr>
        <w:spacing w:line="360" w:lineRule="auto"/>
        <w:jc w:val="center"/>
        <w:rPr>
          <w:rFonts w:cstheme="minorHAnsi"/>
          <w:b/>
          <w:bCs/>
          <w:sz w:val="28"/>
          <w:szCs w:val="28"/>
        </w:rPr>
      </w:pPr>
      <w:r w:rsidRPr="00046083">
        <w:rPr>
          <w:rFonts w:cstheme="minorHAnsi"/>
          <w:b/>
          <w:bCs/>
          <w:sz w:val="28"/>
          <w:szCs w:val="28"/>
        </w:rPr>
        <w:t>Global patterns and drivers of fish reproductive potential on coral reefs</w:t>
      </w:r>
    </w:p>
    <w:p w14:paraId="5F0C9143" w14:textId="7140D8DF" w:rsidR="00F364CE" w:rsidRPr="008F011E" w:rsidRDefault="00FE60A9" w:rsidP="008F011E">
      <w:pPr>
        <w:spacing w:line="360" w:lineRule="auto"/>
        <w:jc w:val="center"/>
        <w:rPr>
          <w:rFonts w:cstheme="minorHAnsi"/>
          <w:b/>
          <w:bCs/>
          <w:sz w:val="28"/>
          <w:szCs w:val="28"/>
        </w:rPr>
      </w:pPr>
      <w:r w:rsidRPr="00046083">
        <w:rPr>
          <w:rFonts w:cstheme="minorHAnsi"/>
          <w:b/>
          <w:bCs/>
          <w:sz w:val="28"/>
          <w:szCs w:val="28"/>
        </w:rPr>
        <w:t>Supplementary material</w:t>
      </w:r>
    </w:p>
    <w:p w14:paraId="47BD5075" w14:textId="77777777" w:rsidR="00F364CE" w:rsidRDefault="00F364CE" w:rsidP="00F364CE"/>
    <w:tbl>
      <w:tblPr>
        <w:tblW w:w="0" w:type="auto"/>
        <w:tblCellMar>
          <w:top w:w="15" w:type="dxa"/>
          <w:left w:w="15" w:type="dxa"/>
          <w:bottom w:w="15" w:type="dxa"/>
          <w:right w:w="15" w:type="dxa"/>
        </w:tblCellMar>
        <w:tblLook w:val="04A0" w:firstRow="1" w:lastRow="0" w:firstColumn="1" w:lastColumn="0" w:noHBand="0" w:noVBand="1"/>
      </w:tblPr>
      <w:tblGrid>
        <w:gridCol w:w="2629"/>
        <w:gridCol w:w="2050"/>
        <w:gridCol w:w="755"/>
        <w:gridCol w:w="1515"/>
        <w:gridCol w:w="1036"/>
        <w:gridCol w:w="1041"/>
      </w:tblGrid>
      <w:tr w:rsidR="003E039C" w14:paraId="31D876FD" w14:textId="77777777" w:rsidTr="00FF602D">
        <w:tc>
          <w:tcPr>
            <w:tcW w:w="0" w:type="auto"/>
            <w:gridSpan w:val="6"/>
            <w:tcBorders>
              <w:top w:val="double" w:sz="6" w:space="0" w:color="auto"/>
              <w:bottom w:val="single" w:sz="6" w:space="0" w:color="000000"/>
            </w:tcBorders>
            <w:tcMar>
              <w:top w:w="113" w:type="dxa"/>
              <w:left w:w="113" w:type="dxa"/>
              <w:bottom w:w="113" w:type="dxa"/>
              <w:right w:w="113" w:type="dxa"/>
            </w:tcMar>
            <w:vAlign w:val="center"/>
          </w:tcPr>
          <w:p w14:paraId="580423A6" w14:textId="491FD272" w:rsidR="003E039C" w:rsidRDefault="003E039C" w:rsidP="003E039C">
            <w:pPr>
              <w:rPr>
                <w:rFonts w:eastAsia="Times New Roman"/>
                <w:i/>
                <w:iCs/>
              </w:rPr>
            </w:pPr>
            <w:r>
              <w:rPr>
                <w:rFonts w:eastAsia="Times New Roman"/>
                <w:b/>
                <w:bCs/>
              </w:rPr>
              <w:t>Supplementary Table 1. Median marginal fecundity (log + 1) and 95% UI by marine realm and protection</w:t>
            </w:r>
          </w:p>
        </w:tc>
      </w:tr>
      <w:tr w:rsidR="00301D0D" w14:paraId="31194F47" w14:textId="77777777" w:rsidTr="003E039C">
        <w:tc>
          <w:tcPr>
            <w:tcW w:w="0" w:type="auto"/>
            <w:tcBorders>
              <w:top w:val="double" w:sz="6" w:space="0" w:color="auto"/>
              <w:bottom w:val="single" w:sz="6" w:space="0" w:color="000000"/>
            </w:tcBorders>
            <w:tcMar>
              <w:top w:w="113" w:type="dxa"/>
              <w:left w:w="113" w:type="dxa"/>
              <w:bottom w:w="113" w:type="dxa"/>
              <w:right w:w="113" w:type="dxa"/>
            </w:tcMar>
            <w:vAlign w:val="center"/>
            <w:hideMark/>
          </w:tcPr>
          <w:p w14:paraId="4A93AB11" w14:textId="52EF2D28" w:rsidR="00301D0D" w:rsidRDefault="00301D0D" w:rsidP="004B6882">
            <w:pPr>
              <w:rPr>
                <w:rFonts w:eastAsia="Times New Roman"/>
                <w:i/>
                <w:iCs/>
              </w:rPr>
            </w:pPr>
            <w:r>
              <w:rPr>
                <w:rFonts w:eastAsia="Times New Roman"/>
                <w:i/>
                <w:iCs/>
              </w:rPr>
              <w:t>Marine realm</w:t>
            </w:r>
          </w:p>
        </w:tc>
        <w:tc>
          <w:tcPr>
            <w:tcW w:w="0" w:type="auto"/>
            <w:tcBorders>
              <w:top w:val="double" w:sz="6" w:space="0" w:color="auto"/>
              <w:bottom w:val="single" w:sz="6" w:space="0" w:color="000000"/>
            </w:tcBorders>
            <w:tcMar>
              <w:top w:w="113" w:type="dxa"/>
              <w:left w:w="113" w:type="dxa"/>
              <w:bottom w:w="113" w:type="dxa"/>
              <w:right w:w="113" w:type="dxa"/>
            </w:tcMar>
            <w:vAlign w:val="center"/>
            <w:hideMark/>
          </w:tcPr>
          <w:p w14:paraId="1E168E29" w14:textId="77777777" w:rsidR="00301D0D" w:rsidRDefault="00301D0D" w:rsidP="004B6882">
            <w:pPr>
              <w:rPr>
                <w:rFonts w:eastAsia="Times New Roman"/>
                <w:i/>
                <w:iCs/>
              </w:rPr>
            </w:pPr>
            <w:r>
              <w:rPr>
                <w:rFonts w:eastAsia="Times New Roman"/>
                <w:i/>
                <w:iCs/>
              </w:rPr>
              <w:t>Protection</w:t>
            </w:r>
          </w:p>
        </w:tc>
        <w:tc>
          <w:tcPr>
            <w:tcW w:w="0" w:type="auto"/>
            <w:tcBorders>
              <w:top w:val="double" w:sz="6" w:space="0" w:color="auto"/>
              <w:bottom w:val="single" w:sz="6" w:space="0" w:color="000000"/>
            </w:tcBorders>
            <w:tcMar>
              <w:top w:w="113" w:type="dxa"/>
              <w:left w:w="113" w:type="dxa"/>
              <w:bottom w:w="113" w:type="dxa"/>
              <w:right w:w="113" w:type="dxa"/>
            </w:tcMar>
            <w:vAlign w:val="center"/>
            <w:hideMark/>
          </w:tcPr>
          <w:p w14:paraId="62586C58" w14:textId="77777777" w:rsidR="00301D0D" w:rsidRDefault="00301D0D" w:rsidP="004B6882">
            <w:pPr>
              <w:rPr>
                <w:rFonts w:eastAsia="Times New Roman"/>
                <w:i/>
                <w:iCs/>
              </w:rPr>
            </w:pPr>
            <w:r>
              <w:rPr>
                <w:rFonts w:eastAsia="Times New Roman"/>
                <w:i/>
                <w:iCs/>
              </w:rPr>
              <w:t>n</w:t>
            </w:r>
          </w:p>
        </w:tc>
        <w:tc>
          <w:tcPr>
            <w:tcW w:w="0" w:type="auto"/>
            <w:tcBorders>
              <w:top w:val="double" w:sz="6" w:space="0" w:color="auto"/>
              <w:bottom w:val="single" w:sz="6" w:space="0" w:color="000000"/>
            </w:tcBorders>
            <w:tcMar>
              <w:top w:w="113" w:type="dxa"/>
              <w:left w:w="113" w:type="dxa"/>
              <w:bottom w:w="113" w:type="dxa"/>
              <w:right w:w="113" w:type="dxa"/>
            </w:tcMar>
            <w:vAlign w:val="center"/>
            <w:hideMark/>
          </w:tcPr>
          <w:p w14:paraId="754167AC" w14:textId="306DAE56" w:rsidR="00301D0D" w:rsidRDefault="00301D0D" w:rsidP="004B6882">
            <w:pPr>
              <w:rPr>
                <w:rFonts w:eastAsia="Times New Roman"/>
                <w:i/>
                <w:iCs/>
              </w:rPr>
            </w:pPr>
            <w:r>
              <w:rPr>
                <w:rFonts w:eastAsia="Times New Roman"/>
                <w:i/>
                <w:iCs/>
              </w:rPr>
              <w:t>Prediction</w:t>
            </w:r>
          </w:p>
        </w:tc>
        <w:tc>
          <w:tcPr>
            <w:tcW w:w="0" w:type="auto"/>
            <w:tcBorders>
              <w:top w:val="double" w:sz="6" w:space="0" w:color="auto"/>
              <w:bottom w:val="single" w:sz="6" w:space="0" w:color="000000"/>
            </w:tcBorders>
            <w:tcMar>
              <w:top w:w="113" w:type="dxa"/>
              <w:left w:w="113" w:type="dxa"/>
              <w:bottom w:w="113" w:type="dxa"/>
              <w:right w:w="113" w:type="dxa"/>
            </w:tcMar>
            <w:vAlign w:val="center"/>
            <w:hideMark/>
          </w:tcPr>
          <w:p w14:paraId="69332D6A" w14:textId="39C9AB20" w:rsidR="00301D0D" w:rsidRDefault="00301D0D" w:rsidP="004B6882">
            <w:pPr>
              <w:rPr>
                <w:rFonts w:eastAsia="Times New Roman"/>
                <w:i/>
                <w:iCs/>
              </w:rPr>
            </w:pPr>
            <w:r>
              <w:rPr>
                <w:rFonts w:eastAsia="Times New Roman"/>
                <w:i/>
                <w:iCs/>
              </w:rPr>
              <w:t>Lower</w:t>
            </w:r>
          </w:p>
        </w:tc>
        <w:tc>
          <w:tcPr>
            <w:tcW w:w="0" w:type="auto"/>
            <w:tcBorders>
              <w:top w:val="double" w:sz="6" w:space="0" w:color="auto"/>
              <w:bottom w:val="single" w:sz="6" w:space="0" w:color="000000"/>
            </w:tcBorders>
            <w:tcMar>
              <w:top w:w="113" w:type="dxa"/>
              <w:left w:w="113" w:type="dxa"/>
              <w:bottom w:w="113" w:type="dxa"/>
              <w:right w:w="113" w:type="dxa"/>
            </w:tcMar>
            <w:vAlign w:val="center"/>
            <w:hideMark/>
          </w:tcPr>
          <w:p w14:paraId="6B6225FB" w14:textId="41D7E953" w:rsidR="00301D0D" w:rsidRDefault="00301D0D" w:rsidP="004B6882">
            <w:pPr>
              <w:rPr>
                <w:rFonts w:eastAsia="Times New Roman"/>
                <w:i/>
                <w:iCs/>
              </w:rPr>
            </w:pPr>
            <w:r>
              <w:rPr>
                <w:rFonts w:eastAsia="Times New Roman"/>
                <w:i/>
                <w:iCs/>
              </w:rPr>
              <w:t>Upper</w:t>
            </w:r>
          </w:p>
        </w:tc>
      </w:tr>
      <w:tr w:rsidR="00301D0D" w14:paraId="65D350BB" w14:textId="77777777" w:rsidTr="003E039C">
        <w:tc>
          <w:tcPr>
            <w:tcW w:w="0" w:type="auto"/>
            <w:tcMar>
              <w:top w:w="113" w:type="dxa"/>
              <w:left w:w="113" w:type="dxa"/>
              <w:bottom w:w="113" w:type="dxa"/>
              <w:right w:w="113" w:type="dxa"/>
            </w:tcMar>
            <w:hideMark/>
          </w:tcPr>
          <w:p w14:paraId="330319A1" w14:textId="77777777" w:rsidR="00301D0D" w:rsidRDefault="00301D0D" w:rsidP="003E5A1C">
            <w:pPr>
              <w:rPr>
                <w:rFonts w:eastAsia="Times New Roman"/>
              </w:rPr>
            </w:pPr>
            <w:r>
              <w:rPr>
                <w:rFonts w:eastAsia="Times New Roman"/>
              </w:rPr>
              <w:t>Central Indo-Pacific</w:t>
            </w:r>
          </w:p>
        </w:tc>
        <w:tc>
          <w:tcPr>
            <w:tcW w:w="0" w:type="auto"/>
            <w:tcMar>
              <w:top w:w="113" w:type="dxa"/>
              <w:left w:w="113" w:type="dxa"/>
              <w:bottom w:w="113" w:type="dxa"/>
              <w:right w:w="113" w:type="dxa"/>
            </w:tcMar>
            <w:hideMark/>
          </w:tcPr>
          <w:p w14:paraId="18FB103B" w14:textId="77777777" w:rsidR="00301D0D" w:rsidRDefault="00301D0D" w:rsidP="004B6882">
            <w:pPr>
              <w:rPr>
                <w:rFonts w:eastAsia="Times New Roman"/>
              </w:rPr>
            </w:pPr>
            <w:r>
              <w:rPr>
                <w:rFonts w:eastAsia="Times New Roman"/>
              </w:rPr>
              <w:t>Fished</w:t>
            </w:r>
          </w:p>
        </w:tc>
        <w:tc>
          <w:tcPr>
            <w:tcW w:w="0" w:type="auto"/>
            <w:tcMar>
              <w:top w:w="113" w:type="dxa"/>
              <w:left w:w="113" w:type="dxa"/>
              <w:bottom w:w="113" w:type="dxa"/>
              <w:right w:w="113" w:type="dxa"/>
            </w:tcMar>
            <w:hideMark/>
          </w:tcPr>
          <w:p w14:paraId="72AA59A2" w14:textId="77777777" w:rsidR="00301D0D" w:rsidRDefault="00301D0D" w:rsidP="003E5A1C">
            <w:pPr>
              <w:jc w:val="center"/>
              <w:rPr>
                <w:rFonts w:eastAsia="Times New Roman"/>
              </w:rPr>
            </w:pPr>
            <w:r>
              <w:rPr>
                <w:rFonts w:eastAsia="Times New Roman"/>
              </w:rPr>
              <w:t>469</w:t>
            </w:r>
          </w:p>
        </w:tc>
        <w:tc>
          <w:tcPr>
            <w:tcW w:w="0" w:type="auto"/>
            <w:tcMar>
              <w:top w:w="113" w:type="dxa"/>
              <w:left w:w="113" w:type="dxa"/>
              <w:bottom w:w="113" w:type="dxa"/>
              <w:right w:w="113" w:type="dxa"/>
            </w:tcMar>
            <w:hideMark/>
          </w:tcPr>
          <w:p w14:paraId="0C3D9085" w14:textId="77777777" w:rsidR="00301D0D" w:rsidRDefault="00301D0D" w:rsidP="003E5A1C">
            <w:pPr>
              <w:jc w:val="center"/>
              <w:rPr>
                <w:rFonts w:eastAsia="Times New Roman"/>
              </w:rPr>
            </w:pPr>
            <w:r>
              <w:rPr>
                <w:rFonts w:eastAsia="Times New Roman"/>
              </w:rPr>
              <w:t>18.15</w:t>
            </w:r>
          </w:p>
        </w:tc>
        <w:tc>
          <w:tcPr>
            <w:tcW w:w="0" w:type="auto"/>
            <w:tcMar>
              <w:top w:w="113" w:type="dxa"/>
              <w:left w:w="113" w:type="dxa"/>
              <w:bottom w:w="113" w:type="dxa"/>
              <w:right w:w="113" w:type="dxa"/>
            </w:tcMar>
            <w:hideMark/>
          </w:tcPr>
          <w:p w14:paraId="30DDEAC0" w14:textId="77777777" w:rsidR="00301D0D" w:rsidRDefault="00301D0D" w:rsidP="003E5A1C">
            <w:pPr>
              <w:jc w:val="center"/>
              <w:rPr>
                <w:rFonts w:eastAsia="Times New Roman"/>
              </w:rPr>
            </w:pPr>
            <w:r>
              <w:rPr>
                <w:rFonts w:eastAsia="Times New Roman"/>
              </w:rPr>
              <w:t>16.55</w:t>
            </w:r>
          </w:p>
        </w:tc>
        <w:tc>
          <w:tcPr>
            <w:tcW w:w="0" w:type="auto"/>
            <w:tcMar>
              <w:top w:w="113" w:type="dxa"/>
              <w:left w:w="113" w:type="dxa"/>
              <w:bottom w:w="113" w:type="dxa"/>
              <w:right w:w="113" w:type="dxa"/>
            </w:tcMar>
            <w:hideMark/>
          </w:tcPr>
          <w:p w14:paraId="4C839693" w14:textId="77777777" w:rsidR="00301D0D" w:rsidRDefault="00301D0D" w:rsidP="003E5A1C">
            <w:pPr>
              <w:jc w:val="center"/>
              <w:rPr>
                <w:rFonts w:eastAsia="Times New Roman"/>
              </w:rPr>
            </w:pPr>
            <w:r>
              <w:rPr>
                <w:rFonts w:eastAsia="Times New Roman"/>
              </w:rPr>
              <w:t>19.49</w:t>
            </w:r>
          </w:p>
        </w:tc>
      </w:tr>
      <w:tr w:rsidR="00301D0D" w14:paraId="2B91C8E2" w14:textId="77777777" w:rsidTr="003E039C">
        <w:tc>
          <w:tcPr>
            <w:tcW w:w="0" w:type="auto"/>
            <w:tcMar>
              <w:top w:w="113" w:type="dxa"/>
              <w:left w:w="113" w:type="dxa"/>
              <w:bottom w:w="113" w:type="dxa"/>
              <w:right w:w="113" w:type="dxa"/>
            </w:tcMar>
            <w:hideMark/>
          </w:tcPr>
          <w:p w14:paraId="76CD068C" w14:textId="77777777" w:rsidR="00301D0D" w:rsidRDefault="00301D0D" w:rsidP="003E5A1C">
            <w:pPr>
              <w:rPr>
                <w:rFonts w:eastAsia="Times New Roman"/>
              </w:rPr>
            </w:pPr>
            <w:r>
              <w:rPr>
                <w:rFonts w:eastAsia="Times New Roman"/>
              </w:rPr>
              <w:t>Central Indo-Pacific</w:t>
            </w:r>
          </w:p>
        </w:tc>
        <w:tc>
          <w:tcPr>
            <w:tcW w:w="0" w:type="auto"/>
            <w:tcMar>
              <w:top w:w="113" w:type="dxa"/>
              <w:left w:w="113" w:type="dxa"/>
              <w:bottom w:w="113" w:type="dxa"/>
              <w:right w:w="113" w:type="dxa"/>
            </w:tcMar>
            <w:hideMark/>
          </w:tcPr>
          <w:p w14:paraId="3281294A" w14:textId="77777777" w:rsidR="00301D0D" w:rsidRDefault="00301D0D" w:rsidP="004B6882">
            <w:pPr>
              <w:rPr>
                <w:rFonts w:eastAsia="Times New Roman"/>
              </w:rPr>
            </w:pPr>
            <w:r>
              <w:rPr>
                <w:rFonts w:eastAsia="Times New Roman"/>
              </w:rPr>
              <w:t>Restricted</w:t>
            </w:r>
          </w:p>
        </w:tc>
        <w:tc>
          <w:tcPr>
            <w:tcW w:w="0" w:type="auto"/>
            <w:tcMar>
              <w:top w:w="113" w:type="dxa"/>
              <w:left w:w="113" w:type="dxa"/>
              <w:bottom w:w="113" w:type="dxa"/>
              <w:right w:w="113" w:type="dxa"/>
            </w:tcMar>
            <w:hideMark/>
          </w:tcPr>
          <w:p w14:paraId="2019BC19" w14:textId="77777777" w:rsidR="00301D0D" w:rsidRDefault="00301D0D" w:rsidP="003E5A1C">
            <w:pPr>
              <w:jc w:val="center"/>
              <w:rPr>
                <w:rFonts w:eastAsia="Times New Roman"/>
              </w:rPr>
            </w:pPr>
            <w:r>
              <w:rPr>
                <w:rFonts w:eastAsia="Times New Roman"/>
              </w:rPr>
              <w:t>198</w:t>
            </w:r>
          </w:p>
        </w:tc>
        <w:tc>
          <w:tcPr>
            <w:tcW w:w="0" w:type="auto"/>
            <w:tcMar>
              <w:top w:w="113" w:type="dxa"/>
              <w:left w:w="113" w:type="dxa"/>
              <w:bottom w:w="113" w:type="dxa"/>
              <w:right w:w="113" w:type="dxa"/>
            </w:tcMar>
            <w:hideMark/>
          </w:tcPr>
          <w:p w14:paraId="1651D81C" w14:textId="77777777" w:rsidR="00301D0D" w:rsidRDefault="00301D0D" w:rsidP="003E5A1C">
            <w:pPr>
              <w:jc w:val="center"/>
              <w:rPr>
                <w:rFonts w:eastAsia="Times New Roman"/>
              </w:rPr>
            </w:pPr>
            <w:r>
              <w:rPr>
                <w:rFonts w:eastAsia="Times New Roman"/>
              </w:rPr>
              <w:t>17.95</w:t>
            </w:r>
          </w:p>
        </w:tc>
        <w:tc>
          <w:tcPr>
            <w:tcW w:w="0" w:type="auto"/>
            <w:tcMar>
              <w:top w:w="113" w:type="dxa"/>
              <w:left w:w="113" w:type="dxa"/>
              <w:bottom w:w="113" w:type="dxa"/>
              <w:right w:w="113" w:type="dxa"/>
            </w:tcMar>
            <w:hideMark/>
          </w:tcPr>
          <w:p w14:paraId="5CDC7985" w14:textId="77777777" w:rsidR="00301D0D" w:rsidRDefault="00301D0D" w:rsidP="003E5A1C">
            <w:pPr>
              <w:jc w:val="center"/>
              <w:rPr>
                <w:rFonts w:eastAsia="Times New Roman"/>
              </w:rPr>
            </w:pPr>
            <w:r>
              <w:rPr>
                <w:rFonts w:eastAsia="Times New Roman"/>
              </w:rPr>
              <w:t>17.01</w:t>
            </w:r>
          </w:p>
        </w:tc>
        <w:tc>
          <w:tcPr>
            <w:tcW w:w="0" w:type="auto"/>
            <w:tcMar>
              <w:top w:w="113" w:type="dxa"/>
              <w:left w:w="113" w:type="dxa"/>
              <w:bottom w:w="113" w:type="dxa"/>
              <w:right w:w="113" w:type="dxa"/>
            </w:tcMar>
            <w:hideMark/>
          </w:tcPr>
          <w:p w14:paraId="112ECADF" w14:textId="77777777" w:rsidR="00301D0D" w:rsidRDefault="00301D0D" w:rsidP="003E5A1C">
            <w:pPr>
              <w:jc w:val="center"/>
              <w:rPr>
                <w:rFonts w:eastAsia="Times New Roman"/>
              </w:rPr>
            </w:pPr>
            <w:r>
              <w:rPr>
                <w:rFonts w:eastAsia="Times New Roman"/>
              </w:rPr>
              <w:t>19.06</w:t>
            </w:r>
          </w:p>
        </w:tc>
      </w:tr>
      <w:tr w:rsidR="00301D0D" w14:paraId="68333EB8" w14:textId="77777777" w:rsidTr="003E039C">
        <w:tc>
          <w:tcPr>
            <w:tcW w:w="0" w:type="auto"/>
            <w:tcMar>
              <w:top w:w="113" w:type="dxa"/>
              <w:left w:w="113" w:type="dxa"/>
              <w:bottom w:w="113" w:type="dxa"/>
              <w:right w:w="113" w:type="dxa"/>
            </w:tcMar>
            <w:hideMark/>
          </w:tcPr>
          <w:p w14:paraId="12D446EB" w14:textId="77777777" w:rsidR="00301D0D" w:rsidRDefault="00301D0D" w:rsidP="003E5A1C">
            <w:pPr>
              <w:rPr>
                <w:rFonts w:eastAsia="Times New Roman"/>
              </w:rPr>
            </w:pPr>
            <w:r>
              <w:rPr>
                <w:rFonts w:eastAsia="Times New Roman"/>
              </w:rPr>
              <w:t>Central Indo-Pacific</w:t>
            </w:r>
          </w:p>
        </w:tc>
        <w:tc>
          <w:tcPr>
            <w:tcW w:w="0" w:type="auto"/>
            <w:tcMar>
              <w:top w:w="113" w:type="dxa"/>
              <w:left w:w="113" w:type="dxa"/>
              <w:bottom w:w="113" w:type="dxa"/>
              <w:right w:w="113" w:type="dxa"/>
            </w:tcMar>
            <w:hideMark/>
          </w:tcPr>
          <w:p w14:paraId="74B15D6A" w14:textId="6DA10AFF" w:rsidR="00301D0D" w:rsidRDefault="00301D0D" w:rsidP="004B6882">
            <w:pPr>
              <w:rPr>
                <w:rFonts w:eastAsia="Times New Roman"/>
              </w:rPr>
            </w:pPr>
            <w:r>
              <w:rPr>
                <w:rFonts w:eastAsia="Times New Roman"/>
              </w:rPr>
              <w:t>Fully Protected</w:t>
            </w:r>
          </w:p>
        </w:tc>
        <w:tc>
          <w:tcPr>
            <w:tcW w:w="0" w:type="auto"/>
            <w:tcMar>
              <w:top w:w="113" w:type="dxa"/>
              <w:left w:w="113" w:type="dxa"/>
              <w:bottom w:w="113" w:type="dxa"/>
              <w:right w:w="113" w:type="dxa"/>
            </w:tcMar>
            <w:hideMark/>
          </w:tcPr>
          <w:p w14:paraId="5359A69D" w14:textId="77777777" w:rsidR="00301D0D" w:rsidRDefault="00301D0D" w:rsidP="003E5A1C">
            <w:pPr>
              <w:jc w:val="center"/>
              <w:rPr>
                <w:rFonts w:eastAsia="Times New Roman"/>
              </w:rPr>
            </w:pPr>
            <w:r>
              <w:rPr>
                <w:rFonts w:eastAsia="Times New Roman"/>
              </w:rPr>
              <w:t>22</w:t>
            </w:r>
          </w:p>
        </w:tc>
        <w:tc>
          <w:tcPr>
            <w:tcW w:w="0" w:type="auto"/>
            <w:tcMar>
              <w:top w:w="113" w:type="dxa"/>
              <w:left w:w="113" w:type="dxa"/>
              <w:bottom w:w="113" w:type="dxa"/>
              <w:right w:w="113" w:type="dxa"/>
            </w:tcMar>
            <w:hideMark/>
          </w:tcPr>
          <w:p w14:paraId="3159BFA9" w14:textId="77777777" w:rsidR="00301D0D" w:rsidRDefault="00301D0D" w:rsidP="003E5A1C">
            <w:pPr>
              <w:jc w:val="center"/>
              <w:rPr>
                <w:rFonts w:eastAsia="Times New Roman"/>
              </w:rPr>
            </w:pPr>
            <w:r>
              <w:rPr>
                <w:rFonts w:eastAsia="Times New Roman"/>
              </w:rPr>
              <w:t>17.69</w:t>
            </w:r>
          </w:p>
        </w:tc>
        <w:tc>
          <w:tcPr>
            <w:tcW w:w="0" w:type="auto"/>
            <w:tcMar>
              <w:top w:w="113" w:type="dxa"/>
              <w:left w:w="113" w:type="dxa"/>
              <w:bottom w:w="113" w:type="dxa"/>
              <w:right w:w="113" w:type="dxa"/>
            </w:tcMar>
            <w:hideMark/>
          </w:tcPr>
          <w:p w14:paraId="5B1A7C14" w14:textId="77777777" w:rsidR="00301D0D" w:rsidRDefault="00301D0D" w:rsidP="003E5A1C">
            <w:pPr>
              <w:jc w:val="center"/>
              <w:rPr>
                <w:rFonts w:eastAsia="Times New Roman"/>
              </w:rPr>
            </w:pPr>
            <w:r>
              <w:rPr>
                <w:rFonts w:eastAsia="Times New Roman"/>
              </w:rPr>
              <w:t>17.15</w:t>
            </w:r>
          </w:p>
        </w:tc>
        <w:tc>
          <w:tcPr>
            <w:tcW w:w="0" w:type="auto"/>
            <w:tcMar>
              <w:top w:w="113" w:type="dxa"/>
              <w:left w:w="113" w:type="dxa"/>
              <w:bottom w:w="113" w:type="dxa"/>
              <w:right w:w="113" w:type="dxa"/>
            </w:tcMar>
            <w:hideMark/>
          </w:tcPr>
          <w:p w14:paraId="2216E242" w14:textId="77777777" w:rsidR="00301D0D" w:rsidRDefault="00301D0D" w:rsidP="003E5A1C">
            <w:pPr>
              <w:jc w:val="center"/>
              <w:rPr>
                <w:rFonts w:eastAsia="Times New Roman"/>
              </w:rPr>
            </w:pPr>
            <w:r>
              <w:rPr>
                <w:rFonts w:eastAsia="Times New Roman"/>
              </w:rPr>
              <w:t>19.02</w:t>
            </w:r>
          </w:p>
        </w:tc>
      </w:tr>
      <w:tr w:rsidR="00301D0D" w14:paraId="64F84F61" w14:textId="77777777" w:rsidTr="003E039C">
        <w:tc>
          <w:tcPr>
            <w:tcW w:w="0" w:type="auto"/>
            <w:tcMar>
              <w:top w:w="113" w:type="dxa"/>
              <w:left w:w="113" w:type="dxa"/>
              <w:bottom w:w="113" w:type="dxa"/>
              <w:right w:w="113" w:type="dxa"/>
            </w:tcMar>
            <w:hideMark/>
          </w:tcPr>
          <w:p w14:paraId="10F9F4A2" w14:textId="77777777" w:rsidR="00301D0D" w:rsidRDefault="00301D0D" w:rsidP="003E5A1C">
            <w:pPr>
              <w:rPr>
                <w:rFonts w:eastAsia="Times New Roman"/>
              </w:rPr>
            </w:pPr>
            <w:r>
              <w:rPr>
                <w:rFonts w:eastAsia="Times New Roman"/>
              </w:rPr>
              <w:t>Eastern Indo-Pacific</w:t>
            </w:r>
          </w:p>
        </w:tc>
        <w:tc>
          <w:tcPr>
            <w:tcW w:w="0" w:type="auto"/>
            <w:tcMar>
              <w:top w:w="113" w:type="dxa"/>
              <w:left w:w="113" w:type="dxa"/>
              <w:bottom w:w="113" w:type="dxa"/>
              <w:right w:w="113" w:type="dxa"/>
            </w:tcMar>
            <w:hideMark/>
          </w:tcPr>
          <w:p w14:paraId="602AB1E2" w14:textId="77777777" w:rsidR="00301D0D" w:rsidRDefault="00301D0D" w:rsidP="004B6882">
            <w:pPr>
              <w:rPr>
                <w:rFonts w:eastAsia="Times New Roman"/>
              </w:rPr>
            </w:pPr>
            <w:r>
              <w:rPr>
                <w:rFonts w:eastAsia="Times New Roman"/>
              </w:rPr>
              <w:t>Fished</w:t>
            </w:r>
          </w:p>
        </w:tc>
        <w:tc>
          <w:tcPr>
            <w:tcW w:w="0" w:type="auto"/>
            <w:tcMar>
              <w:top w:w="113" w:type="dxa"/>
              <w:left w:w="113" w:type="dxa"/>
              <w:bottom w:w="113" w:type="dxa"/>
              <w:right w:w="113" w:type="dxa"/>
            </w:tcMar>
            <w:hideMark/>
          </w:tcPr>
          <w:p w14:paraId="60F70C6F" w14:textId="77777777" w:rsidR="00301D0D" w:rsidRDefault="00301D0D" w:rsidP="003E5A1C">
            <w:pPr>
              <w:jc w:val="center"/>
              <w:rPr>
                <w:rFonts w:eastAsia="Times New Roman"/>
              </w:rPr>
            </w:pPr>
            <w:r>
              <w:rPr>
                <w:rFonts w:eastAsia="Times New Roman"/>
              </w:rPr>
              <w:t>500</w:t>
            </w:r>
          </w:p>
        </w:tc>
        <w:tc>
          <w:tcPr>
            <w:tcW w:w="0" w:type="auto"/>
            <w:tcMar>
              <w:top w:w="113" w:type="dxa"/>
              <w:left w:w="113" w:type="dxa"/>
              <w:bottom w:w="113" w:type="dxa"/>
              <w:right w:w="113" w:type="dxa"/>
            </w:tcMar>
            <w:hideMark/>
          </w:tcPr>
          <w:p w14:paraId="00A4D64B" w14:textId="77777777" w:rsidR="00301D0D" w:rsidRDefault="00301D0D" w:rsidP="003E5A1C">
            <w:pPr>
              <w:jc w:val="center"/>
              <w:rPr>
                <w:rFonts w:eastAsia="Times New Roman"/>
              </w:rPr>
            </w:pPr>
            <w:r>
              <w:rPr>
                <w:rFonts w:eastAsia="Times New Roman"/>
              </w:rPr>
              <w:t>17.60</w:t>
            </w:r>
          </w:p>
        </w:tc>
        <w:tc>
          <w:tcPr>
            <w:tcW w:w="0" w:type="auto"/>
            <w:tcMar>
              <w:top w:w="113" w:type="dxa"/>
              <w:left w:w="113" w:type="dxa"/>
              <w:bottom w:w="113" w:type="dxa"/>
              <w:right w:w="113" w:type="dxa"/>
            </w:tcMar>
            <w:hideMark/>
          </w:tcPr>
          <w:p w14:paraId="4EBDB82A" w14:textId="77777777" w:rsidR="00301D0D" w:rsidRDefault="00301D0D" w:rsidP="003E5A1C">
            <w:pPr>
              <w:jc w:val="center"/>
              <w:rPr>
                <w:rFonts w:eastAsia="Times New Roman"/>
              </w:rPr>
            </w:pPr>
            <w:r>
              <w:rPr>
                <w:rFonts w:eastAsia="Times New Roman"/>
              </w:rPr>
              <w:t>16.67</w:t>
            </w:r>
          </w:p>
        </w:tc>
        <w:tc>
          <w:tcPr>
            <w:tcW w:w="0" w:type="auto"/>
            <w:tcMar>
              <w:top w:w="113" w:type="dxa"/>
              <w:left w:w="113" w:type="dxa"/>
              <w:bottom w:w="113" w:type="dxa"/>
              <w:right w:w="113" w:type="dxa"/>
            </w:tcMar>
            <w:hideMark/>
          </w:tcPr>
          <w:p w14:paraId="5F4EF095" w14:textId="77777777" w:rsidR="00301D0D" w:rsidRDefault="00301D0D" w:rsidP="003E5A1C">
            <w:pPr>
              <w:jc w:val="center"/>
              <w:rPr>
                <w:rFonts w:eastAsia="Times New Roman"/>
              </w:rPr>
            </w:pPr>
            <w:r>
              <w:rPr>
                <w:rFonts w:eastAsia="Times New Roman"/>
              </w:rPr>
              <w:t>18.52</w:t>
            </w:r>
          </w:p>
        </w:tc>
      </w:tr>
      <w:tr w:rsidR="00301D0D" w14:paraId="61B81121" w14:textId="77777777" w:rsidTr="003E039C">
        <w:tc>
          <w:tcPr>
            <w:tcW w:w="0" w:type="auto"/>
            <w:tcMar>
              <w:top w:w="113" w:type="dxa"/>
              <w:left w:w="113" w:type="dxa"/>
              <w:bottom w:w="113" w:type="dxa"/>
              <w:right w:w="113" w:type="dxa"/>
            </w:tcMar>
            <w:hideMark/>
          </w:tcPr>
          <w:p w14:paraId="250A1D1F" w14:textId="77777777" w:rsidR="00301D0D" w:rsidRDefault="00301D0D" w:rsidP="003E5A1C">
            <w:pPr>
              <w:rPr>
                <w:rFonts w:eastAsia="Times New Roman"/>
              </w:rPr>
            </w:pPr>
            <w:r>
              <w:rPr>
                <w:rFonts w:eastAsia="Times New Roman"/>
              </w:rPr>
              <w:t>Eastern Indo-Pacific</w:t>
            </w:r>
          </w:p>
        </w:tc>
        <w:tc>
          <w:tcPr>
            <w:tcW w:w="0" w:type="auto"/>
            <w:tcMar>
              <w:top w:w="113" w:type="dxa"/>
              <w:left w:w="113" w:type="dxa"/>
              <w:bottom w:w="113" w:type="dxa"/>
              <w:right w:w="113" w:type="dxa"/>
            </w:tcMar>
            <w:hideMark/>
          </w:tcPr>
          <w:p w14:paraId="100C02C9" w14:textId="77777777" w:rsidR="00301D0D" w:rsidRDefault="00301D0D" w:rsidP="004B6882">
            <w:pPr>
              <w:rPr>
                <w:rFonts w:eastAsia="Times New Roman"/>
              </w:rPr>
            </w:pPr>
            <w:r>
              <w:rPr>
                <w:rFonts w:eastAsia="Times New Roman"/>
              </w:rPr>
              <w:t>Restricted</w:t>
            </w:r>
          </w:p>
        </w:tc>
        <w:tc>
          <w:tcPr>
            <w:tcW w:w="0" w:type="auto"/>
            <w:tcMar>
              <w:top w:w="113" w:type="dxa"/>
              <w:left w:w="113" w:type="dxa"/>
              <w:bottom w:w="113" w:type="dxa"/>
              <w:right w:w="113" w:type="dxa"/>
            </w:tcMar>
            <w:hideMark/>
          </w:tcPr>
          <w:p w14:paraId="37D3884D" w14:textId="77777777" w:rsidR="00301D0D" w:rsidRDefault="00301D0D" w:rsidP="003E5A1C">
            <w:pPr>
              <w:jc w:val="center"/>
              <w:rPr>
                <w:rFonts w:eastAsia="Times New Roman"/>
              </w:rPr>
            </w:pPr>
            <w:r>
              <w:rPr>
                <w:rFonts w:eastAsia="Times New Roman"/>
              </w:rPr>
              <w:t>120</w:t>
            </w:r>
          </w:p>
        </w:tc>
        <w:tc>
          <w:tcPr>
            <w:tcW w:w="0" w:type="auto"/>
            <w:tcMar>
              <w:top w:w="113" w:type="dxa"/>
              <w:left w:w="113" w:type="dxa"/>
              <w:bottom w:w="113" w:type="dxa"/>
              <w:right w:w="113" w:type="dxa"/>
            </w:tcMar>
            <w:hideMark/>
          </w:tcPr>
          <w:p w14:paraId="4920BD0D" w14:textId="77777777" w:rsidR="00301D0D" w:rsidRDefault="00301D0D" w:rsidP="003E5A1C">
            <w:pPr>
              <w:jc w:val="center"/>
              <w:rPr>
                <w:rFonts w:eastAsia="Times New Roman"/>
              </w:rPr>
            </w:pPr>
            <w:r>
              <w:rPr>
                <w:rFonts w:eastAsia="Times New Roman"/>
              </w:rPr>
              <w:t>17.98</w:t>
            </w:r>
          </w:p>
        </w:tc>
        <w:tc>
          <w:tcPr>
            <w:tcW w:w="0" w:type="auto"/>
            <w:tcMar>
              <w:top w:w="113" w:type="dxa"/>
              <w:left w:w="113" w:type="dxa"/>
              <w:bottom w:w="113" w:type="dxa"/>
              <w:right w:w="113" w:type="dxa"/>
            </w:tcMar>
            <w:hideMark/>
          </w:tcPr>
          <w:p w14:paraId="080175B7" w14:textId="77777777" w:rsidR="00301D0D" w:rsidRDefault="00301D0D" w:rsidP="003E5A1C">
            <w:pPr>
              <w:jc w:val="center"/>
              <w:rPr>
                <w:rFonts w:eastAsia="Times New Roman"/>
              </w:rPr>
            </w:pPr>
            <w:r>
              <w:rPr>
                <w:rFonts w:eastAsia="Times New Roman"/>
              </w:rPr>
              <w:t>17.10</w:t>
            </w:r>
          </w:p>
        </w:tc>
        <w:tc>
          <w:tcPr>
            <w:tcW w:w="0" w:type="auto"/>
            <w:tcMar>
              <w:top w:w="113" w:type="dxa"/>
              <w:left w:w="113" w:type="dxa"/>
              <w:bottom w:w="113" w:type="dxa"/>
              <w:right w:w="113" w:type="dxa"/>
            </w:tcMar>
            <w:hideMark/>
          </w:tcPr>
          <w:p w14:paraId="3B0DA6BA" w14:textId="77777777" w:rsidR="00301D0D" w:rsidRDefault="00301D0D" w:rsidP="003E5A1C">
            <w:pPr>
              <w:jc w:val="center"/>
              <w:rPr>
                <w:rFonts w:eastAsia="Times New Roman"/>
              </w:rPr>
            </w:pPr>
            <w:r>
              <w:rPr>
                <w:rFonts w:eastAsia="Times New Roman"/>
              </w:rPr>
              <w:t>18.85</w:t>
            </w:r>
          </w:p>
        </w:tc>
      </w:tr>
      <w:tr w:rsidR="00301D0D" w14:paraId="5C35B8A6" w14:textId="77777777" w:rsidTr="003E039C">
        <w:tc>
          <w:tcPr>
            <w:tcW w:w="0" w:type="auto"/>
            <w:tcMar>
              <w:top w:w="113" w:type="dxa"/>
              <w:left w:w="113" w:type="dxa"/>
              <w:bottom w:w="113" w:type="dxa"/>
              <w:right w:w="113" w:type="dxa"/>
            </w:tcMar>
            <w:hideMark/>
          </w:tcPr>
          <w:p w14:paraId="6D76039D" w14:textId="77777777" w:rsidR="00301D0D" w:rsidRDefault="00301D0D" w:rsidP="003E5A1C">
            <w:pPr>
              <w:rPr>
                <w:rFonts w:eastAsia="Times New Roman"/>
              </w:rPr>
            </w:pPr>
            <w:r>
              <w:rPr>
                <w:rFonts w:eastAsia="Times New Roman"/>
              </w:rPr>
              <w:t>Eastern Indo-Pacific</w:t>
            </w:r>
          </w:p>
        </w:tc>
        <w:tc>
          <w:tcPr>
            <w:tcW w:w="0" w:type="auto"/>
            <w:tcMar>
              <w:top w:w="113" w:type="dxa"/>
              <w:left w:w="113" w:type="dxa"/>
              <w:bottom w:w="113" w:type="dxa"/>
              <w:right w:w="113" w:type="dxa"/>
            </w:tcMar>
            <w:hideMark/>
          </w:tcPr>
          <w:p w14:paraId="63759C10" w14:textId="7E7F6D4F" w:rsidR="00301D0D" w:rsidRDefault="00301D0D" w:rsidP="004B6882">
            <w:pPr>
              <w:rPr>
                <w:rFonts w:eastAsia="Times New Roman"/>
              </w:rPr>
            </w:pPr>
            <w:r>
              <w:rPr>
                <w:rFonts w:eastAsia="Times New Roman"/>
              </w:rPr>
              <w:t>Fully Protected</w:t>
            </w:r>
          </w:p>
        </w:tc>
        <w:tc>
          <w:tcPr>
            <w:tcW w:w="0" w:type="auto"/>
            <w:tcMar>
              <w:top w:w="113" w:type="dxa"/>
              <w:left w:w="113" w:type="dxa"/>
              <w:bottom w:w="113" w:type="dxa"/>
              <w:right w:w="113" w:type="dxa"/>
            </w:tcMar>
            <w:hideMark/>
          </w:tcPr>
          <w:p w14:paraId="31F0FF95" w14:textId="77777777" w:rsidR="00301D0D" w:rsidRDefault="00301D0D" w:rsidP="003E5A1C">
            <w:pPr>
              <w:jc w:val="center"/>
              <w:rPr>
                <w:rFonts w:eastAsia="Times New Roman"/>
              </w:rPr>
            </w:pPr>
            <w:r>
              <w:rPr>
                <w:rFonts w:eastAsia="Times New Roman"/>
              </w:rPr>
              <w:t>2</w:t>
            </w:r>
          </w:p>
        </w:tc>
        <w:tc>
          <w:tcPr>
            <w:tcW w:w="0" w:type="auto"/>
            <w:tcMar>
              <w:top w:w="113" w:type="dxa"/>
              <w:left w:w="113" w:type="dxa"/>
              <w:bottom w:w="113" w:type="dxa"/>
              <w:right w:w="113" w:type="dxa"/>
            </w:tcMar>
            <w:hideMark/>
          </w:tcPr>
          <w:p w14:paraId="0589D4F1" w14:textId="77777777" w:rsidR="00301D0D" w:rsidRDefault="00301D0D" w:rsidP="003E5A1C">
            <w:pPr>
              <w:jc w:val="center"/>
              <w:rPr>
                <w:rFonts w:eastAsia="Times New Roman"/>
              </w:rPr>
            </w:pPr>
            <w:r>
              <w:rPr>
                <w:rFonts w:eastAsia="Times New Roman"/>
              </w:rPr>
              <w:t>18.26</w:t>
            </w:r>
          </w:p>
        </w:tc>
        <w:tc>
          <w:tcPr>
            <w:tcW w:w="0" w:type="auto"/>
            <w:tcMar>
              <w:top w:w="113" w:type="dxa"/>
              <w:left w:w="113" w:type="dxa"/>
              <w:bottom w:w="113" w:type="dxa"/>
              <w:right w:w="113" w:type="dxa"/>
            </w:tcMar>
            <w:hideMark/>
          </w:tcPr>
          <w:p w14:paraId="13BAE4EA" w14:textId="77777777" w:rsidR="00301D0D" w:rsidRDefault="00301D0D" w:rsidP="003E5A1C">
            <w:pPr>
              <w:jc w:val="center"/>
              <w:rPr>
                <w:rFonts w:eastAsia="Times New Roman"/>
              </w:rPr>
            </w:pPr>
            <w:r>
              <w:rPr>
                <w:rFonts w:eastAsia="Times New Roman"/>
              </w:rPr>
              <w:t>18.26</w:t>
            </w:r>
          </w:p>
        </w:tc>
        <w:tc>
          <w:tcPr>
            <w:tcW w:w="0" w:type="auto"/>
            <w:tcMar>
              <w:top w:w="113" w:type="dxa"/>
              <w:left w:w="113" w:type="dxa"/>
              <w:bottom w:w="113" w:type="dxa"/>
              <w:right w:w="113" w:type="dxa"/>
            </w:tcMar>
            <w:hideMark/>
          </w:tcPr>
          <w:p w14:paraId="03ECA3CD" w14:textId="77777777" w:rsidR="00301D0D" w:rsidRDefault="00301D0D" w:rsidP="003E5A1C">
            <w:pPr>
              <w:jc w:val="center"/>
              <w:rPr>
                <w:rFonts w:eastAsia="Times New Roman"/>
              </w:rPr>
            </w:pPr>
            <w:r>
              <w:rPr>
                <w:rFonts w:eastAsia="Times New Roman"/>
              </w:rPr>
              <w:t>18.26</w:t>
            </w:r>
          </w:p>
        </w:tc>
      </w:tr>
      <w:tr w:rsidR="00301D0D" w14:paraId="1A6D4329" w14:textId="77777777" w:rsidTr="003E039C">
        <w:tc>
          <w:tcPr>
            <w:tcW w:w="0" w:type="auto"/>
            <w:tcMar>
              <w:top w:w="113" w:type="dxa"/>
              <w:left w:w="113" w:type="dxa"/>
              <w:bottom w:w="113" w:type="dxa"/>
              <w:right w:w="113" w:type="dxa"/>
            </w:tcMar>
            <w:hideMark/>
          </w:tcPr>
          <w:p w14:paraId="13F9A6AD" w14:textId="77777777" w:rsidR="00301D0D" w:rsidRDefault="00301D0D" w:rsidP="003E5A1C">
            <w:pPr>
              <w:rPr>
                <w:rFonts w:eastAsia="Times New Roman"/>
              </w:rPr>
            </w:pPr>
            <w:r>
              <w:rPr>
                <w:rFonts w:eastAsia="Times New Roman"/>
              </w:rPr>
              <w:t>Tropical Atlantic</w:t>
            </w:r>
          </w:p>
        </w:tc>
        <w:tc>
          <w:tcPr>
            <w:tcW w:w="0" w:type="auto"/>
            <w:tcMar>
              <w:top w:w="113" w:type="dxa"/>
              <w:left w:w="113" w:type="dxa"/>
              <w:bottom w:w="113" w:type="dxa"/>
              <w:right w:w="113" w:type="dxa"/>
            </w:tcMar>
            <w:hideMark/>
          </w:tcPr>
          <w:p w14:paraId="6B7C03AD" w14:textId="77777777" w:rsidR="00301D0D" w:rsidRDefault="00301D0D" w:rsidP="004B6882">
            <w:pPr>
              <w:rPr>
                <w:rFonts w:eastAsia="Times New Roman"/>
              </w:rPr>
            </w:pPr>
            <w:r>
              <w:rPr>
                <w:rFonts w:eastAsia="Times New Roman"/>
              </w:rPr>
              <w:t>Fished</w:t>
            </w:r>
          </w:p>
        </w:tc>
        <w:tc>
          <w:tcPr>
            <w:tcW w:w="0" w:type="auto"/>
            <w:tcMar>
              <w:top w:w="113" w:type="dxa"/>
              <w:left w:w="113" w:type="dxa"/>
              <w:bottom w:w="113" w:type="dxa"/>
              <w:right w:w="113" w:type="dxa"/>
            </w:tcMar>
            <w:hideMark/>
          </w:tcPr>
          <w:p w14:paraId="0FA5F2F8" w14:textId="77777777" w:rsidR="00301D0D" w:rsidRDefault="00301D0D" w:rsidP="003E5A1C">
            <w:pPr>
              <w:jc w:val="center"/>
              <w:rPr>
                <w:rFonts w:eastAsia="Times New Roman"/>
              </w:rPr>
            </w:pPr>
            <w:r>
              <w:rPr>
                <w:rFonts w:eastAsia="Times New Roman"/>
              </w:rPr>
              <w:t>40</w:t>
            </w:r>
          </w:p>
        </w:tc>
        <w:tc>
          <w:tcPr>
            <w:tcW w:w="0" w:type="auto"/>
            <w:tcMar>
              <w:top w:w="113" w:type="dxa"/>
              <w:left w:w="113" w:type="dxa"/>
              <w:bottom w:w="113" w:type="dxa"/>
              <w:right w:w="113" w:type="dxa"/>
            </w:tcMar>
            <w:hideMark/>
          </w:tcPr>
          <w:p w14:paraId="6C66D5F4" w14:textId="77777777" w:rsidR="00301D0D" w:rsidRDefault="00301D0D" w:rsidP="003E5A1C">
            <w:pPr>
              <w:jc w:val="center"/>
              <w:rPr>
                <w:rFonts w:eastAsia="Times New Roman"/>
              </w:rPr>
            </w:pPr>
            <w:r>
              <w:rPr>
                <w:rFonts w:eastAsia="Times New Roman"/>
              </w:rPr>
              <w:t>18.47</w:t>
            </w:r>
          </w:p>
        </w:tc>
        <w:tc>
          <w:tcPr>
            <w:tcW w:w="0" w:type="auto"/>
            <w:tcMar>
              <w:top w:w="113" w:type="dxa"/>
              <w:left w:w="113" w:type="dxa"/>
              <w:bottom w:w="113" w:type="dxa"/>
              <w:right w:w="113" w:type="dxa"/>
            </w:tcMar>
            <w:hideMark/>
          </w:tcPr>
          <w:p w14:paraId="402AE4E1" w14:textId="77777777" w:rsidR="00301D0D" w:rsidRDefault="00301D0D" w:rsidP="003E5A1C">
            <w:pPr>
              <w:jc w:val="center"/>
              <w:rPr>
                <w:rFonts w:eastAsia="Times New Roman"/>
              </w:rPr>
            </w:pPr>
            <w:r>
              <w:rPr>
                <w:rFonts w:eastAsia="Times New Roman"/>
              </w:rPr>
              <w:t>16.82</w:t>
            </w:r>
          </w:p>
        </w:tc>
        <w:tc>
          <w:tcPr>
            <w:tcW w:w="0" w:type="auto"/>
            <w:tcMar>
              <w:top w:w="113" w:type="dxa"/>
              <w:left w:w="113" w:type="dxa"/>
              <w:bottom w:w="113" w:type="dxa"/>
              <w:right w:w="113" w:type="dxa"/>
            </w:tcMar>
            <w:hideMark/>
          </w:tcPr>
          <w:p w14:paraId="489B7384" w14:textId="77777777" w:rsidR="00301D0D" w:rsidRDefault="00301D0D" w:rsidP="003E5A1C">
            <w:pPr>
              <w:jc w:val="center"/>
              <w:rPr>
                <w:rFonts w:eastAsia="Times New Roman"/>
              </w:rPr>
            </w:pPr>
            <w:r>
              <w:rPr>
                <w:rFonts w:eastAsia="Times New Roman"/>
              </w:rPr>
              <w:t>19.10</w:t>
            </w:r>
          </w:p>
        </w:tc>
      </w:tr>
      <w:tr w:rsidR="00301D0D" w14:paraId="4048AA37" w14:textId="77777777" w:rsidTr="003E039C">
        <w:tc>
          <w:tcPr>
            <w:tcW w:w="0" w:type="auto"/>
            <w:tcMar>
              <w:top w:w="113" w:type="dxa"/>
              <w:left w:w="113" w:type="dxa"/>
              <w:bottom w:w="113" w:type="dxa"/>
              <w:right w:w="113" w:type="dxa"/>
            </w:tcMar>
            <w:hideMark/>
          </w:tcPr>
          <w:p w14:paraId="6CB64B9E" w14:textId="77777777" w:rsidR="00301D0D" w:rsidRDefault="00301D0D" w:rsidP="003E5A1C">
            <w:pPr>
              <w:rPr>
                <w:rFonts w:eastAsia="Times New Roman"/>
              </w:rPr>
            </w:pPr>
            <w:r>
              <w:rPr>
                <w:rFonts w:eastAsia="Times New Roman"/>
              </w:rPr>
              <w:t>Tropical Atlantic</w:t>
            </w:r>
          </w:p>
        </w:tc>
        <w:tc>
          <w:tcPr>
            <w:tcW w:w="0" w:type="auto"/>
            <w:tcMar>
              <w:top w:w="113" w:type="dxa"/>
              <w:left w:w="113" w:type="dxa"/>
              <w:bottom w:w="113" w:type="dxa"/>
              <w:right w:w="113" w:type="dxa"/>
            </w:tcMar>
            <w:hideMark/>
          </w:tcPr>
          <w:p w14:paraId="287FD06E" w14:textId="77777777" w:rsidR="00301D0D" w:rsidRDefault="00301D0D" w:rsidP="004B6882">
            <w:pPr>
              <w:rPr>
                <w:rFonts w:eastAsia="Times New Roman"/>
              </w:rPr>
            </w:pPr>
            <w:r>
              <w:rPr>
                <w:rFonts w:eastAsia="Times New Roman"/>
              </w:rPr>
              <w:t>Restricted</w:t>
            </w:r>
          </w:p>
        </w:tc>
        <w:tc>
          <w:tcPr>
            <w:tcW w:w="0" w:type="auto"/>
            <w:tcMar>
              <w:top w:w="113" w:type="dxa"/>
              <w:left w:w="113" w:type="dxa"/>
              <w:bottom w:w="113" w:type="dxa"/>
              <w:right w:w="113" w:type="dxa"/>
            </w:tcMar>
            <w:hideMark/>
          </w:tcPr>
          <w:p w14:paraId="4A6BD251" w14:textId="77777777" w:rsidR="00301D0D" w:rsidRDefault="00301D0D" w:rsidP="003E5A1C">
            <w:pPr>
              <w:jc w:val="center"/>
              <w:rPr>
                <w:rFonts w:eastAsia="Times New Roman"/>
              </w:rPr>
            </w:pPr>
            <w:r>
              <w:rPr>
                <w:rFonts w:eastAsia="Times New Roman"/>
              </w:rPr>
              <w:t>38</w:t>
            </w:r>
          </w:p>
        </w:tc>
        <w:tc>
          <w:tcPr>
            <w:tcW w:w="0" w:type="auto"/>
            <w:tcMar>
              <w:top w:w="113" w:type="dxa"/>
              <w:left w:w="113" w:type="dxa"/>
              <w:bottom w:w="113" w:type="dxa"/>
              <w:right w:w="113" w:type="dxa"/>
            </w:tcMar>
            <w:hideMark/>
          </w:tcPr>
          <w:p w14:paraId="25705CC5" w14:textId="77777777" w:rsidR="00301D0D" w:rsidRDefault="00301D0D" w:rsidP="003E5A1C">
            <w:pPr>
              <w:jc w:val="center"/>
              <w:rPr>
                <w:rFonts w:eastAsia="Times New Roman"/>
              </w:rPr>
            </w:pPr>
            <w:r>
              <w:rPr>
                <w:rFonts w:eastAsia="Times New Roman"/>
              </w:rPr>
              <w:t>18.61</w:t>
            </w:r>
          </w:p>
        </w:tc>
        <w:tc>
          <w:tcPr>
            <w:tcW w:w="0" w:type="auto"/>
            <w:tcMar>
              <w:top w:w="113" w:type="dxa"/>
              <w:left w:w="113" w:type="dxa"/>
              <w:bottom w:w="113" w:type="dxa"/>
              <w:right w:w="113" w:type="dxa"/>
            </w:tcMar>
            <w:hideMark/>
          </w:tcPr>
          <w:p w14:paraId="62A3C842" w14:textId="77777777" w:rsidR="00301D0D" w:rsidRDefault="00301D0D" w:rsidP="003E5A1C">
            <w:pPr>
              <w:jc w:val="center"/>
              <w:rPr>
                <w:rFonts w:eastAsia="Times New Roman"/>
              </w:rPr>
            </w:pPr>
            <w:r>
              <w:rPr>
                <w:rFonts w:eastAsia="Times New Roman"/>
              </w:rPr>
              <w:t>17.54</w:t>
            </w:r>
          </w:p>
        </w:tc>
        <w:tc>
          <w:tcPr>
            <w:tcW w:w="0" w:type="auto"/>
            <w:tcMar>
              <w:top w:w="113" w:type="dxa"/>
              <w:left w:w="113" w:type="dxa"/>
              <w:bottom w:w="113" w:type="dxa"/>
              <w:right w:w="113" w:type="dxa"/>
            </w:tcMar>
            <w:hideMark/>
          </w:tcPr>
          <w:p w14:paraId="40466BE3" w14:textId="77777777" w:rsidR="00301D0D" w:rsidRDefault="00301D0D" w:rsidP="003E5A1C">
            <w:pPr>
              <w:jc w:val="center"/>
              <w:rPr>
                <w:rFonts w:eastAsia="Times New Roman"/>
              </w:rPr>
            </w:pPr>
            <w:r>
              <w:rPr>
                <w:rFonts w:eastAsia="Times New Roman"/>
              </w:rPr>
              <w:t>19.41</w:t>
            </w:r>
          </w:p>
        </w:tc>
      </w:tr>
      <w:tr w:rsidR="00301D0D" w14:paraId="60A3B08B" w14:textId="77777777" w:rsidTr="003E039C">
        <w:tc>
          <w:tcPr>
            <w:tcW w:w="0" w:type="auto"/>
            <w:tcMar>
              <w:top w:w="113" w:type="dxa"/>
              <w:left w:w="113" w:type="dxa"/>
              <w:bottom w:w="113" w:type="dxa"/>
              <w:right w:w="113" w:type="dxa"/>
            </w:tcMar>
            <w:hideMark/>
          </w:tcPr>
          <w:p w14:paraId="3EB6DEEA" w14:textId="77777777" w:rsidR="00301D0D" w:rsidRDefault="00301D0D" w:rsidP="003E5A1C">
            <w:pPr>
              <w:rPr>
                <w:rFonts w:eastAsia="Times New Roman"/>
              </w:rPr>
            </w:pPr>
            <w:r>
              <w:rPr>
                <w:rFonts w:eastAsia="Times New Roman"/>
              </w:rPr>
              <w:t>Tropical Atlantic</w:t>
            </w:r>
          </w:p>
        </w:tc>
        <w:tc>
          <w:tcPr>
            <w:tcW w:w="0" w:type="auto"/>
            <w:tcMar>
              <w:top w:w="113" w:type="dxa"/>
              <w:left w:w="113" w:type="dxa"/>
              <w:bottom w:w="113" w:type="dxa"/>
              <w:right w:w="113" w:type="dxa"/>
            </w:tcMar>
            <w:hideMark/>
          </w:tcPr>
          <w:p w14:paraId="0892962C" w14:textId="5C02FCB7" w:rsidR="00301D0D" w:rsidRDefault="00301D0D" w:rsidP="004B6882">
            <w:pPr>
              <w:rPr>
                <w:rFonts w:eastAsia="Times New Roman"/>
              </w:rPr>
            </w:pPr>
            <w:r>
              <w:rPr>
                <w:rFonts w:eastAsia="Times New Roman"/>
              </w:rPr>
              <w:t>Fully Protected</w:t>
            </w:r>
          </w:p>
        </w:tc>
        <w:tc>
          <w:tcPr>
            <w:tcW w:w="0" w:type="auto"/>
            <w:tcMar>
              <w:top w:w="113" w:type="dxa"/>
              <w:left w:w="113" w:type="dxa"/>
              <w:bottom w:w="113" w:type="dxa"/>
              <w:right w:w="113" w:type="dxa"/>
            </w:tcMar>
            <w:hideMark/>
          </w:tcPr>
          <w:p w14:paraId="7A97BD52" w14:textId="77777777" w:rsidR="00301D0D" w:rsidRDefault="00301D0D" w:rsidP="003E5A1C">
            <w:pPr>
              <w:jc w:val="center"/>
              <w:rPr>
                <w:rFonts w:eastAsia="Times New Roman"/>
              </w:rPr>
            </w:pPr>
            <w:r>
              <w:rPr>
                <w:rFonts w:eastAsia="Times New Roman"/>
              </w:rPr>
              <w:t>21</w:t>
            </w:r>
          </w:p>
        </w:tc>
        <w:tc>
          <w:tcPr>
            <w:tcW w:w="0" w:type="auto"/>
            <w:tcMar>
              <w:top w:w="113" w:type="dxa"/>
              <w:left w:w="113" w:type="dxa"/>
              <w:bottom w:w="113" w:type="dxa"/>
              <w:right w:w="113" w:type="dxa"/>
            </w:tcMar>
            <w:hideMark/>
          </w:tcPr>
          <w:p w14:paraId="2A46DA7E" w14:textId="77777777" w:rsidR="00301D0D" w:rsidRDefault="00301D0D" w:rsidP="003E5A1C">
            <w:pPr>
              <w:jc w:val="center"/>
              <w:rPr>
                <w:rFonts w:eastAsia="Times New Roman"/>
              </w:rPr>
            </w:pPr>
            <w:r>
              <w:rPr>
                <w:rFonts w:eastAsia="Times New Roman"/>
              </w:rPr>
              <w:t>19.24</w:t>
            </w:r>
          </w:p>
        </w:tc>
        <w:tc>
          <w:tcPr>
            <w:tcW w:w="0" w:type="auto"/>
            <w:tcMar>
              <w:top w:w="113" w:type="dxa"/>
              <w:left w:w="113" w:type="dxa"/>
              <w:bottom w:w="113" w:type="dxa"/>
              <w:right w:w="113" w:type="dxa"/>
            </w:tcMar>
            <w:hideMark/>
          </w:tcPr>
          <w:p w14:paraId="7B38D63B" w14:textId="77777777" w:rsidR="00301D0D" w:rsidRDefault="00301D0D" w:rsidP="003E5A1C">
            <w:pPr>
              <w:jc w:val="center"/>
              <w:rPr>
                <w:rFonts w:eastAsia="Times New Roman"/>
              </w:rPr>
            </w:pPr>
            <w:r>
              <w:rPr>
                <w:rFonts w:eastAsia="Times New Roman"/>
              </w:rPr>
              <w:t>18.96</w:t>
            </w:r>
          </w:p>
        </w:tc>
        <w:tc>
          <w:tcPr>
            <w:tcW w:w="0" w:type="auto"/>
            <w:tcMar>
              <w:top w:w="113" w:type="dxa"/>
              <w:left w:w="113" w:type="dxa"/>
              <w:bottom w:w="113" w:type="dxa"/>
              <w:right w:w="113" w:type="dxa"/>
            </w:tcMar>
            <w:hideMark/>
          </w:tcPr>
          <w:p w14:paraId="4E7F9A0E" w14:textId="77777777" w:rsidR="00301D0D" w:rsidRDefault="00301D0D" w:rsidP="003E5A1C">
            <w:pPr>
              <w:jc w:val="center"/>
              <w:rPr>
                <w:rFonts w:eastAsia="Times New Roman"/>
              </w:rPr>
            </w:pPr>
            <w:r>
              <w:rPr>
                <w:rFonts w:eastAsia="Times New Roman"/>
              </w:rPr>
              <w:t>19.33</w:t>
            </w:r>
          </w:p>
        </w:tc>
      </w:tr>
      <w:tr w:rsidR="00301D0D" w14:paraId="4D54AFEE" w14:textId="77777777" w:rsidTr="003E039C">
        <w:tc>
          <w:tcPr>
            <w:tcW w:w="0" w:type="auto"/>
            <w:tcMar>
              <w:top w:w="113" w:type="dxa"/>
              <w:left w:w="113" w:type="dxa"/>
              <w:bottom w:w="113" w:type="dxa"/>
              <w:right w:w="113" w:type="dxa"/>
            </w:tcMar>
            <w:hideMark/>
          </w:tcPr>
          <w:p w14:paraId="02B89C64" w14:textId="77777777" w:rsidR="00301D0D" w:rsidRDefault="00301D0D" w:rsidP="003E5A1C">
            <w:pPr>
              <w:rPr>
                <w:rFonts w:eastAsia="Times New Roman"/>
              </w:rPr>
            </w:pPr>
            <w:r>
              <w:rPr>
                <w:rFonts w:eastAsia="Times New Roman"/>
              </w:rPr>
              <w:t>Western Indo-Pacific</w:t>
            </w:r>
          </w:p>
        </w:tc>
        <w:tc>
          <w:tcPr>
            <w:tcW w:w="0" w:type="auto"/>
            <w:tcMar>
              <w:top w:w="113" w:type="dxa"/>
              <w:left w:w="113" w:type="dxa"/>
              <w:bottom w:w="113" w:type="dxa"/>
              <w:right w:w="113" w:type="dxa"/>
            </w:tcMar>
            <w:hideMark/>
          </w:tcPr>
          <w:p w14:paraId="7F545E46" w14:textId="77777777" w:rsidR="00301D0D" w:rsidRDefault="00301D0D" w:rsidP="004B6882">
            <w:pPr>
              <w:rPr>
                <w:rFonts w:eastAsia="Times New Roman"/>
              </w:rPr>
            </w:pPr>
            <w:r>
              <w:rPr>
                <w:rFonts w:eastAsia="Times New Roman"/>
              </w:rPr>
              <w:t>Fished</w:t>
            </w:r>
          </w:p>
        </w:tc>
        <w:tc>
          <w:tcPr>
            <w:tcW w:w="0" w:type="auto"/>
            <w:tcMar>
              <w:top w:w="113" w:type="dxa"/>
              <w:left w:w="113" w:type="dxa"/>
              <w:bottom w:w="113" w:type="dxa"/>
              <w:right w:w="113" w:type="dxa"/>
            </w:tcMar>
            <w:hideMark/>
          </w:tcPr>
          <w:p w14:paraId="62B19B3E" w14:textId="77777777" w:rsidR="00301D0D" w:rsidRDefault="00301D0D" w:rsidP="003E5A1C">
            <w:pPr>
              <w:jc w:val="center"/>
              <w:rPr>
                <w:rFonts w:eastAsia="Times New Roman"/>
              </w:rPr>
            </w:pPr>
            <w:r>
              <w:rPr>
                <w:rFonts w:eastAsia="Times New Roman"/>
              </w:rPr>
              <w:t>57</w:t>
            </w:r>
          </w:p>
        </w:tc>
        <w:tc>
          <w:tcPr>
            <w:tcW w:w="0" w:type="auto"/>
            <w:tcMar>
              <w:top w:w="113" w:type="dxa"/>
              <w:left w:w="113" w:type="dxa"/>
              <w:bottom w:w="113" w:type="dxa"/>
              <w:right w:w="113" w:type="dxa"/>
            </w:tcMar>
            <w:hideMark/>
          </w:tcPr>
          <w:p w14:paraId="529D7503" w14:textId="77777777" w:rsidR="00301D0D" w:rsidRDefault="00301D0D" w:rsidP="003E5A1C">
            <w:pPr>
              <w:jc w:val="center"/>
              <w:rPr>
                <w:rFonts w:eastAsia="Times New Roman"/>
              </w:rPr>
            </w:pPr>
            <w:r>
              <w:rPr>
                <w:rFonts w:eastAsia="Times New Roman"/>
              </w:rPr>
              <w:t>17.29</w:t>
            </w:r>
          </w:p>
        </w:tc>
        <w:tc>
          <w:tcPr>
            <w:tcW w:w="0" w:type="auto"/>
            <w:tcMar>
              <w:top w:w="113" w:type="dxa"/>
              <w:left w:w="113" w:type="dxa"/>
              <w:bottom w:w="113" w:type="dxa"/>
              <w:right w:w="113" w:type="dxa"/>
            </w:tcMar>
            <w:hideMark/>
          </w:tcPr>
          <w:p w14:paraId="7D9EC59C" w14:textId="77777777" w:rsidR="00301D0D" w:rsidRDefault="00301D0D" w:rsidP="003E5A1C">
            <w:pPr>
              <w:jc w:val="center"/>
              <w:rPr>
                <w:rFonts w:eastAsia="Times New Roman"/>
              </w:rPr>
            </w:pPr>
            <w:r>
              <w:rPr>
                <w:rFonts w:eastAsia="Times New Roman"/>
              </w:rPr>
              <w:t>16.82</w:t>
            </w:r>
          </w:p>
        </w:tc>
        <w:tc>
          <w:tcPr>
            <w:tcW w:w="0" w:type="auto"/>
            <w:tcMar>
              <w:top w:w="113" w:type="dxa"/>
              <w:left w:w="113" w:type="dxa"/>
              <w:bottom w:w="113" w:type="dxa"/>
              <w:right w:w="113" w:type="dxa"/>
            </w:tcMar>
            <w:hideMark/>
          </w:tcPr>
          <w:p w14:paraId="4F0FE37D" w14:textId="77777777" w:rsidR="00301D0D" w:rsidRDefault="00301D0D" w:rsidP="003E5A1C">
            <w:pPr>
              <w:jc w:val="center"/>
              <w:rPr>
                <w:rFonts w:eastAsia="Times New Roman"/>
              </w:rPr>
            </w:pPr>
            <w:r>
              <w:rPr>
                <w:rFonts w:eastAsia="Times New Roman"/>
              </w:rPr>
              <w:t>18.93</w:t>
            </w:r>
          </w:p>
        </w:tc>
      </w:tr>
      <w:tr w:rsidR="00301D0D" w14:paraId="461AFD8F" w14:textId="77777777" w:rsidTr="003E039C">
        <w:tc>
          <w:tcPr>
            <w:tcW w:w="0" w:type="auto"/>
            <w:tcMar>
              <w:top w:w="113" w:type="dxa"/>
              <w:left w:w="113" w:type="dxa"/>
              <w:bottom w:w="113" w:type="dxa"/>
              <w:right w:w="113" w:type="dxa"/>
            </w:tcMar>
            <w:hideMark/>
          </w:tcPr>
          <w:p w14:paraId="44EE0AB6" w14:textId="77777777" w:rsidR="00301D0D" w:rsidRDefault="00301D0D" w:rsidP="003E5A1C">
            <w:pPr>
              <w:rPr>
                <w:rFonts w:eastAsia="Times New Roman"/>
              </w:rPr>
            </w:pPr>
            <w:r>
              <w:rPr>
                <w:rFonts w:eastAsia="Times New Roman"/>
              </w:rPr>
              <w:t>Western Indo-Pacific</w:t>
            </w:r>
          </w:p>
        </w:tc>
        <w:tc>
          <w:tcPr>
            <w:tcW w:w="0" w:type="auto"/>
            <w:tcMar>
              <w:top w:w="113" w:type="dxa"/>
              <w:left w:w="113" w:type="dxa"/>
              <w:bottom w:w="113" w:type="dxa"/>
              <w:right w:w="113" w:type="dxa"/>
            </w:tcMar>
            <w:hideMark/>
          </w:tcPr>
          <w:p w14:paraId="7B1DCC5E" w14:textId="77777777" w:rsidR="00301D0D" w:rsidRDefault="00301D0D" w:rsidP="004B6882">
            <w:pPr>
              <w:rPr>
                <w:rFonts w:eastAsia="Times New Roman"/>
              </w:rPr>
            </w:pPr>
            <w:r>
              <w:rPr>
                <w:rFonts w:eastAsia="Times New Roman"/>
              </w:rPr>
              <w:t>Restricted</w:t>
            </w:r>
          </w:p>
        </w:tc>
        <w:tc>
          <w:tcPr>
            <w:tcW w:w="0" w:type="auto"/>
            <w:tcMar>
              <w:top w:w="113" w:type="dxa"/>
              <w:left w:w="113" w:type="dxa"/>
              <w:bottom w:w="113" w:type="dxa"/>
              <w:right w:w="113" w:type="dxa"/>
            </w:tcMar>
            <w:hideMark/>
          </w:tcPr>
          <w:p w14:paraId="413633B3" w14:textId="77777777" w:rsidR="00301D0D" w:rsidRDefault="00301D0D" w:rsidP="003E5A1C">
            <w:pPr>
              <w:jc w:val="center"/>
              <w:rPr>
                <w:rFonts w:eastAsia="Times New Roman"/>
              </w:rPr>
            </w:pPr>
            <w:r>
              <w:rPr>
                <w:rFonts w:eastAsia="Times New Roman"/>
              </w:rPr>
              <w:t>126</w:t>
            </w:r>
          </w:p>
        </w:tc>
        <w:tc>
          <w:tcPr>
            <w:tcW w:w="0" w:type="auto"/>
            <w:tcMar>
              <w:top w:w="113" w:type="dxa"/>
              <w:left w:w="113" w:type="dxa"/>
              <w:bottom w:w="113" w:type="dxa"/>
              <w:right w:w="113" w:type="dxa"/>
            </w:tcMar>
            <w:hideMark/>
          </w:tcPr>
          <w:p w14:paraId="576A361D" w14:textId="77777777" w:rsidR="00301D0D" w:rsidRDefault="00301D0D" w:rsidP="003E5A1C">
            <w:pPr>
              <w:jc w:val="center"/>
              <w:rPr>
                <w:rFonts w:eastAsia="Times New Roman"/>
              </w:rPr>
            </w:pPr>
            <w:r>
              <w:rPr>
                <w:rFonts w:eastAsia="Times New Roman"/>
              </w:rPr>
              <w:t>18.71</w:t>
            </w:r>
          </w:p>
        </w:tc>
        <w:tc>
          <w:tcPr>
            <w:tcW w:w="0" w:type="auto"/>
            <w:tcMar>
              <w:top w:w="113" w:type="dxa"/>
              <w:left w:w="113" w:type="dxa"/>
              <w:bottom w:w="113" w:type="dxa"/>
              <w:right w:w="113" w:type="dxa"/>
            </w:tcMar>
            <w:hideMark/>
          </w:tcPr>
          <w:p w14:paraId="20AAD971" w14:textId="77777777" w:rsidR="00301D0D" w:rsidRDefault="00301D0D" w:rsidP="003E5A1C">
            <w:pPr>
              <w:jc w:val="center"/>
              <w:rPr>
                <w:rFonts w:eastAsia="Times New Roman"/>
              </w:rPr>
            </w:pPr>
            <w:r>
              <w:rPr>
                <w:rFonts w:eastAsia="Times New Roman"/>
              </w:rPr>
              <w:t>17.57</w:t>
            </w:r>
          </w:p>
        </w:tc>
        <w:tc>
          <w:tcPr>
            <w:tcW w:w="0" w:type="auto"/>
            <w:tcMar>
              <w:top w:w="113" w:type="dxa"/>
              <w:left w:w="113" w:type="dxa"/>
              <w:bottom w:w="113" w:type="dxa"/>
              <w:right w:w="113" w:type="dxa"/>
            </w:tcMar>
            <w:hideMark/>
          </w:tcPr>
          <w:p w14:paraId="556494E6" w14:textId="77777777" w:rsidR="00301D0D" w:rsidRDefault="00301D0D" w:rsidP="003E5A1C">
            <w:pPr>
              <w:jc w:val="center"/>
              <w:rPr>
                <w:rFonts w:eastAsia="Times New Roman"/>
              </w:rPr>
            </w:pPr>
            <w:r>
              <w:rPr>
                <w:rFonts w:eastAsia="Times New Roman"/>
              </w:rPr>
              <w:t>19.53</w:t>
            </w:r>
          </w:p>
        </w:tc>
      </w:tr>
      <w:tr w:rsidR="00301D0D" w14:paraId="5C3CA1A7" w14:textId="77777777" w:rsidTr="003E039C">
        <w:tc>
          <w:tcPr>
            <w:tcW w:w="0" w:type="auto"/>
            <w:tcBorders>
              <w:bottom w:val="double" w:sz="6" w:space="0" w:color="auto"/>
            </w:tcBorders>
            <w:tcMar>
              <w:top w:w="113" w:type="dxa"/>
              <w:left w:w="113" w:type="dxa"/>
              <w:bottom w:w="113" w:type="dxa"/>
              <w:right w:w="113" w:type="dxa"/>
            </w:tcMar>
            <w:hideMark/>
          </w:tcPr>
          <w:p w14:paraId="147E3450" w14:textId="77777777" w:rsidR="00301D0D" w:rsidRDefault="00301D0D" w:rsidP="003E5A1C">
            <w:pPr>
              <w:rPr>
                <w:rFonts w:eastAsia="Times New Roman"/>
              </w:rPr>
            </w:pPr>
            <w:r>
              <w:rPr>
                <w:rFonts w:eastAsia="Times New Roman"/>
              </w:rPr>
              <w:t>Western Indo-Pacific</w:t>
            </w:r>
          </w:p>
        </w:tc>
        <w:tc>
          <w:tcPr>
            <w:tcW w:w="0" w:type="auto"/>
            <w:tcBorders>
              <w:bottom w:val="double" w:sz="6" w:space="0" w:color="auto"/>
            </w:tcBorders>
            <w:tcMar>
              <w:top w:w="113" w:type="dxa"/>
              <w:left w:w="113" w:type="dxa"/>
              <w:bottom w:w="113" w:type="dxa"/>
              <w:right w:w="113" w:type="dxa"/>
            </w:tcMar>
            <w:hideMark/>
          </w:tcPr>
          <w:p w14:paraId="48A9A0FA" w14:textId="6AD59633" w:rsidR="00301D0D" w:rsidRDefault="00301D0D" w:rsidP="004B6882">
            <w:pPr>
              <w:rPr>
                <w:rFonts w:eastAsia="Times New Roman"/>
              </w:rPr>
            </w:pPr>
            <w:r>
              <w:rPr>
                <w:rFonts w:eastAsia="Times New Roman"/>
              </w:rPr>
              <w:t>Fully Protected</w:t>
            </w:r>
          </w:p>
        </w:tc>
        <w:tc>
          <w:tcPr>
            <w:tcW w:w="0" w:type="auto"/>
            <w:tcBorders>
              <w:bottom w:val="double" w:sz="6" w:space="0" w:color="auto"/>
            </w:tcBorders>
            <w:tcMar>
              <w:top w:w="113" w:type="dxa"/>
              <w:left w:w="113" w:type="dxa"/>
              <w:bottom w:w="113" w:type="dxa"/>
              <w:right w:w="113" w:type="dxa"/>
            </w:tcMar>
            <w:hideMark/>
          </w:tcPr>
          <w:p w14:paraId="2E916E57" w14:textId="77777777" w:rsidR="00301D0D" w:rsidRDefault="00301D0D" w:rsidP="003E5A1C">
            <w:pPr>
              <w:jc w:val="center"/>
              <w:rPr>
                <w:rFonts w:eastAsia="Times New Roman"/>
              </w:rPr>
            </w:pPr>
            <w:r>
              <w:rPr>
                <w:rFonts w:eastAsia="Times New Roman"/>
              </w:rPr>
              <w:t>40</w:t>
            </w:r>
          </w:p>
        </w:tc>
        <w:tc>
          <w:tcPr>
            <w:tcW w:w="0" w:type="auto"/>
            <w:tcBorders>
              <w:bottom w:val="double" w:sz="6" w:space="0" w:color="auto"/>
            </w:tcBorders>
            <w:tcMar>
              <w:top w:w="113" w:type="dxa"/>
              <w:left w:w="113" w:type="dxa"/>
              <w:bottom w:w="113" w:type="dxa"/>
              <w:right w:w="113" w:type="dxa"/>
            </w:tcMar>
            <w:hideMark/>
          </w:tcPr>
          <w:p w14:paraId="1C42B914" w14:textId="77777777" w:rsidR="00301D0D" w:rsidRDefault="00301D0D" w:rsidP="003E5A1C">
            <w:pPr>
              <w:jc w:val="center"/>
              <w:rPr>
                <w:rFonts w:eastAsia="Times New Roman"/>
              </w:rPr>
            </w:pPr>
            <w:r>
              <w:rPr>
                <w:rFonts w:eastAsia="Times New Roman"/>
              </w:rPr>
              <w:t>19.29</w:t>
            </w:r>
          </w:p>
        </w:tc>
        <w:tc>
          <w:tcPr>
            <w:tcW w:w="0" w:type="auto"/>
            <w:tcBorders>
              <w:bottom w:val="double" w:sz="6" w:space="0" w:color="auto"/>
            </w:tcBorders>
            <w:tcMar>
              <w:top w:w="113" w:type="dxa"/>
              <w:left w:w="113" w:type="dxa"/>
              <w:bottom w:w="113" w:type="dxa"/>
              <w:right w:w="113" w:type="dxa"/>
            </w:tcMar>
            <w:hideMark/>
          </w:tcPr>
          <w:p w14:paraId="46C2F3F4" w14:textId="77777777" w:rsidR="00301D0D" w:rsidRDefault="00301D0D" w:rsidP="003E5A1C">
            <w:pPr>
              <w:jc w:val="center"/>
              <w:rPr>
                <w:rFonts w:eastAsia="Times New Roman"/>
              </w:rPr>
            </w:pPr>
            <w:r>
              <w:rPr>
                <w:rFonts w:eastAsia="Times New Roman"/>
              </w:rPr>
              <w:t>19.10</w:t>
            </w:r>
          </w:p>
        </w:tc>
        <w:tc>
          <w:tcPr>
            <w:tcW w:w="0" w:type="auto"/>
            <w:tcBorders>
              <w:bottom w:val="double" w:sz="6" w:space="0" w:color="auto"/>
            </w:tcBorders>
            <w:tcMar>
              <w:top w:w="113" w:type="dxa"/>
              <w:left w:w="113" w:type="dxa"/>
              <w:bottom w:w="113" w:type="dxa"/>
              <w:right w:w="113" w:type="dxa"/>
            </w:tcMar>
            <w:hideMark/>
          </w:tcPr>
          <w:p w14:paraId="4015C09E" w14:textId="77777777" w:rsidR="00301D0D" w:rsidRDefault="00301D0D" w:rsidP="003E5A1C">
            <w:pPr>
              <w:jc w:val="center"/>
              <w:rPr>
                <w:rFonts w:eastAsia="Times New Roman"/>
              </w:rPr>
            </w:pPr>
            <w:r>
              <w:rPr>
                <w:rFonts w:eastAsia="Times New Roman"/>
              </w:rPr>
              <w:t>19.41</w:t>
            </w:r>
          </w:p>
        </w:tc>
      </w:tr>
    </w:tbl>
    <w:p w14:paraId="44C48081" w14:textId="7CB21A07" w:rsidR="00F364CE" w:rsidRDefault="00F364CE" w:rsidP="00F364CE">
      <w:pPr>
        <w:spacing w:line="360" w:lineRule="auto"/>
        <w:rPr>
          <w:rFonts w:cstheme="minorHAnsi"/>
          <w:i/>
          <w:iCs/>
        </w:rPr>
      </w:pPr>
    </w:p>
    <w:p w14:paraId="1F5850C1" w14:textId="77777777" w:rsidR="006A55BF" w:rsidRDefault="006A55BF" w:rsidP="006A55BF">
      <w:pPr>
        <w:spacing w:after="0" w:line="240" w:lineRule="auto"/>
        <w:rPr>
          <w:rFonts w:cstheme="minorHAnsi"/>
          <w:i/>
          <w:iCs/>
        </w:rPr>
      </w:pPr>
      <w:r>
        <w:rPr>
          <w:rFonts w:cstheme="minorHAnsi"/>
          <w:i/>
          <w:iCs/>
        </w:rPr>
        <w:br w:type="page"/>
      </w:r>
    </w:p>
    <w:p w14:paraId="323BF8E2" w14:textId="0A430E23" w:rsidR="00B825E1" w:rsidRPr="00B825E1" w:rsidRDefault="00B825E1" w:rsidP="006A55BF">
      <w:pPr>
        <w:spacing w:after="0" w:line="240" w:lineRule="auto"/>
        <w:rPr>
          <w:rFonts w:cstheme="minorHAnsi"/>
          <w:i/>
          <w:iCs/>
        </w:rPr>
        <w:sectPr w:rsidR="00B825E1" w:rsidRPr="00B825E1" w:rsidSect="00075540">
          <w:pgSz w:w="11906" w:h="16838"/>
          <w:pgMar w:top="1188" w:right="1440" w:bottom="1440" w:left="1440" w:header="708" w:footer="708" w:gutter="0"/>
          <w:cols w:space="708"/>
          <w:docGrid w:linePitch="360"/>
        </w:sectPr>
      </w:pPr>
    </w:p>
    <w:tbl>
      <w:tblPr>
        <w:tblW w:w="14176" w:type="dxa"/>
        <w:tblLook w:val="04A0" w:firstRow="1" w:lastRow="0" w:firstColumn="1" w:lastColumn="0" w:noHBand="0" w:noVBand="1"/>
      </w:tblPr>
      <w:tblGrid>
        <w:gridCol w:w="1706"/>
        <w:gridCol w:w="1484"/>
        <w:gridCol w:w="1191"/>
        <w:gridCol w:w="1659"/>
        <w:gridCol w:w="2050"/>
        <w:gridCol w:w="2292"/>
        <w:gridCol w:w="1867"/>
        <w:gridCol w:w="1927"/>
      </w:tblGrid>
      <w:tr w:rsidR="00B825E1" w:rsidRPr="00B825E1" w14:paraId="13BE0176" w14:textId="77777777" w:rsidTr="00E807E0">
        <w:trPr>
          <w:trHeight w:val="320"/>
        </w:trPr>
        <w:tc>
          <w:tcPr>
            <w:tcW w:w="14176"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2DE52E" w14:textId="5461B8C5" w:rsidR="00B825E1" w:rsidRPr="00B825E1" w:rsidRDefault="00B825E1" w:rsidP="00B825E1">
            <w:pPr>
              <w:spacing w:after="0" w:line="240" w:lineRule="auto"/>
              <w:rPr>
                <w:rFonts w:eastAsia="Times New Roman" w:cstheme="minorHAnsi"/>
                <w:b/>
                <w:bCs/>
                <w:color w:val="000000"/>
                <w:lang w:eastAsia="en-GB"/>
              </w:rPr>
            </w:pPr>
            <w:r w:rsidRPr="00B825E1">
              <w:rPr>
                <w:rFonts w:eastAsia="Times New Roman" w:cstheme="minorHAnsi"/>
                <w:b/>
                <w:bCs/>
                <w:color w:val="000000"/>
                <w:lang w:eastAsia="en-GB"/>
              </w:rPr>
              <w:lastRenderedPageBreak/>
              <w:t xml:space="preserve">Supplementary Table 2. Sex ratio data </w:t>
            </w:r>
          </w:p>
        </w:tc>
      </w:tr>
      <w:tr w:rsidR="0056149C" w:rsidRPr="00B825E1" w14:paraId="27DFFE1D" w14:textId="77777777" w:rsidTr="00105FF5">
        <w:trPr>
          <w:trHeight w:val="320"/>
        </w:trPr>
        <w:tc>
          <w:tcPr>
            <w:tcW w:w="169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D0B222" w14:textId="77777777" w:rsidR="0056149C" w:rsidRPr="00B825E1" w:rsidRDefault="0056149C" w:rsidP="00B825E1">
            <w:pPr>
              <w:spacing w:after="0" w:line="240" w:lineRule="auto"/>
              <w:rPr>
                <w:rFonts w:eastAsia="Times New Roman" w:cstheme="minorHAnsi"/>
                <w:b/>
                <w:bCs/>
                <w:color w:val="000000"/>
                <w:lang w:eastAsia="en-GB"/>
              </w:rPr>
            </w:pPr>
            <w:r w:rsidRPr="00B825E1">
              <w:rPr>
                <w:rFonts w:eastAsia="Times New Roman" w:cstheme="minorHAnsi"/>
                <w:b/>
                <w:bCs/>
                <w:color w:val="000000"/>
                <w:lang w:eastAsia="en-GB"/>
              </w:rPr>
              <w:t>Species</w:t>
            </w:r>
          </w:p>
        </w:tc>
        <w:tc>
          <w:tcPr>
            <w:tcW w:w="1476" w:type="dxa"/>
            <w:tcBorders>
              <w:top w:val="single" w:sz="4" w:space="0" w:color="000000"/>
              <w:left w:val="nil"/>
              <w:bottom w:val="single" w:sz="4" w:space="0" w:color="000000"/>
              <w:right w:val="single" w:sz="4" w:space="0" w:color="000000"/>
            </w:tcBorders>
            <w:shd w:val="clear" w:color="auto" w:fill="auto"/>
            <w:noWrap/>
            <w:vAlign w:val="bottom"/>
            <w:hideMark/>
          </w:tcPr>
          <w:p w14:paraId="0B4E98AC" w14:textId="77777777" w:rsidR="0056149C" w:rsidRPr="00B825E1" w:rsidRDefault="0056149C" w:rsidP="00B825E1">
            <w:pPr>
              <w:spacing w:after="0" w:line="240" w:lineRule="auto"/>
              <w:rPr>
                <w:rFonts w:eastAsia="Times New Roman" w:cstheme="minorHAnsi"/>
                <w:b/>
                <w:bCs/>
                <w:color w:val="000000"/>
                <w:lang w:eastAsia="en-GB"/>
              </w:rPr>
            </w:pPr>
            <w:r w:rsidRPr="00B825E1">
              <w:rPr>
                <w:rFonts w:eastAsia="Times New Roman" w:cstheme="minorHAnsi"/>
                <w:b/>
                <w:bCs/>
                <w:color w:val="000000"/>
                <w:lang w:eastAsia="en-GB"/>
              </w:rPr>
              <w:t>Family</w:t>
            </w:r>
          </w:p>
        </w:tc>
        <w:tc>
          <w:tcPr>
            <w:tcW w:w="1185" w:type="dxa"/>
            <w:tcBorders>
              <w:top w:val="single" w:sz="4" w:space="0" w:color="000000"/>
              <w:left w:val="nil"/>
              <w:bottom w:val="single" w:sz="4" w:space="0" w:color="000000"/>
              <w:right w:val="single" w:sz="4" w:space="0" w:color="000000"/>
            </w:tcBorders>
            <w:shd w:val="clear" w:color="auto" w:fill="auto"/>
            <w:noWrap/>
            <w:vAlign w:val="bottom"/>
            <w:hideMark/>
          </w:tcPr>
          <w:p w14:paraId="6143BB8D" w14:textId="77777777" w:rsidR="0056149C" w:rsidRPr="00B825E1" w:rsidRDefault="0056149C" w:rsidP="00B825E1">
            <w:pPr>
              <w:spacing w:after="0" w:line="240" w:lineRule="auto"/>
              <w:rPr>
                <w:rFonts w:eastAsia="Times New Roman" w:cstheme="minorHAnsi"/>
                <w:b/>
                <w:bCs/>
                <w:color w:val="000000"/>
                <w:lang w:eastAsia="en-GB"/>
              </w:rPr>
            </w:pPr>
            <w:r w:rsidRPr="00B825E1">
              <w:rPr>
                <w:rFonts w:eastAsia="Times New Roman" w:cstheme="minorHAnsi"/>
                <w:b/>
                <w:bCs/>
                <w:color w:val="000000"/>
                <w:lang w:eastAsia="en-GB"/>
              </w:rPr>
              <w:t>Location</w:t>
            </w:r>
          </w:p>
        </w:tc>
        <w:tc>
          <w:tcPr>
            <w:tcW w:w="1663" w:type="dxa"/>
            <w:tcBorders>
              <w:top w:val="single" w:sz="4" w:space="0" w:color="000000"/>
              <w:left w:val="nil"/>
              <w:bottom w:val="single" w:sz="4" w:space="0" w:color="000000"/>
              <w:right w:val="single" w:sz="4" w:space="0" w:color="000000"/>
            </w:tcBorders>
            <w:shd w:val="clear" w:color="auto" w:fill="auto"/>
            <w:noWrap/>
            <w:vAlign w:val="bottom"/>
            <w:hideMark/>
          </w:tcPr>
          <w:p w14:paraId="7E7EEB7B" w14:textId="77777777" w:rsidR="0056149C" w:rsidRPr="00B825E1" w:rsidRDefault="0056149C" w:rsidP="00B825E1">
            <w:pPr>
              <w:spacing w:after="0" w:line="240" w:lineRule="auto"/>
              <w:rPr>
                <w:rFonts w:eastAsia="Times New Roman" w:cstheme="minorHAnsi"/>
                <w:b/>
                <w:bCs/>
                <w:color w:val="000000"/>
                <w:lang w:eastAsia="en-GB"/>
              </w:rPr>
            </w:pPr>
            <w:r w:rsidRPr="00B825E1">
              <w:rPr>
                <w:rFonts w:eastAsia="Times New Roman" w:cstheme="minorHAnsi"/>
                <w:b/>
                <w:bCs/>
                <w:color w:val="000000"/>
                <w:lang w:eastAsia="en-GB"/>
              </w:rPr>
              <w:t>F/M sex ratio</w:t>
            </w:r>
          </w:p>
        </w:tc>
        <w:tc>
          <w:tcPr>
            <w:tcW w:w="2055" w:type="dxa"/>
            <w:tcBorders>
              <w:top w:val="single" w:sz="4" w:space="0" w:color="000000"/>
              <w:left w:val="nil"/>
              <w:bottom w:val="single" w:sz="4" w:space="0" w:color="000000"/>
              <w:right w:val="single" w:sz="4" w:space="0" w:color="000000"/>
            </w:tcBorders>
            <w:shd w:val="clear" w:color="auto" w:fill="auto"/>
            <w:noWrap/>
            <w:vAlign w:val="bottom"/>
            <w:hideMark/>
          </w:tcPr>
          <w:p w14:paraId="661CD706" w14:textId="61555F1D" w:rsidR="0056149C" w:rsidRPr="00B825E1" w:rsidRDefault="0056149C" w:rsidP="00B825E1">
            <w:pPr>
              <w:spacing w:after="0" w:line="240" w:lineRule="auto"/>
              <w:rPr>
                <w:rFonts w:eastAsia="Times New Roman" w:cstheme="minorHAnsi"/>
                <w:b/>
                <w:bCs/>
                <w:color w:val="000000"/>
                <w:lang w:eastAsia="en-GB"/>
              </w:rPr>
            </w:pPr>
            <w:r w:rsidRPr="00B825E1">
              <w:rPr>
                <w:rFonts w:eastAsia="Times New Roman" w:cstheme="minorHAnsi"/>
                <w:b/>
                <w:bCs/>
                <w:color w:val="000000"/>
                <w:lang w:eastAsia="en-GB"/>
              </w:rPr>
              <w:t>Ratio proportions</w:t>
            </w:r>
          </w:p>
        </w:tc>
        <w:tc>
          <w:tcPr>
            <w:tcW w:w="2298" w:type="dxa"/>
            <w:tcBorders>
              <w:top w:val="single" w:sz="4" w:space="0" w:color="000000"/>
              <w:left w:val="nil"/>
              <w:bottom w:val="single" w:sz="4" w:space="0" w:color="000000"/>
              <w:right w:val="single" w:sz="4" w:space="0" w:color="000000"/>
            </w:tcBorders>
            <w:shd w:val="clear" w:color="auto" w:fill="auto"/>
            <w:noWrap/>
            <w:vAlign w:val="bottom"/>
            <w:hideMark/>
          </w:tcPr>
          <w:p w14:paraId="7B71FF6E" w14:textId="77777777" w:rsidR="0056149C" w:rsidRPr="00B825E1" w:rsidRDefault="0056149C" w:rsidP="00B825E1">
            <w:pPr>
              <w:spacing w:after="0" w:line="240" w:lineRule="auto"/>
              <w:rPr>
                <w:rFonts w:eastAsia="Times New Roman" w:cstheme="minorHAnsi"/>
                <w:b/>
                <w:bCs/>
                <w:color w:val="000000"/>
                <w:lang w:eastAsia="en-GB"/>
              </w:rPr>
            </w:pPr>
            <w:r w:rsidRPr="00B825E1">
              <w:rPr>
                <w:rFonts w:eastAsia="Times New Roman" w:cstheme="minorHAnsi"/>
                <w:b/>
                <w:bCs/>
                <w:color w:val="000000"/>
                <w:lang w:eastAsia="en-GB"/>
              </w:rPr>
              <w:t>Sexual pattern</w:t>
            </w:r>
          </w:p>
        </w:tc>
        <w:tc>
          <w:tcPr>
            <w:tcW w:w="1871" w:type="dxa"/>
            <w:tcBorders>
              <w:top w:val="single" w:sz="4" w:space="0" w:color="000000"/>
              <w:left w:val="nil"/>
              <w:bottom w:val="single" w:sz="4" w:space="0" w:color="000000"/>
              <w:right w:val="single" w:sz="4" w:space="0" w:color="000000"/>
            </w:tcBorders>
            <w:shd w:val="clear" w:color="auto" w:fill="auto"/>
            <w:noWrap/>
            <w:vAlign w:val="bottom"/>
            <w:hideMark/>
          </w:tcPr>
          <w:p w14:paraId="5F6121A2" w14:textId="77777777" w:rsidR="0056149C" w:rsidRPr="00B825E1" w:rsidRDefault="0056149C" w:rsidP="00B825E1">
            <w:pPr>
              <w:spacing w:after="0" w:line="240" w:lineRule="auto"/>
              <w:rPr>
                <w:rFonts w:eastAsia="Times New Roman" w:cstheme="minorHAnsi"/>
                <w:b/>
                <w:bCs/>
                <w:color w:val="000000"/>
                <w:lang w:eastAsia="en-GB"/>
              </w:rPr>
            </w:pPr>
            <w:r w:rsidRPr="00B825E1">
              <w:rPr>
                <w:rFonts w:eastAsia="Times New Roman" w:cstheme="minorHAnsi"/>
                <w:b/>
                <w:bCs/>
                <w:color w:val="000000"/>
                <w:lang w:eastAsia="en-GB"/>
              </w:rPr>
              <w:t>Reference</w:t>
            </w:r>
          </w:p>
        </w:tc>
        <w:tc>
          <w:tcPr>
            <w:tcW w:w="1932" w:type="dxa"/>
            <w:tcBorders>
              <w:top w:val="single" w:sz="4" w:space="0" w:color="000000"/>
              <w:left w:val="nil"/>
              <w:bottom w:val="single" w:sz="4" w:space="0" w:color="000000"/>
              <w:right w:val="single" w:sz="4" w:space="0" w:color="000000"/>
            </w:tcBorders>
            <w:shd w:val="clear" w:color="auto" w:fill="auto"/>
            <w:noWrap/>
            <w:vAlign w:val="bottom"/>
            <w:hideMark/>
          </w:tcPr>
          <w:p w14:paraId="2C543BAA" w14:textId="77777777" w:rsidR="0056149C" w:rsidRPr="00B825E1" w:rsidRDefault="0056149C" w:rsidP="00B825E1">
            <w:pPr>
              <w:spacing w:after="0" w:line="240" w:lineRule="auto"/>
              <w:rPr>
                <w:rFonts w:eastAsia="Times New Roman" w:cstheme="minorHAnsi"/>
                <w:b/>
                <w:bCs/>
                <w:color w:val="000000"/>
                <w:lang w:eastAsia="en-GB"/>
              </w:rPr>
            </w:pPr>
            <w:r w:rsidRPr="00B825E1">
              <w:rPr>
                <w:rFonts w:eastAsia="Times New Roman" w:cstheme="minorHAnsi"/>
                <w:b/>
                <w:bCs/>
                <w:color w:val="000000"/>
                <w:lang w:eastAsia="en-GB"/>
              </w:rPr>
              <w:t>Notes</w:t>
            </w:r>
          </w:p>
        </w:tc>
      </w:tr>
      <w:tr w:rsidR="0056149C" w:rsidRPr="00B825E1" w14:paraId="0FA139F4"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5724692A"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Lethrinus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harak</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2AE346CD"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Lethrinidae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6C1FF871"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Guam</w:t>
            </w:r>
          </w:p>
        </w:tc>
        <w:tc>
          <w:tcPr>
            <w:tcW w:w="1663" w:type="dxa"/>
            <w:tcBorders>
              <w:top w:val="nil"/>
              <w:left w:val="nil"/>
              <w:bottom w:val="single" w:sz="4" w:space="0" w:color="000000"/>
              <w:right w:val="single" w:sz="4" w:space="0" w:color="000000"/>
            </w:tcBorders>
            <w:shd w:val="clear" w:color="auto" w:fill="auto"/>
            <w:noWrap/>
            <w:vAlign w:val="bottom"/>
            <w:hideMark/>
          </w:tcPr>
          <w:p w14:paraId="218AFC51"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3.62</w:t>
            </w:r>
          </w:p>
        </w:tc>
        <w:tc>
          <w:tcPr>
            <w:tcW w:w="2055" w:type="dxa"/>
            <w:tcBorders>
              <w:top w:val="nil"/>
              <w:left w:val="nil"/>
              <w:bottom w:val="single" w:sz="4" w:space="0" w:color="000000"/>
              <w:right w:val="single" w:sz="4" w:space="0" w:color="000000"/>
            </w:tcBorders>
            <w:shd w:val="clear" w:color="auto" w:fill="auto"/>
            <w:noWrap/>
            <w:vAlign w:val="bottom"/>
            <w:hideMark/>
          </w:tcPr>
          <w:p w14:paraId="6BFE6D3D"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0.78</w:t>
            </w:r>
          </w:p>
        </w:tc>
        <w:tc>
          <w:tcPr>
            <w:tcW w:w="2298" w:type="dxa"/>
            <w:tcBorders>
              <w:top w:val="nil"/>
              <w:left w:val="nil"/>
              <w:bottom w:val="single" w:sz="4" w:space="0" w:color="000000"/>
              <w:right w:val="single" w:sz="4" w:space="0" w:color="000000"/>
            </w:tcBorders>
            <w:shd w:val="clear" w:color="auto" w:fill="auto"/>
            <w:noWrap/>
            <w:vAlign w:val="bottom"/>
            <w:hideMark/>
          </w:tcPr>
          <w:p w14:paraId="1AB1B7BF"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2EE2D428" w14:textId="7819AB4C" w:rsidR="0056149C" w:rsidRPr="00B825E1" w:rsidRDefault="00C46AF7"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C87D2F">
              <w:rPr>
                <w:rFonts w:eastAsia="Times New Roman" w:cstheme="minorHAnsi"/>
                <w:color w:val="000000"/>
                <w:lang w:eastAsia="en-GB"/>
              </w:rPr>
              <w:instrText xml:space="preserve"> ADDIN ZOTERO_ITEM CSL_CITATION {"citationID":"a21PJiYp","properties":{"formattedCitation":"\\super 1\\nosupersub{}","plainCitation":"1","noteIndex":0},"citationItems":[{"id":31,"uris":["http://zotero.org/users/11938866/items/4CXZN54T"],"itemData":{"id":31,"type":"article-journal","abstract":"The success of marine protected areas (MPAs) in facilitating recovery of over-exploited stocks has been well documented. Few studies, however, have explored the effects of MPAs on the demographic profiles of reef fish populations. We tested the assumption that areas closed to fishing for &gt;7 yr accumulate older individuals of a heavily targeted species, Lethrinus harak. Our survey design included 2 protected sites and 2 comparative fished sites. Using an age-based lengthconversion method, a novel approach in tropical fisheries, otolith-derived demographic information was supplemented with underwater visual census data. This approach provided valuable insights into the population dynamics of this species at small spatial scales (&lt;;2 km2). We found considerable site-specific differences in the age structure of L. harak, with protected sites having greater mean ages and lower total mortality. There was indication of density-dependent growth as greater size-atage occurred in fished sites where biomass had been depleted. Although female L. harak reach 50% maturity at 208 mm fork length (FL) or age 3.8 yr, it is the largest and oldest females (&gt;260 mm FL and &gt;9 yr) who make a disproportionate contribution to overall reproductive output, as ovary weight increases exponentially with both length and age. Currently size (Lc) and age (tc) at first capture is ̃100 mm and 2 yr below the size (L50) and age (t50) at first maturity. Numerous management scenarios based on minimum size limits were evaluated to determine which scenario would increase spawning biomass without compromising yield estimates. Our results demonstrate that effective implementation of MPAs allows a larger and older population to accrue, thus yielding considerable reproductive benefits. Copyright © 2010 Inter-Research.","container-title":"Marine Ecology Progress Series","DOI":"10.3354/meps08672","ISSN":"01718630","page":"243-258","title":"Beyond abundance and biomass: Effects of marine protected areas on the demography of a highly exploited reef fish","volume":"411","author":[{"family":"Taylor","given":"Brett M."},{"family":"McIlwain","given":"Jennifer L."}],"issued":{"date-parts":[["2010",7,29]]}}}],"schema":"https://github.com/citation-style-language/schema/raw/master/csl-citation.json"} </w:instrText>
            </w:r>
            <w:r>
              <w:rPr>
                <w:rFonts w:eastAsia="Times New Roman" w:cstheme="minorHAnsi"/>
                <w:color w:val="000000"/>
                <w:lang w:eastAsia="en-GB"/>
              </w:rPr>
              <w:fldChar w:fldCharType="separate"/>
            </w:r>
            <w:r w:rsidR="00C87D2F" w:rsidRPr="00C87D2F">
              <w:rPr>
                <w:rFonts w:ascii="Calibri" w:cs="Calibri"/>
                <w:color w:val="000000"/>
                <w:vertAlign w:val="superscript"/>
              </w:rPr>
              <w:t>1</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4EF1DE18"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05951F13"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3738F61F"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Plectropomus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areolatus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1F46CABF"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Epinephelidae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79DCBFCC"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Pohnpei</w:t>
            </w:r>
          </w:p>
        </w:tc>
        <w:tc>
          <w:tcPr>
            <w:tcW w:w="1663" w:type="dxa"/>
            <w:tcBorders>
              <w:top w:val="nil"/>
              <w:left w:val="nil"/>
              <w:bottom w:val="single" w:sz="4" w:space="0" w:color="000000"/>
              <w:right w:val="single" w:sz="4" w:space="0" w:color="000000"/>
            </w:tcBorders>
            <w:shd w:val="clear" w:color="auto" w:fill="auto"/>
            <w:noWrap/>
            <w:vAlign w:val="bottom"/>
            <w:hideMark/>
          </w:tcPr>
          <w:p w14:paraId="24B70114"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2.74</w:t>
            </w:r>
          </w:p>
        </w:tc>
        <w:tc>
          <w:tcPr>
            <w:tcW w:w="2055" w:type="dxa"/>
            <w:tcBorders>
              <w:top w:val="nil"/>
              <w:left w:val="nil"/>
              <w:bottom w:val="single" w:sz="4" w:space="0" w:color="000000"/>
              <w:right w:val="single" w:sz="4" w:space="0" w:color="000000"/>
            </w:tcBorders>
            <w:shd w:val="clear" w:color="auto" w:fill="auto"/>
            <w:noWrap/>
            <w:vAlign w:val="bottom"/>
            <w:hideMark/>
          </w:tcPr>
          <w:p w14:paraId="1BB11B6F"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0.73</w:t>
            </w:r>
          </w:p>
        </w:tc>
        <w:tc>
          <w:tcPr>
            <w:tcW w:w="2298" w:type="dxa"/>
            <w:tcBorders>
              <w:top w:val="nil"/>
              <w:left w:val="nil"/>
              <w:bottom w:val="single" w:sz="4" w:space="0" w:color="000000"/>
              <w:right w:val="single" w:sz="4" w:space="0" w:color="000000"/>
            </w:tcBorders>
            <w:shd w:val="clear" w:color="auto" w:fill="auto"/>
            <w:noWrap/>
            <w:vAlign w:val="bottom"/>
            <w:hideMark/>
          </w:tcPr>
          <w:p w14:paraId="74762984"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7423B5FE" w14:textId="0BCD8450" w:rsidR="0056149C" w:rsidRPr="00B825E1" w:rsidRDefault="00057E85"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5D3E38">
              <w:rPr>
                <w:rFonts w:eastAsia="Times New Roman" w:cstheme="minorHAnsi"/>
                <w:color w:val="000000"/>
                <w:lang w:eastAsia="en-GB"/>
              </w:rPr>
              <w:instrText xml:space="preserve"> ADDIN ZOTERO_ITEM CSL_CITATION {"citationID":"HsdEMpKF","properties":{"formattedCitation":"\\super 2\\nosupersub{}","plainCitation":"2","noteIndex":0},"citationItems":[{"id":9458,"uris":["http://zotero.org/users/11938866/items/29VQSICJ"],"itemData":{"id":9458,"type":"article-journal","abstract":"The squaretail coralgrouper Plectropomus areolatus was identified as a fast-growing, early maturing and relatively short-lived aggregation-spawning epinephelid. Examinations of sectioned otoliths found females and males first maturing at 2 and 3 years, respectively, suggesting protogynous hermaphroditism; however, no transitionals were observed in samples. Age distribution for the two sexes was similar and both were represented in the oldest age class; however, significant sex-specific differences in size-at-age were identified. Both sexes fully recruit into the fishery at age 4 years and reach 90% of asymptotic length by age 3 years. Underwater visual assessments, combined with the gonado-somatic indices, revealed a 5 month reproductive season, with interannual variability observed in the month of highest density within the spawning aggregation. Catch restrictions on adults during spawning times and at reproductive sites, combined with gear-based management and enhanced enforcement, are recommended to maintain spawning stocks. Based on the available evidence, the sexual pattern for this species is unresolved.","container-title":"Journal of Fish Biology","DOI":"10.1111/jfb.12076","ISSN":"1095-8649","issue":"4","language":"en","note":"_eprint: https://onlinelibrary.wiley.com/doi/pdf/10.1111/jfb.12076","page":"1333-1350","source":"Wiley Online Library","title":"Reproductive biology of squaretail coralgrouper Plectropomus areolatus using age-based techniques","volume":"82","author":[{"family":"Rhodes","given":"K. L."},{"family":"Taylor","given":"B. M."},{"family":"Wichilmel","given":"C. B."},{"family":"Joseph","given":"E."},{"family":"Hamilton","given":"R. J."},{"family":"Almany","given":"G. R."}],"issued":{"date-parts":[["2013"]]}}}],"schema":"https://github.com/citation-style-language/schema/raw/master/csl-citation.json"} </w:instrText>
            </w:r>
            <w:r>
              <w:rPr>
                <w:rFonts w:eastAsia="Times New Roman" w:cstheme="minorHAnsi"/>
                <w:color w:val="000000"/>
                <w:lang w:eastAsia="en-GB"/>
              </w:rPr>
              <w:fldChar w:fldCharType="separate"/>
            </w:r>
            <w:r w:rsidR="005D3E38" w:rsidRPr="005D3E38">
              <w:rPr>
                <w:rFonts w:ascii="Calibri" w:cs="Calibri"/>
                <w:color w:val="000000"/>
                <w:vertAlign w:val="superscript"/>
              </w:rPr>
              <w:t>2</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1909DA05"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7E0FC6C6"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44D5C3FD"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Chlorurus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spilurus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57CCA191" w14:textId="66194FD2"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Scarin</w:t>
            </w:r>
            <w:r w:rsidR="00DF39BF">
              <w:rPr>
                <w:rFonts w:eastAsia="Times New Roman" w:cstheme="minorHAnsi"/>
                <w:color w:val="000000"/>
                <w:lang w:eastAsia="en-GB"/>
              </w:rPr>
              <w:t>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605F1DA7"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Guam</w:t>
            </w:r>
          </w:p>
        </w:tc>
        <w:tc>
          <w:tcPr>
            <w:tcW w:w="1663" w:type="dxa"/>
            <w:tcBorders>
              <w:top w:val="nil"/>
              <w:left w:val="nil"/>
              <w:bottom w:val="single" w:sz="4" w:space="0" w:color="000000"/>
              <w:right w:val="single" w:sz="4" w:space="0" w:color="000000"/>
            </w:tcBorders>
            <w:shd w:val="clear" w:color="auto" w:fill="auto"/>
            <w:noWrap/>
            <w:vAlign w:val="bottom"/>
            <w:hideMark/>
          </w:tcPr>
          <w:p w14:paraId="3C0171AD"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9.44</w:t>
            </w:r>
          </w:p>
        </w:tc>
        <w:tc>
          <w:tcPr>
            <w:tcW w:w="2055" w:type="dxa"/>
            <w:tcBorders>
              <w:top w:val="nil"/>
              <w:left w:val="nil"/>
              <w:bottom w:val="single" w:sz="4" w:space="0" w:color="000000"/>
              <w:right w:val="single" w:sz="4" w:space="0" w:color="000000"/>
            </w:tcBorders>
            <w:shd w:val="clear" w:color="auto" w:fill="auto"/>
            <w:noWrap/>
            <w:vAlign w:val="bottom"/>
            <w:hideMark/>
          </w:tcPr>
          <w:p w14:paraId="1E72C3CE"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0.9</w:t>
            </w:r>
          </w:p>
        </w:tc>
        <w:tc>
          <w:tcPr>
            <w:tcW w:w="2298" w:type="dxa"/>
            <w:tcBorders>
              <w:top w:val="nil"/>
              <w:left w:val="nil"/>
              <w:bottom w:val="single" w:sz="4" w:space="0" w:color="000000"/>
              <w:right w:val="single" w:sz="4" w:space="0" w:color="000000"/>
            </w:tcBorders>
            <w:shd w:val="clear" w:color="auto" w:fill="auto"/>
            <w:noWrap/>
            <w:vAlign w:val="bottom"/>
            <w:hideMark/>
          </w:tcPr>
          <w:p w14:paraId="33CE7407"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1246013E" w14:textId="6659B4B9" w:rsidR="0056149C" w:rsidRPr="00B825E1" w:rsidRDefault="00D42FA8"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1F0B00">
              <w:rPr>
                <w:rFonts w:eastAsia="Times New Roman" w:cstheme="minorHAnsi"/>
                <w:color w:val="000000"/>
                <w:lang w:eastAsia="en-GB"/>
              </w:rPr>
              <w:instrText xml:space="preserve"> ADDIN ZOTERO_ITEM CSL_CITATION {"citationID":"C8OiQrlX","properties":{"formattedCitation":"\\super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001F0B00"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22AA730E"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Visual surveys of colour phases</w:t>
            </w:r>
          </w:p>
        </w:tc>
      </w:tr>
      <w:tr w:rsidR="0056149C" w:rsidRPr="00B825E1" w14:paraId="751A5B64"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3E4993B1"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Chlorurus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spilurus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27B3B4DC" w14:textId="0EEDC570"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342E214E"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Kosrae</w:t>
            </w:r>
          </w:p>
        </w:tc>
        <w:tc>
          <w:tcPr>
            <w:tcW w:w="1663" w:type="dxa"/>
            <w:tcBorders>
              <w:top w:val="nil"/>
              <w:left w:val="nil"/>
              <w:bottom w:val="single" w:sz="4" w:space="0" w:color="000000"/>
              <w:right w:val="single" w:sz="4" w:space="0" w:color="000000"/>
            </w:tcBorders>
            <w:shd w:val="clear" w:color="auto" w:fill="auto"/>
            <w:noWrap/>
            <w:vAlign w:val="bottom"/>
            <w:hideMark/>
          </w:tcPr>
          <w:p w14:paraId="68C08ED1"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3.45</w:t>
            </w:r>
          </w:p>
        </w:tc>
        <w:tc>
          <w:tcPr>
            <w:tcW w:w="2055" w:type="dxa"/>
            <w:tcBorders>
              <w:top w:val="nil"/>
              <w:left w:val="nil"/>
              <w:bottom w:val="single" w:sz="4" w:space="0" w:color="000000"/>
              <w:right w:val="single" w:sz="4" w:space="0" w:color="000000"/>
            </w:tcBorders>
            <w:shd w:val="clear" w:color="auto" w:fill="auto"/>
            <w:noWrap/>
            <w:vAlign w:val="bottom"/>
            <w:hideMark/>
          </w:tcPr>
          <w:p w14:paraId="3E33CDD4"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0.78</w:t>
            </w:r>
          </w:p>
        </w:tc>
        <w:tc>
          <w:tcPr>
            <w:tcW w:w="2298" w:type="dxa"/>
            <w:tcBorders>
              <w:top w:val="nil"/>
              <w:left w:val="nil"/>
              <w:bottom w:val="single" w:sz="4" w:space="0" w:color="000000"/>
              <w:right w:val="single" w:sz="4" w:space="0" w:color="000000"/>
            </w:tcBorders>
            <w:shd w:val="clear" w:color="auto" w:fill="auto"/>
            <w:noWrap/>
            <w:vAlign w:val="bottom"/>
            <w:hideMark/>
          </w:tcPr>
          <w:p w14:paraId="646C190D"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2209FC2A" w14:textId="1A76F7DF" w:rsidR="0056149C" w:rsidRPr="00B825E1" w:rsidRDefault="001F0B00"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AA1CE0">
              <w:rPr>
                <w:rFonts w:eastAsia="Times New Roman" w:cstheme="minorHAnsi"/>
                <w:color w:val="000000"/>
                <w:lang w:eastAsia="en-GB"/>
              </w:rPr>
              <w:instrText xml:space="preserve"> ADDIN ZOTERO_ITEM CSL_CITATION {"citationID":"EHQmEBe7","properties":{"formattedCitation":"\\super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741B9512"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Visual surveys of colour phases</w:t>
            </w:r>
          </w:p>
        </w:tc>
      </w:tr>
      <w:tr w:rsidR="0056149C" w:rsidRPr="00B825E1" w14:paraId="5D83F4E3"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0F310D42"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Chlorurus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spilurus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67D64F1A" w14:textId="14D8C458"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23A58624"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Sorol</w:t>
            </w:r>
            <w:proofErr w:type="spellEnd"/>
          </w:p>
        </w:tc>
        <w:tc>
          <w:tcPr>
            <w:tcW w:w="1663" w:type="dxa"/>
            <w:tcBorders>
              <w:top w:val="nil"/>
              <w:left w:val="nil"/>
              <w:bottom w:val="single" w:sz="4" w:space="0" w:color="000000"/>
              <w:right w:val="single" w:sz="4" w:space="0" w:color="000000"/>
            </w:tcBorders>
            <w:shd w:val="clear" w:color="auto" w:fill="auto"/>
            <w:noWrap/>
            <w:vAlign w:val="bottom"/>
            <w:hideMark/>
          </w:tcPr>
          <w:p w14:paraId="2017E9EC"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3.26</w:t>
            </w:r>
          </w:p>
        </w:tc>
        <w:tc>
          <w:tcPr>
            <w:tcW w:w="2055" w:type="dxa"/>
            <w:tcBorders>
              <w:top w:val="nil"/>
              <w:left w:val="nil"/>
              <w:bottom w:val="single" w:sz="4" w:space="0" w:color="000000"/>
              <w:right w:val="single" w:sz="4" w:space="0" w:color="000000"/>
            </w:tcBorders>
            <w:shd w:val="clear" w:color="auto" w:fill="auto"/>
            <w:noWrap/>
            <w:vAlign w:val="bottom"/>
            <w:hideMark/>
          </w:tcPr>
          <w:p w14:paraId="5075CA37"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0.77</w:t>
            </w:r>
          </w:p>
        </w:tc>
        <w:tc>
          <w:tcPr>
            <w:tcW w:w="2298" w:type="dxa"/>
            <w:tcBorders>
              <w:top w:val="nil"/>
              <w:left w:val="nil"/>
              <w:bottom w:val="single" w:sz="4" w:space="0" w:color="000000"/>
              <w:right w:val="single" w:sz="4" w:space="0" w:color="000000"/>
            </w:tcBorders>
            <w:shd w:val="clear" w:color="auto" w:fill="auto"/>
            <w:noWrap/>
            <w:vAlign w:val="bottom"/>
            <w:hideMark/>
          </w:tcPr>
          <w:p w14:paraId="51DB84C2"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6D80EC14" w14:textId="610FF79B" w:rsidR="0056149C" w:rsidRPr="00B825E1" w:rsidRDefault="001F0B00"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AA1CE0">
              <w:rPr>
                <w:rFonts w:eastAsia="Times New Roman" w:cstheme="minorHAnsi"/>
                <w:color w:val="000000"/>
                <w:lang w:eastAsia="en-GB"/>
              </w:rPr>
              <w:instrText xml:space="preserve"> ADDIN ZOTERO_ITEM CSL_CITATION {"citationID":"ahuzxazm","properties":{"formattedCitation":"\\super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05EDA0CC"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Visual surveys of colour phases</w:t>
            </w:r>
          </w:p>
        </w:tc>
      </w:tr>
      <w:tr w:rsidR="0056149C" w:rsidRPr="00B825E1" w14:paraId="09609857"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2A5686A7"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Chlorurus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spilurus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54787482" w14:textId="704AE8FE"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2C1A6FC7"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Ifalik</w:t>
            </w:r>
            <w:proofErr w:type="spellEnd"/>
          </w:p>
        </w:tc>
        <w:tc>
          <w:tcPr>
            <w:tcW w:w="1663" w:type="dxa"/>
            <w:tcBorders>
              <w:top w:val="nil"/>
              <w:left w:val="nil"/>
              <w:bottom w:val="single" w:sz="4" w:space="0" w:color="000000"/>
              <w:right w:val="single" w:sz="4" w:space="0" w:color="000000"/>
            </w:tcBorders>
            <w:shd w:val="clear" w:color="auto" w:fill="auto"/>
            <w:noWrap/>
            <w:vAlign w:val="bottom"/>
            <w:hideMark/>
          </w:tcPr>
          <w:p w14:paraId="0D3EE2E3"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1.71</w:t>
            </w:r>
          </w:p>
        </w:tc>
        <w:tc>
          <w:tcPr>
            <w:tcW w:w="2055" w:type="dxa"/>
            <w:tcBorders>
              <w:top w:val="nil"/>
              <w:left w:val="nil"/>
              <w:bottom w:val="single" w:sz="4" w:space="0" w:color="000000"/>
              <w:right w:val="single" w:sz="4" w:space="0" w:color="000000"/>
            </w:tcBorders>
            <w:shd w:val="clear" w:color="auto" w:fill="auto"/>
            <w:noWrap/>
            <w:vAlign w:val="bottom"/>
            <w:hideMark/>
          </w:tcPr>
          <w:p w14:paraId="4092DDC8"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0.63</w:t>
            </w:r>
          </w:p>
        </w:tc>
        <w:tc>
          <w:tcPr>
            <w:tcW w:w="2298" w:type="dxa"/>
            <w:tcBorders>
              <w:top w:val="nil"/>
              <w:left w:val="nil"/>
              <w:bottom w:val="single" w:sz="4" w:space="0" w:color="000000"/>
              <w:right w:val="single" w:sz="4" w:space="0" w:color="000000"/>
            </w:tcBorders>
            <w:shd w:val="clear" w:color="auto" w:fill="auto"/>
            <w:noWrap/>
            <w:vAlign w:val="bottom"/>
            <w:hideMark/>
          </w:tcPr>
          <w:p w14:paraId="5D5307CA"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555EAAD2" w14:textId="3C9AEE18" w:rsidR="0056149C" w:rsidRPr="00B825E1" w:rsidRDefault="001F0B00"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AA1CE0">
              <w:rPr>
                <w:rFonts w:eastAsia="Times New Roman" w:cstheme="minorHAnsi"/>
                <w:color w:val="000000"/>
                <w:lang w:eastAsia="en-GB"/>
              </w:rPr>
              <w:instrText xml:space="preserve"> ADDIN ZOTERO_ITEM CSL_CITATION {"citationID":"9wHaPrZd","properties":{"formattedCitation":"\\super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2BCC1D59"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Visual surveys of colour phases</w:t>
            </w:r>
          </w:p>
        </w:tc>
      </w:tr>
      <w:tr w:rsidR="0056149C" w:rsidRPr="00B825E1" w14:paraId="4EDBEF35"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59C0F12F"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Chlorurus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spilurus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59F17F06" w14:textId="21FE883E"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20A2F90D"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Lamotrek</w:t>
            </w:r>
            <w:proofErr w:type="spellEnd"/>
          </w:p>
        </w:tc>
        <w:tc>
          <w:tcPr>
            <w:tcW w:w="1663" w:type="dxa"/>
            <w:tcBorders>
              <w:top w:val="nil"/>
              <w:left w:val="nil"/>
              <w:bottom w:val="single" w:sz="4" w:space="0" w:color="000000"/>
              <w:right w:val="single" w:sz="4" w:space="0" w:color="000000"/>
            </w:tcBorders>
            <w:shd w:val="clear" w:color="auto" w:fill="auto"/>
            <w:noWrap/>
            <w:vAlign w:val="bottom"/>
            <w:hideMark/>
          </w:tcPr>
          <w:p w14:paraId="27392278"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2</w:t>
            </w:r>
          </w:p>
        </w:tc>
        <w:tc>
          <w:tcPr>
            <w:tcW w:w="2055" w:type="dxa"/>
            <w:tcBorders>
              <w:top w:val="nil"/>
              <w:left w:val="nil"/>
              <w:bottom w:val="single" w:sz="4" w:space="0" w:color="000000"/>
              <w:right w:val="single" w:sz="4" w:space="0" w:color="000000"/>
            </w:tcBorders>
            <w:shd w:val="clear" w:color="auto" w:fill="auto"/>
            <w:noWrap/>
            <w:vAlign w:val="bottom"/>
            <w:hideMark/>
          </w:tcPr>
          <w:p w14:paraId="55EC18A7"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0.67</w:t>
            </w:r>
          </w:p>
        </w:tc>
        <w:tc>
          <w:tcPr>
            <w:tcW w:w="2298" w:type="dxa"/>
            <w:tcBorders>
              <w:top w:val="nil"/>
              <w:left w:val="nil"/>
              <w:bottom w:val="single" w:sz="4" w:space="0" w:color="000000"/>
              <w:right w:val="single" w:sz="4" w:space="0" w:color="000000"/>
            </w:tcBorders>
            <w:shd w:val="clear" w:color="auto" w:fill="auto"/>
            <w:noWrap/>
            <w:vAlign w:val="bottom"/>
            <w:hideMark/>
          </w:tcPr>
          <w:p w14:paraId="5D7AAE4F"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467DFF44" w14:textId="1EACE111" w:rsidR="0056149C" w:rsidRPr="00B825E1" w:rsidRDefault="001F0B00"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AA1CE0">
              <w:rPr>
                <w:rFonts w:eastAsia="Times New Roman" w:cstheme="minorHAnsi"/>
                <w:color w:val="000000"/>
                <w:lang w:eastAsia="en-GB"/>
              </w:rPr>
              <w:instrText xml:space="preserve"> ADDIN ZOTERO_ITEM CSL_CITATION {"citationID":"eW9b0mFw","properties":{"formattedCitation":"\\super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6AB6A320"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Visual surveys of colour phases</w:t>
            </w:r>
          </w:p>
        </w:tc>
      </w:tr>
      <w:tr w:rsidR="0056149C" w:rsidRPr="00B825E1" w14:paraId="075AC11F"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6674AB21"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Chlorurus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spilurus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24D5F9E4" w14:textId="49077F49"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3FE05EB1"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Pohnpei</w:t>
            </w:r>
          </w:p>
        </w:tc>
        <w:tc>
          <w:tcPr>
            <w:tcW w:w="1663" w:type="dxa"/>
            <w:tcBorders>
              <w:top w:val="nil"/>
              <w:left w:val="nil"/>
              <w:bottom w:val="single" w:sz="4" w:space="0" w:color="000000"/>
              <w:right w:val="single" w:sz="4" w:space="0" w:color="000000"/>
            </w:tcBorders>
            <w:shd w:val="clear" w:color="auto" w:fill="auto"/>
            <w:noWrap/>
            <w:vAlign w:val="bottom"/>
            <w:hideMark/>
          </w:tcPr>
          <w:p w14:paraId="1D9D955A"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3.16</w:t>
            </w:r>
          </w:p>
        </w:tc>
        <w:tc>
          <w:tcPr>
            <w:tcW w:w="2055" w:type="dxa"/>
            <w:tcBorders>
              <w:top w:val="nil"/>
              <w:left w:val="nil"/>
              <w:bottom w:val="single" w:sz="4" w:space="0" w:color="000000"/>
              <w:right w:val="single" w:sz="4" w:space="0" w:color="000000"/>
            </w:tcBorders>
            <w:shd w:val="clear" w:color="auto" w:fill="auto"/>
            <w:noWrap/>
            <w:vAlign w:val="bottom"/>
            <w:hideMark/>
          </w:tcPr>
          <w:p w14:paraId="41776A7F"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0.76</w:t>
            </w:r>
          </w:p>
        </w:tc>
        <w:tc>
          <w:tcPr>
            <w:tcW w:w="2298" w:type="dxa"/>
            <w:tcBorders>
              <w:top w:val="nil"/>
              <w:left w:val="nil"/>
              <w:bottom w:val="single" w:sz="4" w:space="0" w:color="000000"/>
              <w:right w:val="single" w:sz="4" w:space="0" w:color="000000"/>
            </w:tcBorders>
            <w:shd w:val="clear" w:color="auto" w:fill="auto"/>
            <w:noWrap/>
            <w:vAlign w:val="bottom"/>
            <w:hideMark/>
          </w:tcPr>
          <w:p w14:paraId="1D3D6AF2"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583C9377" w14:textId="567822BF" w:rsidR="0056149C" w:rsidRPr="00B825E1" w:rsidRDefault="00AD2BB3"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Pr>
                <w:rFonts w:eastAsia="Times New Roman" w:cstheme="minorHAnsi"/>
                <w:color w:val="000000"/>
                <w:lang w:eastAsia="en-GB"/>
              </w:rPr>
              <w:instrText xml:space="preserve"> ADDIN ZOTERO_ITEM CSL_CITATION {"citationID":"nCKlcFbt","properties":{"formattedCitation":"\\super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26F215FF"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Visual surveys of colour phases</w:t>
            </w:r>
          </w:p>
        </w:tc>
      </w:tr>
      <w:tr w:rsidR="0056149C" w:rsidRPr="00B825E1" w14:paraId="03D31545"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3FAF69C0"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Chlorurus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spilurus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4778BA06" w14:textId="19752A36"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7D8558C2"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Yap</w:t>
            </w:r>
          </w:p>
        </w:tc>
        <w:tc>
          <w:tcPr>
            <w:tcW w:w="1663" w:type="dxa"/>
            <w:tcBorders>
              <w:top w:val="nil"/>
              <w:left w:val="nil"/>
              <w:bottom w:val="single" w:sz="4" w:space="0" w:color="000000"/>
              <w:right w:val="single" w:sz="4" w:space="0" w:color="000000"/>
            </w:tcBorders>
            <w:shd w:val="clear" w:color="auto" w:fill="auto"/>
            <w:noWrap/>
            <w:vAlign w:val="bottom"/>
            <w:hideMark/>
          </w:tcPr>
          <w:p w14:paraId="7FAB0FD8"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1.93</w:t>
            </w:r>
          </w:p>
        </w:tc>
        <w:tc>
          <w:tcPr>
            <w:tcW w:w="2055" w:type="dxa"/>
            <w:tcBorders>
              <w:top w:val="nil"/>
              <w:left w:val="nil"/>
              <w:bottom w:val="single" w:sz="4" w:space="0" w:color="000000"/>
              <w:right w:val="single" w:sz="4" w:space="0" w:color="000000"/>
            </w:tcBorders>
            <w:shd w:val="clear" w:color="auto" w:fill="auto"/>
            <w:noWrap/>
            <w:vAlign w:val="bottom"/>
            <w:hideMark/>
          </w:tcPr>
          <w:p w14:paraId="608BDDF5"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0.66</w:t>
            </w:r>
          </w:p>
        </w:tc>
        <w:tc>
          <w:tcPr>
            <w:tcW w:w="2298" w:type="dxa"/>
            <w:tcBorders>
              <w:top w:val="nil"/>
              <w:left w:val="nil"/>
              <w:bottom w:val="single" w:sz="4" w:space="0" w:color="000000"/>
              <w:right w:val="single" w:sz="4" w:space="0" w:color="000000"/>
            </w:tcBorders>
            <w:shd w:val="clear" w:color="auto" w:fill="auto"/>
            <w:noWrap/>
            <w:vAlign w:val="bottom"/>
            <w:hideMark/>
          </w:tcPr>
          <w:p w14:paraId="70CEF005"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4DDADEDC" w14:textId="44D023E5" w:rsidR="0056149C" w:rsidRPr="00B825E1" w:rsidRDefault="00AD2BB3"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9848A5">
              <w:rPr>
                <w:rFonts w:eastAsia="Times New Roman" w:cstheme="minorHAnsi"/>
                <w:color w:val="000000"/>
                <w:lang w:eastAsia="en-GB"/>
              </w:rPr>
              <w:instrText xml:space="preserve"> ADDIN ZOTERO_ITEM CSL_CITATION {"citationID":"sjtPNt4W","properties":{"formattedCitation":"\\super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60A47F1A"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Visual surveys of colour phases</w:t>
            </w:r>
          </w:p>
        </w:tc>
      </w:tr>
      <w:tr w:rsidR="0056149C" w:rsidRPr="00B825E1" w14:paraId="01643F67"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53E39E47"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Calotomus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carolinus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5E3BFC0F" w14:textId="5CCE2BB9"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3E41A55D"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Guam</w:t>
            </w:r>
          </w:p>
        </w:tc>
        <w:tc>
          <w:tcPr>
            <w:tcW w:w="1663" w:type="dxa"/>
            <w:tcBorders>
              <w:top w:val="nil"/>
              <w:left w:val="nil"/>
              <w:bottom w:val="single" w:sz="4" w:space="0" w:color="000000"/>
              <w:right w:val="single" w:sz="4" w:space="0" w:color="000000"/>
            </w:tcBorders>
            <w:shd w:val="clear" w:color="auto" w:fill="auto"/>
            <w:noWrap/>
            <w:vAlign w:val="bottom"/>
            <w:hideMark/>
          </w:tcPr>
          <w:p w14:paraId="7771B96C"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0.79</w:t>
            </w:r>
          </w:p>
        </w:tc>
        <w:tc>
          <w:tcPr>
            <w:tcW w:w="2055" w:type="dxa"/>
            <w:tcBorders>
              <w:top w:val="nil"/>
              <w:left w:val="nil"/>
              <w:bottom w:val="single" w:sz="4" w:space="0" w:color="000000"/>
              <w:right w:val="single" w:sz="4" w:space="0" w:color="000000"/>
            </w:tcBorders>
            <w:shd w:val="clear" w:color="auto" w:fill="auto"/>
            <w:noWrap/>
            <w:vAlign w:val="bottom"/>
            <w:hideMark/>
          </w:tcPr>
          <w:p w14:paraId="60E35FDD"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0.44</w:t>
            </w:r>
          </w:p>
        </w:tc>
        <w:tc>
          <w:tcPr>
            <w:tcW w:w="2298" w:type="dxa"/>
            <w:tcBorders>
              <w:top w:val="nil"/>
              <w:left w:val="nil"/>
              <w:bottom w:val="single" w:sz="4" w:space="0" w:color="000000"/>
              <w:right w:val="single" w:sz="4" w:space="0" w:color="000000"/>
            </w:tcBorders>
            <w:shd w:val="clear" w:color="auto" w:fill="auto"/>
            <w:noWrap/>
            <w:vAlign w:val="bottom"/>
            <w:hideMark/>
          </w:tcPr>
          <w:p w14:paraId="0DE19640"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224DDD7C" w14:textId="06AFFE4B" w:rsidR="0056149C" w:rsidRPr="00B825E1" w:rsidRDefault="00AD2BB3"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9848A5">
              <w:rPr>
                <w:rFonts w:eastAsia="Times New Roman" w:cstheme="minorHAnsi"/>
                <w:color w:val="000000"/>
                <w:lang w:eastAsia="en-GB"/>
              </w:rPr>
              <w:instrText xml:space="preserve"> ADDIN ZOTERO_ITEM CSL_CITATION {"citationID":"nm6OSy6m","properties":{"formattedCitation":"\\super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2036956C"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69E0CE89"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7DE10DC2"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Cetoscarus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bicolor</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3DD9C649" w14:textId="2922922D"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6698B8A8"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Pohnpei</w:t>
            </w:r>
          </w:p>
        </w:tc>
        <w:tc>
          <w:tcPr>
            <w:tcW w:w="1663" w:type="dxa"/>
            <w:tcBorders>
              <w:top w:val="nil"/>
              <w:left w:val="nil"/>
              <w:bottom w:val="single" w:sz="4" w:space="0" w:color="000000"/>
              <w:right w:val="single" w:sz="4" w:space="0" w:color="000000"/>
            </w:tcBorders>
            <w:shd w:val="clear" w:color="auto" w:fill="auto"/>
            <w:noWrap/>
            <w:vAlign w:val="bottom"/>
            <w:hideMark/>
          </w:tcPr>
          <w:p w14:paraId="0BF0F294"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2.36</w:t>
            </w:r>
          </w:p>
        </w:tc>
        <w:tc>
          <w:tcPr>
            <w:tcW w:w="2055" w:type="dxa"/>
            <w:tcBorders>
              <w:top w:val="nil"/>
              <w:left w:val="nil"/>
              <w:bottom w:val="single" w:sz="4" w:space="0" w:color="000000"/>
              <w:right w:val="single" w:sz="4" w:space="0" w:color="000000"/>
            </w:tcBorders>
            <w:shd w:val="clear" w:color="auto" w:fill="auto"/>
            <w:noWrap/>
            <w:vAlign w:val="bottom"/>
            <w:hideMark/>
          </w:tcPr>
          <w:p w14:paraId="3596E0AC"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0.7</w:t>
            </w:r>
          </w:p>
        </w:tc>
        <w:tc>
          <w:tcPr>
            <w:tcW w:w="2298" w:type="dxa"/>
            <w:tcBorders>
              <w:top w:val="nil"/>
              <w:left w:val="nil"/>
              <w:bottom w:val="single" w:sz="4" w:space="0" w:color="000000"/>
              <w:right w:val="single" w:sz="4" w:space="0" w:color="000000"/>
            </w:tcBorders>
            <w:shd w:val="clear" w:color="auto" w:fill="auto"/>
            <w:noWrap/>
            <w:vAlign w:val="bottom"/>
            <w:hideMark/>
          </w:tcPr>
          <w:p w14:paraId="7835F634"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49333348" w14:textId="4138671E" w:rsidR="0056149C" w:rsidRPr="00B825E1" w:rsidRDefault="00AD2BB3"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9848A5">
              <w:rPr>
                <w:rFonts w:eastAsia="Times New Roman" w:cstheme="minorHAnsi"/>
                <w:color w:val="000000"/>
                <w:lang w:eastAsia="en-GB"/>
              </w:rPr>
              <w:instrText xml:space="preserve"> ADDIN ZOTERO_ITEM CSL_CITATION {"citationID":"tk4VCmI7","properties":{"formattedCitation":"\\super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4C433DE0"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266D7B48"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70603DAD"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Chlorurus</w:t>
            </w:r>
            <w:proofErr w:type="spellEnd"/>
            <w:r w:rsidRPr="00B825E1">
              <w:rPr>
                <w:rFonts w:eastAsia="Times New Roman" w:cstheme="minorHAnsi"/>
                <w:color w:val="000000"/>
                <w:lang w:eastAsia="en-GB"/>
              </w:rPr>
              <w:t xml:space="preserve"> frontalis</w:t>
            </w:r>
          </w:p>
        </w:tc>
        <w:tc>
          <w:tcPr>
            <w:tcW w:w="1476" w:type="dxa"/>
            <w:tcBorders>
              <w:top w:val="nil"/>
              <w:left w:val="nil"/>
              <w:bottom w:val="single" w:sz="4" w:space="0" w:color="000000"/>
              <w:right w:val="single" w:sz="4" w:space="0" w:color="000000"/>
            </w:tcBorders>
            <w:shd w:val="clear" w:color="auto" w:fill="auto"/>
            <w:noWrap/>
            <w:vAlign w:val="bottom"/>
            <w:hideMark/>
          </w:tcPr>
          <w:p w14:paraId="372B02DF" w14:textId="18BF67FA"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0819E395"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Guam</w:t>
            </w:r>
          </w:p>
        </w:tc>
        <w:tc>
          <w:tcPr>
            <w:tcW w:w="1663" w:type="dxa"/>
            <w:tcBorders>
              <w:top w:val="nil"/>
              <w:left w:val="nil"/>
              <w:bottom w:val="single" w:sz="4" w:space="0" w:color="000000"/>
              <w:right w:val="single" w:sz="4" w:space="0" w:color="000000"/>
            </w:tcBorders>
            <w:shd w:val="clear" w:color="auto" w:fill="auto"/>
            <w:noWrap/>
            <w:vAlign w:val="bottom"/>
            <w:hideMark/>
          </w:tcPr>
          <w:p w14:paraId="643C71F1"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1.24</w:t>
            </w:r>
          </w:p>
        </w:tc>
        <w:tc>
          <w:tcPr>
            <w:tcW w:w="2055" w:type="dxa"/>
            <w:tcBorders>
              <w:top w:val="nil"/>
              <w:left w:val="nil"/>
              <w:bottom w:val="single" w:sz="4" w:space="0" w:color="000000"/>
              <w:right w:val="single" w:sz="4" w:space="0" w:color="000000"/>
            </w:tcBorders>
            <w:shd w:val="clear" w:color="auto" w:fill="auto"/>
            <w:noWrap/>
            <w:vAlign w:val="bottom"/>
            <w:hideMark/>
          </w:tcPr>
          <w:p w14:paraId="7DEC07D5"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0.55</w:t>
            </w:r>
          </w:p>
        </w:tc>
        <w:tc>
          <w:tcPr>
            <w:tcW w:w="2298" w:type="dxa"/>
            <w:tcBorders>
              <w:top w:val="nil"/>
              <w:left w:val="nil"/>
              <w:bottom w:val="single" w:sz="4" w:space="0" w:color="000000"/>
              <w:right w:val="single" w:sz="4" w:space="0" w:color="000000"/>
            </w:tcBorders>
            <w:shd w:val="clear" w:color="auto" w:fill="auto"/>
            <w:noWrap/>
            <w:vAlign w:val="bottom"/>
            <w:hideMark/>
          </w:tcPr>
          <w:p w14:paraId="62F57C0D"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7EA4DA5B" w14:textId="0306632C" w:rsidR="0056149C" w:rsidRPr="00B825E1" w:rsidRDefault="00AD2BB3"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9848A5">
              <w:rPr>
                <w:rFonts w:eastAsia="Times New Roman" w:cstheme="minorHAnsi"/>
                <w:color w:val="000000"/>
                <w:lang w:eastAsia="en-GB"/>
              </w:rPr>
              <w:instrText xml:space="preserve"> ADDIN ZOTERO_ITEM CSL_CITATION {"citationID":"WYYnrxcW","properties":{"formattedCitation":"\\super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1559DAE2"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1AD4BF9C"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511F3D1E"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Chlorurus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microrhinos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36787813" w14:textId="04F19582"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46A33204"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Guam</w:t>
            </w:r>
          </w:p>
        </w:tc>
        <w:tc>
          <w:tcPr>
            <w:tcW w:w="1663" w:type="dxa"/>
            <w:tcBorders>
              <w:top w:val="nil"/>
              <w:left w:val="nil"/>
              <w:bottom w:val="single" w:sz="4" w:space="0" w:color="000000"/>
              <w:right w:val="single" w:sz="4" w:space="0" w:color="000000"/>
            </w:tcBorders>
            <w:shd w:val="clear" w:color="auto" w:fill="auto"/>
            <w:noWrap/>
            <w:vAlign w:val="bottom"/>
            <w:hideMark/>
          </w:tcPr>
          <w:p w14:paraId="7DC2975F"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4</w:t>
            </w:r>
          </w:p>
        </w:tc>
        <w:tc>
          <w:tcPr>
            <w:tcW w:w="2055" w:type="dxa"/>
            <w:tcBorders>
              <w:top w:val="nil"/>
              <w:left w:val="nil"/>
              <w:bottom w:val="single" w:sz="4" w:space="0" w:color="000000"/>
              <w:right w:val="single" w:sz="4" w:space="0" w:color="000000"/>
            </w:tcBorders>
            <w:shd w:val="clear" w:color="auto" w:fill="auto"/>
            <w:noWrap/>
            <w:vAlign w:val="bottom"/>
            <w:hideMark/>
          </w:tcPr>
          <w:p w14:paraId="2D360223"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0.8</w:t>
            </w:r>
          </w:p>
        </w:tc>
        <w:tc>
          <w:tcPr>
            <w:tcW w:w="2298" w:type="dxa"/>
            <w:tcBorders>
              <w:top w:val="nil"/>
              <w:left w:val="nil"/>
              <w:bottom w:val="single" w:sz="4" w:space="0" w:color="000000"/>
              <w:right w:val="single" w:sz="4" w:space="0" w:color="000000"/>
            </w:tcBorders>
            <w:shd w:val="clear" w:color="auto" w:fill="auto"/>
            <w:noWrap/>
            <w:vAlign w:val="bottom"/>
            <w:hideMark/>
          </w:tcPr>
          <w:p w14:paraId="0BFCBE7A"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7A2405EA" w14:textId="04F34781" w:rsidR="0056149C" w:rsidRPr="00B825E1" w:rsidRDefault="00AD2BB3"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9848A5">
              <w:rPr>
                <w:rFonts w:eastAsia="Times New Roman" w:cstheme="minorHAnsi"/>
                <w:color w:val="000000"/>
                <w:lang w:eastAsia="en-GB"/>
              </w:rPr>
              <w:instrText xml:space="preserve"> ADDIN ZOTERO_ITEM CSL_CITATION {"citationID":"UZyQKiqy","properties":{"formattedCitation":"\\super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5303D9AB"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4DF7B662"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6EC7896D"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Chlorurus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spilurus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77F01EEB" w14:textId="26557E4D"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51DF1508"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Guam</w:t>
            </w:r>
          </w:p>
        </w:tc>
        <w:tc>
          <w:tcPr>
            <w:tcW w:w="1663" w:type="dxa"/>
            <w:tcBorders>
              <w:top w:val="nil"/>
              <w:left w:val="nil"/>
              <w:bottom w:val="single" w:sz="4" w:space="0" w:color="000000"/>
              <w:right w:val="single" w:sz="4" w:space="0" w:color="000000"/>
            </w:tcBorders>
            <w:shd w:val="clear" w:color="auto" w:fill="auto"/>
            <w:noWrap/>
            <w:vAlign w:val="bottom"/>
            <w:hideMark/>
          </w:tcPr>
          <w:p w14:paraId="7636B0E4"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1.55</w:t>
            </w:r>
          </w:p>
        </w:tc>
        <w:tc>
          <w:tcPr>
            <w:tcW w:w="2055" w:type="dxa"/>
            <w:tcBorders>
              <w:top w:val="nil"/>
              <w:left w:val="nil"/>
              <w:bottom w:val="single" w:sz="4" w:space="0" w:color="000000"/>
              <w:right w:val="single" w:sz="4" w:space="0" w:color="000000"/>
            </w:tcBorders>
            <w:shd w:val="clear" w:color="auto" w:fill="auto"/>
            <w:noWrap/>
            <w:vAlign w:val="bottom"/>
            <w:hideMark/>
          </w:tcPr>
          <w:p w14:paraId="2B2D04A1"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0.61</w:t>
            </w:r>
          </w:p>
        </w:tc>
        <w:tc>
          <w:tcPr>
            <w:tcW w:w="2298" w:type="dxa"/>
            <w:tcBorders>
              <w:top w:val="nil"/>
              <w:left w:val="nil"/>
              <w:bottom w:val="single" w:sz="4" w:space="0" w:color="000000"/>
              <w:right w:val="single" w:sz="4" w:space="0" w:color="000000"/>
            </w:tcBorders>
            <w:shd w:val="clear" w:color="auto" w:fill="auto"/>
            <w:noWrap/>
            <w:vAlign w:val="bottom"/>
            <w:hideMark/>
          </w:tcPr>
          <w:p w14:paraId="79175A3E"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0FEE00DA" w14:textId="6F71CB63" w:rsidR="0056149C" w:rsidRPr="00B825E1" w:rsidRDefault="00AD2BB3"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9848A5">
              <w:rPr>
                <w:rFonts w:eastAsia="Times New Roman" w:cstheme="minorHAnsi"/>
                <w:color w:val="000000"/>
                <w:lang w:eastAsia="en-GB"/>
              </w:rPr>
              <w:instrText xml:space="preserve"> ADDIN ZOTERO_ITEM CSL_CITATION {"citationID":"KGQNkDzl","properties":{"formattedCitation":"\\super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38A35621"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4D773A6D"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331CBDEC"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Hipposcarus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longiceps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70AEC4EC" w14:textId="48D799A4"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7BC588CB"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Pohnpei</w:t>
            </w:r>
          </w:p>
        </w:tc>
        <w:tc>
          <w:tcPr>
            <w:tcW w:w="1663" w:type="dxa"/>
            <w:tcBorders>
              <w:top w:val="nil"/>
              <w:left w:val="nil"/>
              <w:bottom w:val="single" w:sz="4" w:space="0" w:color="000000"/>
              <w:right w:val="single" w:sz="4" w:space="0" w:color="000000"/>
            </w:tcBorders>
            <w:shd w:val="clear" w:color="auto" w:fill="auto"/>
            <w:noWrap/>
            <w:vAlign w:val="bottom"/>
            <w:hideMark/>
          </w:tcPr>
          <w:p w14:paraId="641DC5B6"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1.91</w:t>
            </w:r>
          </w:p>
        </w:tc>
        <w:tc>
          <w:tcPr>
            <w:tcW w:w="2055" w:type="dxa"/>
            <w:tcBorders>
              <w:top w:val="nil"/>
              <w:left w:val="nil"/>
              <w:bottom w:val="single" w:sz="4" w:space="0" w:color="000000"/>
              <w:right w:val="single" w:sz="4" w:space="0" w:color="000000"/>
            </w:tcBorders>
            <w:shd w:val="clear" w:color="auto" w:fill="auto"/>
            <w:noWrap/>
            <w:vAlign w:val="bottom"/>
            <w:hideMark/>
          </w:tcPr>
          <w:p w14:paraId="6536BB98"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0.66</w:t>
            </w:r>
          </w:p>
        </w:tc>
        <w:tc>
          <w:tcPr>
            <w:tcW w:w="2298" w:type="dxa"/>
            <w:tcBorders>
              <w:top w:val="nil"/>
              <w:left w:val="nil"/>
              <w:bottom w:val="single" w:sz="4" w:space="0" w:color="000000"/>
              <w:right w:val="single" w:sz="4" w:space="0" w:color="000000"/>
            </w:tcBorders>
            <w:shd w:val="clear" w:color="auto" w:fill="auto"/>
            <w:noWrap/>
            <w:vAlign w:val="bottom"/>
            <w:hideMark/>
          </w:tcPr>
          <w:p w14:paraId="7FC7A64F"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29441AB7" w14:textId="50BF46F1" w:rsidR="0056149C" w:rsidRPr="00B825E1" w:rsidRDefault="00AD2BB3"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9848A5">
              <w:rPr>
                <w:rFonts w:eastAsia="Times New Roman" w:cstheme="minorHAnsi"/>
                <w:color w:val="000000"/>
                <w:lang w:eastAsia="en-GB"/>
              </w:rPr>
              <w:instrText xml:space="preserve"> ADDIN ZOTERO_ITEM CSL_CITATION {"citationID":"7mxYQFVo","properties":{"formattedCitation":"\\super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34C19541"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41B7539B"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7209464E"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lastRenderedPageBreak/>
              <w:t>Scarus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altipinnis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68DB1A6A" w14:textId="0C9AD7F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38914CEB"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Guam</w:t>
            </w:r>
          </w:p>
        </w:tc>
        <w:tc>
          <w:tcPr>
            <w:tcW w:w="1663" w:type="dxa"/>
            <w:tcBorders>
              <w:top w:val="nil"/>
              <w:left w:val="nil"/>
              <w:bottom w:val="single" w:sz="4" w:space="0" w:color="000000"/>
              <w:right w:val="single" w:sz="4" w:space="0" w:color="000000"/>
            </w:tcBorders>
            <w:shd w:val="clear" w:color="auto" w:fill="auto"/>
            <w:noWrap/>
            <w:vAlign w:val="bottom"/>
            <w:hideMark/>
          </w:tcPr>
          <w:p w14:paraId="3940A93D"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1.65</w:t>
            </w:r>
          </w:p>
        </w:tc>
        <w:tc>
          <w:tcPr>
            <w:tcW w:w="2055" w:type="dxa"/>
            <w:tcBorders>
              <w:top w:val="nil"/>
              <w:left w:val="nil"/>
              <w:bottom w:val="single" w:sz="4" w:space="0" w:color="000000"/>
              <w:right w:val="single" w:sz="4" w:space="0" w:color="000000"/>
            </w:tcBorders>
            <w:shd w:val="clear" w:color="auto" w:fill="auto"/>
            <w:noWrap/>
            <w:vAlign w:val="bottom"/>
            <w:hideMark/>
          </w:tcPr>
          <w:p w14:paraId="00A96926"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0.62</w:t>
            </w:r>
          </w:p>
        </w:tc>
        <w:tc>
          <w:tcPr>
            <w:tcW w:w="2298" w:type="dxa"/>
            <w:tcBorders>
              <w:top w:val="nil"/>
              <w:left w:val="nil"/>
              <w:bottom w:val="single" w:sz="4" w:space="0" w:color="000000"/>
              <w:right w:val="single" w:sz="4" w:space="0" w:color="000000"/>
            </w:tcBorders>
            <w:shd w:val="clear" w:color="auto" w:fill="auto"/>
            <w:noWrap/>
            <w:vAlign w:val="bottom"/>
            <w:hideMark/>
          </w:tcPr>
          <w:p w14:paraId="7E337E10"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187832EA" w14:textId="4AFCFF73" w:rsidR="0056149C" w:rsidRPr="00B825E1" w:rsidRDefault="00AD2BB3"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9848A5">
              <w:rPr>
                <w:rFonts w:eastAsia="Times New Roman" w:cstheme="minorHAnsi"/>
                <w:color w:val="000000"/>
                <w:lang w:eastAsia="en-GB"/>
              </w:rPr>
              <w:instrText xml:space="preserve"> ADDIN ZOTERO_ITEM CSL_CITATION {"citationID":"vfN050Jl","properties":{"formattedCitation":"\\super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5645E6B1"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35DE74AF"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310F2EEF"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Scarus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forsteni</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2E88678F" w14:textId="7E091C7F"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41F99F88"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Guam</w:t>
            </w:r>
          </w:p>
        </w:tc>
        <w:tc>
          <w:tcPr>
            <w:tcW w:w="1663" w:type="dxa"/>
            <w:tcBorders>
              <w:top w:val="nil"/>
              <w:left w:val="nil"/>
              <w:bottom w:val="single" w:sz="4" w:space="0" w:color="000000"/>
              <w:right w:val="single" w:sz="4" w:space="0" w:color="000000"/>
            </w:tcBorders>
            <w:shd w:val="clear" w:color="auto" w:fill="auto"/>
            <w:noWrap/>
            <w:vAlign w:val="bottom"/>
            <w:hideMark/>
          </w:tcPr>
          <w:p w14:paraId="206A024B"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2.2</w:t>
            </w:r>
          </w:p>
        </w:tc>
        <w:tc>
          <w:tcPr>
            <w:tcW w:w="2055" w:type="dxa"/>
            <w:tcBorders>
              <w:top w:val="nil"/>
              <w:left w:val="nil"/>
              <w:bottom w:val="single" w:sz="4" w:space="0" w:color="000000"/>
              <w:right w:val="single" w:sz="4" w:space="0" w:color="000000"/>
            </w:tcBorders>
            <w:shd w:val="clear" w:color="auto" w:fill="auto"/>
            <w:noWrap/>
            <w:vAlign w:val="bottom"/>
            <w:hideMark/>
          </w:tcPr>
          <w:p w14:paraId="1DE6C194"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0.69</w:t>
            </w:r>
          </w:p>
        </w:tc>
        <w:tc>
          <w:tcPr>
            <w:tcW w:w="2298" w:type="dxa"/>
            <w:tcBorders>
              <w:top w:val="nil"/>
              <w:left w:val="nil"/>
              <w:bottom w:val="single" w:sz="4" w:space="0" w:color="000000"/>
              <w:right w:val="single" w:sz="4" w:space="0" w:color="000000"/>
            </w:tcBorders>
            <w:shd w:val="clear" w:color="auto" w:fill="auto"/>
            <w:noWrap/>
            <w:vAlign w:val="bottom"/>
            <w:hideMark/>
          </w:tcPr>
          <w:p w14:paraId="389D056F"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7AE655C7" w14:textId="15E6464C" w:rsidR="0056149C" w:rsidRPr="00B825E1" w:rsidRDefault="00AD2BB3"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9848A5">
              <w:rPr>
                <w:rFonts w:eastAsia="Times New Roman" w:cstheme="minorHAnsi"/>
                <w:color w:val="000000"/>
                <w:lang w:eastAsia="en-GB"/>
              </w:rPr>
              <w:instrText xml:space="preserve"> ADDIN ZOTERO_ITEM CSL_CITATION {"citationID":"W8RIOMCj","properties":{"formattedCitation":"\\super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7175A70E"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0C3DD40B"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322F3D2F"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Scarus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ghobban</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594B0538" w14:textId="4BBC8863"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2E142AAF"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Pohnpei</w:t>
            </w:r>
          </w:p>
        </w:tc>
        <w:tc>
          <w:tcPr>
            <w:tcW w:w="1663" w:type="dxa"/>
            <w:tcBorders>
              <w:top w:val="nil"/>
              <w:left w:val="nil"/>
              <w:bottom w:val="single" w:sz="4" w:space="0" w:color="000000"/>
              <w:right w:val="single" w:sz="4" w:space="0" w:color="000000"/>
            </w:tcBorders>
            <w:shd w:val="clear" w:color="auto" w:fill="auto"/>
            <w:noWrap/>
            <w:vAlign w:val="bottom"/>
            <w:hideMark/>
          </w:tcPr>
          <w:p w14:paraId="56B64048"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1.82</w:t>
            </w:r>
          </w:p>
        </w:tc>
        <w:tc>
          <w:tcPr>
            <w:tcW w:w="2055" w:type="dxa"/>
            <w:tcBorders>
              <w:top w:val="nil"/>
              <w:left w:val="nil"/>
              <w:bottom w:val="single" w:sz="4" w:space="0" w:color="000000"/>
              <w:right w:val="single" w:sz="4" w:space="0" w:color="000000"/>
            </w:tcBorders>
            <w:shd w:val="clear" w:color="auto" w:fill="auto"/>
            <w:noWrap/>
            <w:vAlign w:val="bottom"/>
            <w:hideMark/>
          </w:tcPr>
          <w:p w14:paraId="28CCF9A7"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0.65</w:t>
            </w:r>
          </w:p>
        </w:tc>
        <w:tc>
          <w:tcPr>
            <w:tcW w:w="2298" w:type="dxa"/>
            <w:tcBorders>
              <w:top w:val="nil"/>
              <w:left w:val="nil"/>
              <w:bottom w:val="single" w:sz="4" w:space="0" w:color="000000"/>
              <w:right w:val="single" w:sz="4" w:space="0" w:color="000000"/>
            </w:tcBorders>
            <w:shd w:val="clear" w:color="auto" w:fill="auto"/>
            <w:noWrap/>
            <w:vAlign w:val="bottom"/>
            <w:hideMark/>
          </w:tcPr>
          <w:p w14:paraId="5A9239EF"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36C55D7E" w14:textId="5F5A0F9E" w:rsidR="0056149C" w:rsidRPr="00B825E1" w:rsidRDefault="00AD2BB3"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9848A5">
              <w:rPr>
                <w:rFonts w:eastAsia="Times New Roman" w:cstheme="minorHAnsi"/>
                <w:color w:val="000000"/>
                <w:lang w:eastAsia="en-GB"/>
              </w:rPr>
              <w:instrText xml:space="preserve"> ADDIN ZOTERO_ITEM CSL_CITATION {"citationID":"IxGgxLSj","properties":{"formattedCitation":"\\super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4CA0722E"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596EEADC"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3AFC68C9"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Scarus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psittacus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004CC91B" w14:textId="2F7DAD31"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1CCBBB5F"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Guam</w:t>
            </w:r>
          </w:p>
        </w:tc>
        <w:tc>
          <w:tcPr>
            <w:tcW w:w="1663" w:type="dxa"/>
            <w:tcBorders>
              <w:top w:val="nil"/>
              <w:left w:val="nil"/>
              <w:bottom w:val="single" w:sz="4" w:space="0" w:color="000000"/>
              <w:right w:val="single" w:sz="4" w:space="0" w:color="000000"/>
            </w:tcBorders>
            <w:shd w:val="clear" w:color="auto" w:fill="auto"/>
            <w:noWrap/>
            <w:vAlign w:val="bottom"/>
            <w:hideMark/>
          </w:tcPr>
          <w:p w14:paraId="4EDFE595"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1.11</w:t>
            </w:r>
          </w:p>
        </w:tc>
        <w:tc>
          <w:tcPr>
            <w:tcW w:w="2055" w:type="dxa"/>
            <w:tcBorders>
              <w:top w:val="nil"/>
              <w:left w:val="nil"/>
              <w:bottom w:val="single" w:sz="4" w:space="0" w:color="000000"/>
              <w:right w:val="single" w:sz="4" w:space="0" w:color="000000"/>
            </w:tcBorders>
            <w:shd w:val="clear" w:color="auto" w:fill="auto"/>
            <w:noWrap/>
            <w:vAlign w:val="bottom"/>
            <w:hideMark/>
          </w:tcPr>
          <w:p w14:paraId="7E776496"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0.53</w:t>
            </w:r>
          </w:p>
        </w:tc>
        <w:tc>
          <w:tcPr>
            <w:tcW w:w="2298" w:type="dxa"/>
            <w:tcBorders>
              <w:top w:val="nil"/>
              <w:left w:val="nil"/>
              <w:bottom w:val="single" w:sz="4" w:space="0" w:color="000000"/>
              <w:right w:val="single" w:sz="4" w:space="0" w:color="000000"/>
            </w:tcBorders>
            <w:shd w:val="clear" w:color="auto" w:fill="auto"/>
            <w:noWrap/>
            <w:vAlign w:val="bottom"/>
            <w:hideMark/>
          </w:tcPr>
          <w:p w14:paraId="455AB811"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44543B78" w14:textId="4B6864E7" w:rsidR="0056149C" w:rsidRPr="00B825E1" w:rsidRDefault="00AD2BB3"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9848A5">
              <w:rPr>
                <w:rFonts w:eastAsia="Times New Roman" w:cstheme="minorHAnsi"/>
                <w:color w:val="000000"/>
                <w:lang w:eastAsia="en-GB"/>
              </w:rPr>
              <w:instrText xml:space="preserve"> ADDIN ZOTERO_ITEM CSL_CITATION {"citationID":"mO4nIyYq","properties":{"formattedCitation":"\\super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6E7A3585"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2FF12734"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0F34D14B"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Scarus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rubroviolaceus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784DD5C7" w14:textId="129D8FFE"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5D0F2196"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Guam</w:t>
            </w:r>
          </w:p>
        </w:tc>
        <w:tc>
          <w:tcPr>
            <w:tcW w:w="1663" w:type="dxa"/>
            <w:tcBorders>
              <w:top w:val="nil"/>
              <w:left w:val="nil"/>
              <w:bottom w:val="single" w:sz="4" w:space="0" w:color="000000"/>
              <w:right w:val="single" w:sz="4" w:space="0" w:color="000000"/>
            </w:tcBorders>
            <w:shd w:val="clear" w:color="auto" w:fill="auto"/>
            <w:noWrap/>
            <w:vAlign w:val="bottom"/>
            <w:hideMark/>
          </w:tcPr>
          <w:p w14:paraId="28885FB8"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1.28</w:t>
            </w:r>
          </w:p>
        </w:tc>
        <w:tc>
          <w:tcPr>
            <w:tcW w:w="2055" w:type="dxa"/>
            <w:tcBorders>
              <w:top w:val="nil"/>
              <w:left w:val="nil"/>
              <w:bottom w:val="single" w:sz="4" w:space="0" w:color="000000"/>
              <w:right w:val="single" w:sz="4" w:space="0" w:color="000000"/>
            </w:tcBorders>
            <w:shd w:val="clear" w:color="auto" w:fill="auto"/>
            <w:noWrap/>
            <w:vAlign w:val="bottom"/>
            <w:hideMark/>
          </w:tcPr>
          <w:p w14:paraId="12CCE2B9"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0.56</w:t>
            </w:r>
          </w:p>
        </w:tc>
        <w:tc>
          <w:tcPr>
            <w:tcW w:w="2298" w:type="dxa"/>
            <w:tcBorders>
              <w:top w:val="nil"/>
              <w:left w:val="nil"/>
              <w:bottom w:val="single" w:sz="4" w:space="0" w:color="000000"/>
              <w:right w:val="single" w:sz="4" w:space="0" w:color="000000"/>
            </w:tcBorders>
            <w:shd w:val="clear" w:color="auto" w:fill="auto"/>
            <w:noWrap/>
            <w:vAlign w:val="bottom"/>
            <w:hideMark/>
          </w:tcPr>
          <w:p w14:paraId="5922949E"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1EAC6132" w14:textId="75BE5F10" w:rsidR="0056149C" w:rsidRPr="00B825E1" w:rsidRDefault="00AD2BB3"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9848A5">
              <w:rPr>
                <w:rFonts w:eastAsia="Times New Roman" w:cstheme="minorHAnsi"/>
                <w:color w:val="000000"/>
                <w:lang w:eastAsia="en-GB"/>
              </w:rPr>
              <w:instrText xml:space="preserve"> ADDIN ZOTERO_ITEM CSL_CITATION {"citationID":"RPjsP9vw","properties":{"formattedCitation":"\\super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56196EF0"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3D4FF6CE"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5179C59D"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Scarus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schlegeli</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479EFC10" w14:textId="25D4E0EF"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3938DE76"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Guam</w:t>
            </w:r>
          </w:p>
        </w:tc>
        <w:tc>
          <w:tcPr>
            <w:tcW w:w="1663" w:type="dxa"/>
            <w:tcBorders>
              <w:top w:val="nil"/>
              <w:left w:val="nil"/>
              <w:bottom w:val="single" w:sz="4" w:space="0" w:color="000000"/>
              <w:right w:val="single" w:sz="4" w:space="0" w:color="000000"/>
            </w:tcBorders>
            <w:shd w:val="clear" w:color="auto" w:fill="auto"/>
            <w:noWrap/>
            <w:vAlign w:val="bottom"/>
            <w:hideMark/>
          </w:tcPr>
          <w:p w14:paraId="55BB16E1"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0.81</w:t>
            </w:r>
          </w:p>
        </w:tc>
        <w:tc>
          <w:tcPr>
            <w:tcW w:w="2055" w:type="dxa"/>
            <w:tcBorders>
              <w:top w:val="nil"/>
              <w:left w:val="nil"/>
              <w:bottom w:val="single" w:sz="4" w:space="0" w:color="000000"/>
              <w:right w:val="single" w:sz="4" w:space="0" w:color="000000"/>
            </w:tcBorders>
            <w:shd w:val="clear" w:color="auto" w:fill="auto"/>
            <w:noWrap/>
            <w:vAlign w:val="bottom"/>
            <w:hideMark/>
          </w:tcPr>
          <w:p w14:paraId="0569908E"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0.45</w:t>
            </w:r>
          </w:p>
        </w:tc>
        <w:tc>
          <w:tcPr>
            <w:tcW w:w="2298" w:type="dxa"/>
            <w:tcBorders>
              <w:top w:val="nil"/>
              <w:left w:val="nil"/>
              <w:bottom w:val="single" w:sz="4" w:space="0" w:color="000000"/>
              <w:right w:val="single" w:sz="4" w:space="0" w:color="000000"/>
            </w:tcBorders>
            <w:shd w:val="clear" w:color="auto" w:fill="auto"/>
            <w:noWrap/>
            <w:vAlign w:val="bottom"/>
            <w:hideMark/>
          </w:tcPr>
          <w:p w14:paraId="3DDB50C2"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21B5ECA8" w14:textId="16E1987D" w:rsidR="0056149C" w:rsidRPr="00B825E1" w:rsidRDefault="00AD2BB3"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9848A5">
              <w:rPr>
                <w:rFonts w:eastAsia="Times New Roman" w:cstheme="minorHAnsi"/>
                <w:color w:val="000000"/>
                <w:lang w:eastAsia="en-GB"/>
              </w:rPr>
              <w:instrText xml:space="preserve"> ADDIN ZOTERO_ITEM CSL_CITATION {"citationID":"dXpGcTY3","properties":{"formattedCitation":"\\super 3\\nosupersub{}","plainCitation":"3","noteIndex":0},"citationItems":[{"id":1432,"uris":["http://zotero.org/users/11938866/items/TV33X7CG"],"itemData":{"id":1432,"type":"article-journal","abstract":"The influence of social demography on sex change schedules in protogynous reef fishes is well established, yet effects across spatial scales (in particular, the magnitude of natural variation relative to size-selective fishing effects) are poorly understood. Here, I examine variation in timing of sex change for exploited parrotfishes across a range of environmental, anthropogenic and geographical factors. Results were highly dependent on spatial scale. Fishing pressure was the most influential factor determining length at sex change at the within-island scale where a wide range of anthropogenic pressure existed. Sex transition occurred at smaller sizes where fishing pressure was high. Among islands, however, differences were overwhelmingly predicted by reefal-scale structural features, a pattern evident for all species examined. For the most abundant species, Chlorurus spilurus, length at sex change increased at higher overall densities and greater female-to-male sex ratios at all islands except where targeted by fishermen; here the trend was reversed. This implies differing selective pressures on adult individuals can significantly alter sex change dynamics, highlighting the importance of social structure, demography and the selective forces structuring populations. Considerable life-history responses to exploitation were observed, but results suggest potential fishing effects on demography may be obscured by natural variation at biogeographic scales.","container-title":"Proceedings. Biological sciences / The Royal Society","DOI":"10.1098/rspb.2013.2423","ISSN":"14712954","issue":"1775","note":"PMID: 24307668","page":"20132423","title":"Drivers of protogynous sex change differ across spatial scales.","volume":"281","author":[{"family":"Taylor","given":"Brett M"}],"issued":{"date-parts":[["2014"]]}}}],"schema":"https://github.com/citation-style-language/schema/raw/master/csl-citation.json"} </w:instrText>
            </w:r>
            <w:r>
              <w:rPr>
                <w:rFonts w:eastAsia="Times New Roman" w:cstheme="minorHAnsi"/>
                <w:color w:val="000000"/>
                <w:lang w:eastAsia="en-GB"/>
              </w:rPr>
              <w:fldChar w:fldCharType="separate"/>
            </w:r>
            <w:r w:rsidRPr="001F0B00">
              <w:rPr>
                <w:rFonts w:ascii="Calibri" w:cs="Calibri"/>
                <w:color w:val="000000"/>
                <w:vertAlign w:val="superscript"/>
              </w:rPr>
              <w:t>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5B44BC20"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179DA36A"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3FBC0FC8"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Epinephelus</w:t>
            </w:r>
            <w:proofErr w:type="spellEnd"/>
            <w:r w:rsidRPr="00B825E1">
              <w:rPr>
                <w:rFonts w:eastAsia="Times New Roman" w:cstheme="minorHAnsi"/>
                <w:color w:val="000000"/>
                <w:lang w:eastAsia="en-GB"/>
              </w:rPr>
              <w:t xml:space="preserve"> maculatus</w:t>
            </w:r>
          </w:p>
        </w:tc>
        <w:tc>
          <w:tcPr>
            <w:tcW w:w="1476" w:type="dxa"/>
            <w:tcBorders>
              <w:top w:val="nil"/>
              <w:left w:val="nil"/>
              <w:bottom w:val="single" w:sz="4" w:space="0" w:color="000000"/>
              <w:right w:val="single" w:sz="4" w:space="0" w:color="000000"/>
            </w:tcBorders>
            <w:shd w:val="clear" w:color="auto" w:fill="auto"/>
            <w:noWrap/>
            <w:vAlign w:val="bottom"/>
            <w:hideMark/>
          </w:tcPr>
          <w:p w14:paraId="2CB6486B"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Epinephelidae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680505C3"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Chuuk</w:t>
            </w:r>
          </w:p>
        </w:tc>
        <w:tc>
          <w:tcPr>
            <w:tcW w:w="1663" w:type="dxa"/>
            <w:tcBorders>
              <w:top w:val="nil"/>
              <w:left w:val="nil"/>
              <w:bottom w:val="single" w:sz="4" w:space="0" w:color="000000"/>
              <w:right w:val="single" w:sz="4" w:space="0" w:color="000000"/>
            </w:tcBorders>
            <w:shd w:val="clear" w:color="auto" w:fill="auto"/>
            <w:noWrap/>
            <w:vAlign w:val="bottom"/>
            <w:hideMark/>
          </w:tcPr>
          <w:p w14:paraId="23BB0254"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3.67</w:t>
            </w:r>
          </w:p>
        </w:tc>
        <w:tc>
          <w:tcPr>
            <w:tcW w:w="2055" w:type="dxa"/>
            <w:tcBorders>
              <w:top w:val="nil"/>
              <w:left w:val="nil"/>
              <w:bottom w:val="single" w:sz="4" w:space="0" w:color="000000"/>
              <w:right w:val="single" w:sz="4" w:space="0" w:color="000000"/>
            </w:tcBorders>
            <w:shd w:val="clear" w:color="auto" w:fill="auto"/>
            <w:noWrap/>
            <w:vAlign w:val="bottom"/>
            <w:hideMark/>
          </w:tcPr>
          <w:p w14:paraId="585506FD"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0.79</w:t>
            </w:r>
          </w:p>
        </w:tc>
        <w:tc>
          <w:tcPr>
            <w:tcW w:w="2298" w:type="dxa"/>
            <w:tcBorders>
              <w:top w:val="nil"/>
              <w:left w:val="nil"/>
              <w:bottom w:val="single" w:sz="4" w:space="0" w:color="000000"/>
              <w:right w:val="single" w:sz="4" w:space="0" w:color="000000"/>
            </w:tcBorders>
            <w:shd w:val="clear" w:color="auto" w:fill="auto"/>
            <w:noWrap/>
            <w:vAlign w:val="bottom"/>
            <w:hideMark/>
          </w:tcPr>
          <w:p w14:paraId="50F9F3C6"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2009C0EF" w14:textId="42E751EB" w:rsidR="0056149C" w:rsidRPr="00B825E1" w:rsidRDefault="001F0B00"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AA1CE0">
              <w:rPr>
                <w:rFonts w:eastAsia="Times New Roman" w:cstheme="minorHAnsi"/>
                <w:color w:val="000000"/>
                <w:lang w:eastAsia="en-GB"/>
              </w:rPr>
              <w:instrText xml:space="preserve"> ADDIN ZOTERO_ITEM CSL_CITATION {"citationID":"Eq74qG7t","properties":{"formattedCitation":"\\super 4\\nosupersub{}","plainCitation":"4","noteIndex":0},"citationItems":[{"id":9463,"uris":["http://zotero.org/users/11938866/items/4A6M75HY"],"itemData":{"id":9463,"type":"webpage","title":"Growth and reproduction of the highfin grouper Epinephelus maculatus - Rhodes - 2016 - Journal of Fish Biology - Wiley Online Library","URL":"https://onlinelibrary.wiley.com/doi/full/10.1111/jfb.12953?casa_token=SjfEsPVCdQ8AAAAA%3A52-fe-fojV4x_oE4kpwBwX96ZljGw3ozEFgAu0_snpo7jSmL83vRLVuxutjTWfN727E0jzIjd9Os","accessed":{"date-parts":[["2024",7,4]]}}}],"schema":"https://github.com/citation-style-language/schema/raw/master/csl-citation.json"} </w:instrText>
            </w:r>
            <w:r>
              <w:rPr>
                <w:rFonts w:eastAsia="Times New Roman" w:cstheme="minorHAnsi"/>
                <w:color w:val="000000"/>
                <w:lang w:eastAsia="en-GB"/>
              </w:rPr>
              <w:fldChar w:fldCharType="separate"/>
            </w:r>
            <w:r w:rsidR="00AA1CE0" w:rsidRPr="00AA1CE0">
              <w:rPr>
                <w:rFonts w:ascii="Calibri" w:cs="Calibri"/>
                <w:color w:val="000000"/>
                <w:vertAlign w:val="superscript"/>
              </w:rPr>
              <w:t>4</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313B47AC"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566FF500"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1592D23B"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Lethrinus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obsoletus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3C97E82B"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Lethrinidae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2AB27F15"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Saipan</w:t>
            </w:r>
          </w:p>
        </w:tc>
        <w:tc>
          <w:tcPr>
            <w:tcW w:w="1663" w:type="dxa"/>
            <w:tcBorders>
              <w:top w:val="nil"/>
              <w:left w:val="nil"/>
              <w:bottom w:val="single" w:sz="4" w:space="0" w:color="000000"/>
              <w:right w:val="single" w:sz="4" w:space="0" w:color="000000"/>
            </w:tcBorders>
            <w:shd w:val="clear" w:color="auto" w:fill="auto"/>
            <w:noWrap/>
            <w:vAlign w:val="bottom"/>
            <w:hideMark/>
          </w:tcPr>
          <w:p w14:paraId="1CC20AB8"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3.67</w:t>
            </w:r>
          </w:p>
        </w:tc>
        <w:tc>
          <w:tcPr>
            <w:tcW w:w="2055" w:type="dxa"/>
            <w:tcBorders>
              <w:top w:val="nil"/>
              <w:left w:val="nil"/>
              <w:bottom w:val="single" w:sz="4" w:space="0" w:color="000000"/>
              <w:right w:val="single" w:sz="4" w:space="0" w:color="000000"/>
            </w:tcBorders>
            <w:shd w:val="clear" w:color="auto" w:fill="auto"/>
            <w:noWrap/>
            <w:vAlign w:val="bottom"/>
            <w:hideMark/>
          </w:tcPr>
          <w:p w14:paraId="5B21F043"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0.79</w:t>
            </w:r>
          </w:p>
        </w:tc>
        <w:tc>
          <w:tcPr>
            <w:tcW w:w="2298" w:type="dxa"/>
            <w:tcBorders>
              <w:top w:val="nil"/>
              <w:left w:val="nil"/>
              <w:bottom w:val="single" w:sz="4" w:space="0" w:color="000000"/>
              <w:right w:val="single" w:sz="4" w:space="0" w:color="000000"/>
            </w:tcBorders>
            <w:shd w:val="clear" w:color="auto" w:fill="auto"/>
            <w:noWrap/>
            <w:vAlign w:val="bottom"/>
            <w:hideMark/>
          </w:tcPr>
          <w:p w14:paraId="400B15C1"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Juvenile protogyny</w:t>
            </w:r>
          </w:p>
        </w:tc>
        <w:tc>
          <w:tcPr>
            <w:tcW w:w="1871" w:type="dxa"/>
            <w:tcBorders>
              <w:top w:val="nil"/>
              <w:left w:val="nil"/>
              <w:bottom w:val="single" w:sz="4" w:space="0" w:color="000000"/>
              <w:right w:val="single" w:sz="4" w:space="0" w:color="000000"/>
            </w:tcBorders>
            <w:shd w:val="clear" w:color="auto" w:fill="auto"/>
            <w:noWrap/>
            <w:vAlign w:val="bottom"/>
            <w:hideMark/>
          </w:tcPr>
          <w:p w14:paraId="044E57AC" w14:textId="3F3E7EA9" w:rsidR="0056149C" w:rsidRPr="00B825E1" w:rsidRDefault="008065CF"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Pr>
                <w:rFonts w:eastAsia="Times New Roman" w:cstheme="minorHAnsi"/>
                <w:color w:val="000000"/>
                <w:lang w:eastAsia="en-GB"/>
              </w:rPr>
              <w:instrText xml:space="preserve"> ADDIN ZOTERO_ITEM CSL_CITATION {"citationID":"RR7mpSWE","properties":{"formattedCitation":"\\super 5\\nosupersub{}","plainCitation":"5","noteIndex":0},"citationItems":[{"id":9465,"uris":["http://zotero.org/users/11938866/items/U9N6DIN4"],"itemData":{"id":9465,"type":"article-journal","abstract":"The present study investigated the age-based demography of the orange-striped emperor, Lethrinus obsoletus, from commercial samples in the Commonwealth of the Northern Mariana Islands (CNMI), spanning a 24-month market sampling period. Information on growth, life span, mortality, and reproduction was derived through analysis of sectioned sagittal otoliths and gonad material. The species had a moderate longevity of 13 years while females and males reached 50% sexual maturity at 3.8 years (22.9 cm fork length) and 2.8 years (19.9 cm fork length), respectively. Histological examination of gonads and sex-specific age frequency distributions suggest the sexual ontogeny of the species conforms to juvenile hermaphroditism, whereby sexual transition from female to male occurred prior to maturation. No annual spawning periods were identified, but the ubiquitous presence of post-ovulatory follicles in females and spermatogenic material in males coupled with a consistent lunar trend in gonadosomatic index patterns suggests the species spawns every lunar cycle throughout the year with spawning activity potentially increasing around the new moon. Ratios of natural to fishing mortality indicate a moderate level of exploitation (0.37); however, a large portion of harvested females had not reached reproductive maturity, suggesting that formal assessments of stock status are warranted to ensure the sustainable harvest of the species in CNMI.","container-title":"Ichthyological Research","DOI":"10.1007/s10228-017-0573-8","ISSN":"1616-3915","issue":"4","journalAbbreviation":"Ichthyol Res","language":"en","page":"423-432","source":"Springer Link","title":"Life history of the orange-striped emperor Lethrinus obsoletus from the Mariana Islands","volume":"64","author":[{"family":"Taylor","given":"Brett M."},{"family":"Oyafuso","given":"Zack S."},{"family":"Trianni","given":"Michael S."}],"issued":{"date-parts":[["2017",11,1]]}}}],"schema":"https://github.com/citation-style-language/schema/raw/master/csl-citation.json"} </w:instrText>
            </w:r>
            <w:r>
              <w:rPr>
                <w:rFonts w:eastAsia="Times New Roman" w:cstheme="minorHAnsi"/>
                <w:color w:val="000000"/>
                <w:lang w:eastAsia="en-GB"/>
              </w:rPr>
              <w:fldChar w:fldCharType="separate"/>
            </w:r>
            <w:r w:rsidRPr="008065CF">
              <w:rPr>
                <w:rFonts w:ascii="Calibri" w:cs="Calibri"/>
                <w:color w:val="000000"/>
                <w:vertAlign w:val="superscript"/>
              </w:rPr>
              <w:t>5</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4C860AB2"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18AECF22"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2016E8A1"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Scarus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rubroviolaceus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29E723FC" w14:textId="2FFBEB4E"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235C3691"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Tutuila</w:t>
            </w:r>
          </w:p>
        </w:tc>
        <w:tc>
          <w:tcPr>
            <w:tcW w:w="1663" w:type="dxa"/>
            <w:tcBorders>
              <w:top w:val="nil"/>
              <w:left w:val="nil"/>
              <w:bottom w:val="single" w:sz="4" w:space="0" w:color="000000"/>
              <w:right w:val="single" w:sz="4" w:space="0" w:color="000000"/>
            </w:tcBorders>
            <w:shd w:val="clear" w:color="auto" w:fill="auto"/>
            <w:noWrap/>
            <w:vAlign w:val="bottom"/>
            <w:hideMark/>
          </w:tcPr>
          <w:p w14:paraId="23A61F1C"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2.19</w:t>
            </w:r>
          </w:p>
        </w:tc>
        <w:tc>
          <w:tcPr>
            <w:tcW w:w="2055" w:type="dxa"/>
            <w:tcBorders>
              <w:top w:val="nil"/>
              <w:left w:val="nil"/>
              <w:bottom w:val="single" w:sz="4" w:space="0" w:color="000000"/>
              <w:right w:val="single" w:sz="4" w:space="0" w:color="000000"/>
            </w:tcBorders>
            <w:shd w:val="clear" w:color="auto" w:fill="auto"/>
            <w:noWrap/>
            <w:vAlign w:val="bottom"/>
            <w:hideMark/>
          </w:tcPr>
          <w:p w14:paraId="3704451F"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0.69</w:t>
            </w:r>
          </w:p>
        </w:tc>
        <w:tc>
          <w:tcPr>
            <w:tcW w:w="2298" w:type="dxa"/>
            <w:tcBorders>
              <w:top w:val="nil"/>
              <w:left w:val="nil"/>
              <w:bottom w:val="single" w:sz="4" w:space="0" w:color="000000"/>
              <w:right w:val="single" w:sz="4" w:space="0" w:color="000000"/>
            </w:tcBorders>
            <w:shd w:val="clear" w:color="auto" w:fill="auto"/>
            <w:noWrap/>
            <w:vAlign w:val="bottom"/>
            <w:hideMark/>
          </w:tcPr>
          <w:p w14:paraId="39DC88D5"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5C7A33A9" w14:textId="5B8DEE83" w:rsidR="0056149C" w:rsidRPr="00B825E1" w:rsidRDefault="00E445B7"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1C2280">
              <w:rPr>
                <w:rFonts w:eastAsia="Times New Roman" w:cstheme="minorHAnsi"/>
                <w:color w:val="000000"/>
                <w:lang w:eastAsia="en-GB"/>
              </w:rPr>
              <w:instrText xml:space="preserve"> ADDIN ZOTERO_ITEM CSL_CITATION {"citationID":"ewCWyFb5","properties":{"formattedCitation":"\\super 6\\nosupersub{}","plainCitation":"6","noteIndex":0},"citationItems":[{"id":9467,"uris":["http://zotero.org/users/11938866/items/4SMV2UC8"],"itemData":{"id":9467,"type":"webpage","title":"Growth and maturation of the redlip parrotfish Scarus rubroviolaceus - Taylor - 2017 - Journal of Fish Biology - Wiley Online Library","URL":"https://onlinelibrary.wiley.com/doi/full/10.1111/jfb.13309?casa_token=vs6QkkNjgzQAAAAA%3AHnCNnXlSHkdgToAmSS4r3OFNefsR7z5K9LpYJMjBJCTmhzlqSycnqKhrRWT6OrEb-oZYoTVLQbGO","accessed":{"date-parts":[["2024",7,4]]}}}],"schema":"https://github.com/citation-style-language/schema/raw/master/csl-citation.json"} </w:instrText>
            </w:r>
            <w:r>
              <w:rPr>
                <w:rFonts w:eastAsia="Times New Roman" w:cstheme="minorHAnsi"/>
                <w:color w:val="000000"/>
                <w:lang w:eastAsia="en-GB"/>
              </w:rPr>
              <w:fldChar w:fldCharType="separate"/>
            </w:r>
            <w:r w:rsidR="001C2280" w:rsidRPr="001C2280">
              <w:rPr>
                <w:rFonts w:ascii="Calibri" w:cs="Calibri"/>
                <w:color w:val="000000"/>
                <w:vertAlign w:val="superscript"/>
              </w:rPr>
              <w:t>6</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571CC3E4"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7EC86853"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054D1B27"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Hipposcarus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longiceps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7A176BCD" w14:textId="14A4C1F4"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6F8F7FFF"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Guam</w:t>
            </w:r>
          </w:p>
        </w:tc>
        <w:tc>
          <w:tcPr>
            <w:tcW w:w="1663" w:type="dxa"/>
            <w:tcBorders>
              <w:top w:val="nil"/>
              <w:left w:val="nil"/>
              <w:bottom w:val="single" w:sz="4" w:space="0" w:color="000000"/>
              <w:right w:val="single" w:sz="4" w:space="0" w:color="000000"/>
            </w:tcBorders>
            <w:shd w:val="clear" w:color="auto" w:fill="auto"/>
            <w:noWrap/>
            <w:vAlign w:val="bottom"/>
            <w:hideMark/>
          </w:tcPr>
          <w:p w14:paraId="6F2E4275"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1.19</w:t>
            </w:r>
          </w:p>
        </w:tc>
        <w:tc>
          <w:tcPr>
            <w:tcW w:w="2055" w:type="dxa"/>
            <w:tcBorders>
              <w:top w:val="nil"/>
              <w:left w:val="nil"/>
              <w:bottom w:val="single" w:sz="4" w:space="0" w:color="000000"/>
              <w:right w:val="single" w:sz="4" w:space="0" w:color="000000"/>
            </w:tcBorders>
            <w:shd w:val="clear" w:color="auto" w:fill="auto"/>
            <w:noWrap/>
            <w:vAlign w:val="bottom"/>
            <w:hideMark/>
          </w:tcPr>
          <w:p w14:paraId="5CB88733"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0.54</w:t>
            </w:r>
          </w:p>
        </w:tc>
        <w:tc>
          <w:tcPr>
            <w:tcW w:w="2298" w:type="dxa"/>
            <w:tcBorders>
              <w:top w:val="nil"/>
              <w:left w:val="nil"/>
              <w:bottom w:val="single" w:sz="4" w:space="0" w:color="000000"/>
              <w:right w:val="single" w:sz="4" w:space="0" w:color="000000"/>
            </w:tcBorders>
            <w:shd w:val="clear" w:color="auto" w:fill="auto"/>
            <w:noWrap/>
            <w:vAlign w:val="bottom"/>
            <w:hideMark/>
          </w:tcPr>
          <w:p w14:paraId="2E27A3BE"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41C17F4C" w14:textId="6F03FE9D" w:rsidR="0056149C" w:rsidRPr="00B825E1" w:rsidRDefault="00582E9F"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112EF8">
              <w:rPr>
                <w:rFonts w:eastAsia="Times New Roman" w:cstheme="minorHAnsi"/>
                <w:color w:val="000000"/>
                <w:lang w:eastAsia="en-GB"/>
              </w:rPr>
              <w:instrText xml:space="preserve"> ADDIN ZOTERO_ITEM CSL_CITATION {"citationID":"fZ78yb7q","properties":{"formattedCitation":"\\super 7\\nosupersub{}","plainCitation":"7","noteIndex":0},"citationItems":[{"id":9469,"uris":["http://zotero.org/users/11938866/items/MZQBL7U4"],"itemData":{"id":9469,"type":"article-journal","abstract":"The Pacific longnose parrotfish Hipposcarus longiceps (Valenciennes 1840) represents a prime fishery resource throughout much of the tropical Pacific. In this study, we sampled the species from the Guam commercial fishery market across five consecutive years to characterize reproductive and age-based demographic information imperative for informed fishery management. Compared with other parrotfishes, this species was found to be large-bodied, but has only a moderate life span of 10 + years. Hipposcarus longiceps was confirmed as a diandric protogynous hermaphrodite with highly sex-specific growth patterns and an overall mean asymptotic length of 434 mm fork length (FL). Females were estimated to reach median maturity at 329 mm FL (2.4 years) and have a median length at female-to-male sex change of 401 mm FL. Life-history trait values derived here were used to update previous models relating life history and vulnerability to overexploitation. We found that enhancement of just one species’ trait values improved model fits considerably, which strengthens the conclusion that life-history traits are a strong determinant of species’ vulnerability in the parrotfishes. This information is an imperative complement to other data sources facilitating formal stock assessment of a key fishery target.","container-title":"PeerJ","DOI":"10.7717/peerj.4079","ISSN":"2167-8359","journalAbbreviation":"PeerJ","language":"en","note":"publisher: PeerJ Inc.","page":"e4079","source":"peerj.com","title":"Age-based and reproductive biology of the Pacific Longnose Parrotfish Hipposcarus longiceps from Guam","volume":"5","author":[{"family":"Taylor","given":"Brett M."},{"family":"Cruz","given":"Eric"}],"issued":{"date-parts":[["2017",11,29]]}}}],"schema":"https://github.com/citation-style-language/schema/raw/master/csl-citation.json"} </w:instrText>
            </w:r>
            <w:r>
              <w:rPr>
                <w:rFonts w:eastAsia="Times New Roman" w:cstheme="minorHAnsi"/>
                <w:color w:val="000000"/>
                <w:lang w:eastAsia="en-GB"/>
              </w:rPr>
              <w:fldChar w:fldCharType="separate"/>
            </w:r>
            <w:r w:rsidR="00112EF8" w:rsidRPr="00112EF8">
              <w:rPr>
                <w:rFonts w:ascii="Calibri" w:cs="Calibri"/>
                <w:color w:val="000000"/>
                <w:vertAlign w:val="superscript"/>
              </w:rPr>
              <w:t>7</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373D6731"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75038DF1"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69572818"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Calotomus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carolinus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4FAA08CB" w14:textId="271A9D34"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4920390D"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Oahu</w:t>
            </w:r>
          </w:p>
        </w:tc>
        <w:tc>
          <w:tcPr>
            <w:tcW w:w="1663" w:type="dxa"/>
            <w:tcBorders>
              <w:top w:val="nil"/>
              <w:left w:val="nil"/>
              <w:bottom w:val="single" w:sz="4" w:space="0" w:color="000000"/>
              <w:right w:val="single" w:sz="4" w:space="0" w:color="000000"/>
            </w:tcBorders>
            <w:shd w:val="clear" w:color="auto" w:fill="auto"/>
            <w:noWrap/>
            <w:vAlign w:val="bottom"/>
            <w:hideMark/>
          </w:tcPr>
          <w:p w14:paraId="74397160"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3.02</w:t>
            </w:r>
          </w:p>
        </w:tc>
        <w:tc>
          <w:tcPr>
            <w:tcW w:w="2055" w:type="dxa"/>
            <w:tcBorders>
              <w:top w:val="nil"/>
              <w:left w:val="nil"/>
              <w:bottom w:val="single" w:sz="4" w:space="0" w:color="000000"/>
              <w:right w:val="single" w:sz="4" w:space="0" w:color="000000"/>
            </w:tcBorders>
            <w:shd w:val="clear" w:color="auto" w:fill="auto"/>
            <w:noWrap/>
            <w:vAlign w:val="bottom"/>
            <w:hideMark/>
          </w:tcPr>
          <w:p w14:paraId="5ABF5EEB"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0.75</w:t>
            </w:r>
          </w:p>
        </w:tc>
        <w:tc>
          <w:tcPr>
            <w:tcW w:w="2298" w:type="dxa"/>
            <w:tcBorders>
              <w:top w:val="nil"/>
              <w:left w:val="nil"/>
              <w:bottom w:val="single" w:sz="4" w:space="0" w:color="000000"/>
              <w:right w:val="single" w:sz="4" w:space="0" w:color="000000"/>
            </w:tcBorders>
            <w:shd w:val="clear" w:color="auto" w:fill="auto"/>
            <w:noWrap/>
            <w:vAlign w:val="bottom"/>
            <w:hideMark/>
          </w:tcPr>
          <w:p w14:paraId="7AA93E8D"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49D1979D" w14:textId="074BC3E0" w:rsidR="0056149C" w:rsidRPr="00B825E1" w:rsidRDefault="000B033E"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CE59D9">
              <w:rPr>
                <w:rFonts w:eastAsia="Times New Roman" w:cstheme="minorHAnsi"/>
                <w:color w:val="000000"/>
                <w:lang w:eastAsia="en-GB"/>
              </w:rPr>
              <w:instrText xml:space="preserve"> ADDIN ZOTERO_ITEM CSL_CITATION {"citationID":"uj0KD1RO","properties":{"formattedCitation":"\\super 8\\nosupersub{}","plainCitation":"8","noteIndex":0},"citationItems":[{"id":9471,"uris":["http://zotero.org/users/11938866/items/4FXLZCA4"],"itemData":{"id":9471,"type":"article-journal","abstract":"Growth rates and longevities were estimated for five major fishery species of parrotfishes (“uhu”) at Oahu, Hawai’i. All species grew rapidly with von Bertalanffy growth formula k values ≥0.4·year−1. Longevities were found to range broadly among the three small species, 4 years in Calotomus carolinus and 6 and 11 years in Scarus psittacus and Chlorurus spilurus, and to 15–20 years in Scarus rubroviolaceus and Chlorurus perspicillatus for the two large species. Age reading and growth curves for the latter two large species were validated using bomb radiocarbon dating. Median ages at sexual maturity as females (AM50) and at sex change (from female to terminal phase male, AΔ50) were estimated using logistic models. Sexual maturation occurred at 1–2 years for the small species and at 3–3.5 years in the large species. AΔ50 estimates ranged from 2 to 4 years in the small species and were about 5 and 7 years in S. rubroviolaceus and C. perspicillatus, respectively. Estimated milestones poorly corresponded to the current minimum legal size for uhu in Hawai’i (12 in. or 30.5 cm fork length). Pooling these parrotfishes for management seems generally inappropriate, especially for the two large species. Age-based metrics are more informative than size-based metrics for these fishes.","container-title":"Canadian Journal of Fisheries and Aquatic Sciences","DOI":"10.1139/cjfas-2016-0523","ISSN":"0706-652X","issue":"4","journalAbbreviation":"Can. J. Fish. Aquat. Sci.","note":"publisher: NRC Research Press","page":"580-589","source":"cdnsciencepub.com (Atypon)","title":"Comparative growth, age at maturity and sex change, and longevity of Hawaiian parrotfishes, with bomb radiocarbon validation","volume":"75","author":[{"family":"DeMartini","given":"Edward E."},{"family":"Andrews","given":"Allen H."},{"family":"Howard","given":"Kathrine G."},{"family":"Taylor","given":"Brett M."},{"family":"Lou","given":"Dong-Chun"},{"family":"Donovan","given":"Mary K."}],"issued":{"date-parts":[["2018",4]]}}}],"schema":"https://github.com/citation-style-language/schema/raw/master/csl-citation.json"} </w:instrText>
            </w:r>
            <w:r>
              <w:rPr>
                <w:rFonts w:eastAsia="Times New Roman" w:cstheme="minorHAnsi"/>
                <w:color w:val="000000"/>
                <w:lang w:eastAsia="en-GB"/>
              </w:rPr>
              <w:fldChar w:fldCharType="separate"/>
            </w:r>
            <w:r w:rsidR="00CE59D9" w:rsidRPr="00CE59D9">
              <w:rPr>
                <w:rFonts w:ascii="Calibri" w:cs="Calibri"/>
                <w:color w:val="000000"/>
                <w:vertAlign w:val="superscript"/>
              </w:rPr>
              <w:t>8</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08B24D90"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68F71563"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246956D4"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Scarus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psittacus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7834DBA7" w14:textId="7DBABD04"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1EDB914D"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Oahu</w:t>
            </w:r>
          </w:p>
        </w:tc>
        <w:tc>
          <w:tcPr>
            <w:tcW w:w="1663" w:type="dxa"/>
            <w:tcBorders>
              <w:top w:val="nil"/>
              <w:left w:val="nil"/>
              <w:bottom w:val="single" w:sz="4" w:space="0" w:color="000000"/>
              <w:right w:val="single" w:sz="4" w:space="0" w:color="000000"/>
            </w:tcBorders>
            <w:shd w:val="clear" w:color="auto" w:fill="auto"/>
            <w:noWrap/>
            <w:vAlign w:val="bottom"/>
            <w:hideMark/>
          </w:tcPr>
          <w:p w14:paraId="68620592"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2.4</w:t>
            </w:r>
          </w:p>
        </w:tc>
        <w:tc>
          <w:tcPr>
            <w:tcW w:w="2055" w:type="dxa"/>
            <w:tcBorders>
              <w:top w:val="nil"/>
              <w:left w:val="nil"/>
              <w:bottom w:val="single" w:sz="4" w:space="0" w:color="000000"/>
              <w:right w:val="single" w:sz="4" w:space="0" w:color="000000"/>
            </w:tcBorders>
            <w:shd w:val="clear" w:color="auto" w:fill="auto"/>
            <w:noWrap/>
            <w:vAlign w:val="bottom"/>
            <w:hideMark/>
          </w:tcPr>
          <w:p w14:paraId="137CA0A3"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0.71</w:t>
            </w:r>
          </w:p>
        </w:tc>
        <w:tc>
          <w:tcPr>
            <w:tcW w:w="2298" w:type="dxa"/>
            <w:tcBorders>
              <w:top w:val="nil"/>
              <w:left w:val="nil"/>
              <w:bottom w:val="single" w:sz="4" w:space="0" w:color="000000"/>
              <w:right w:val="single" w:sz="4" w:space="0" w:color="000000"/>
            </w:tcBorders>
            <w:shd w:val="clear" w:color="auto" w:fill="auto"/>
            <w:noWrap/>
            <w:vAlign w:val="bottom"/>
            <w:hideMark/>
          </w:tcPr>
          <w:p w14:paraId="2F2B4497"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29F31140" w14:textId="00A61F00" w:rsidR="0056149C" w:rsidRPr="00B825E1" w:rsidRDefault="00CE59D9"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387F99">
              <w:rPr>
                <w:rFonts w:eastAsia="Times New Roman" w:cstheme="minorHAnsi"/>
                <w:color w:val="000000"/>
                <w:lang w:eastAsia="en-GB"/>
              </w:rPr>
              <w:instrText xml:space="preserve"> ADDIN ZOTERO_ITEM CSL_CITATION {"citationID":"4fdhAP20","properties":{"formattedCitation":"\\super 8\\nosupersub{}","plainCitation":"8","noteIndex":0},"citationItems":[{"id":9471,"uris":["http://zotero.org/users/11938866/items/4FXLZCA4"],"itemData":{"id":9471,"type":"article-journal","abstract":"Growth rates and longevities were estimated for five major fishery species of parrotfishes (“uhu”) at Oahu, Hawai’i. All species grew rapidly with von Bertalanffy growth formula k values ≥0.4·year−1. Longevities were found to range broadly among the three small species, 4 years in Calotomus carolinus and 6 and 11 years in Scarus psittacus and Chlorurus spilurus, and to 15–20 years in Scarus rubroviolaceus and Chlorurus perspicillatus for the two large species. Age reading and growth curves for the latter two large species were validated using bomb radiocarbon dating. Median ages at sexual maturity as females (AM50) and at sex change (from female to terminal phase male, AΔ50) were estimated using logistic models. Sexual maturation occurred at 1–2 years for the small species and at 3–3.5 years in the large species. AΔ50 estimates ranged from 2 to 4 years in the small species and were about 5 and 7 years in S. rubroviolaceus and C. perspicillatus, respectively. Estimated milestones poorly corresponded to the current minimum legal size for uhu in Hawai’i (12 in. or 30.5 cm fork length). Pooling these parrotfishes for management seems generally inappropriate, especially for the two large species. Age-based metrics are more informative than size-based metrics for these fishes.","container-title":"Canadian Journal of Fisheries and Aquatic Sciences","DOI":"10.1139/cjfas-2016-0523","ISSN":"0706-652X","issue":"4","journalAbbreviation":"Can. J. Fish. Aquat. Sci.","note":"publisher: NRC Research Press","page":"580-589","source":"cdnsciencepub.com (Atypon)","title":"Comparative growth, age at maturity and sex change, and longevity of Hawaiian parrotfishes, with bomb radiocarbon validation","volume":"75","author":[{"family":"DeMartini","given":"Edward E."},{"family":"Andrews","given":"Allen H."},{"family":"Howard","given":"Kathrine G."},{"family":"Taylor","given":"Brett M."},{"family":"Lou","given":"Dong-Chun"},{"family":"Donovan","given":"Mary K."}],"issued":{"date-parts":[["2018",4]]}}}],"schema":"https://github.com/citation-style-language/schema/raw/master/csl-citation.json"} </w:instrText>
            </w:r>
            <w:r>
              <w:rPr>
                <w:rFonts w:eastAsia="Times New Roman" w:cstheme="minorHAnsi"/>
                <w:color w:val="000000"/>
                <w:lang w:eastAsia="en-GB"/>
              </w:rPr>
              <w:fldChar w:fldCharType="separate"/>
            </w:r>
            <w:r w:rsidRPr="00CE59D9">
              <w:rPr>
                <w:rFonts w:ascii="Calibri" w:cs="Calibri"/>
                <w:color w:val="000000"/>
                <w:vertAlign w:val="superscript"/>
              </w:rPr>
              <w:t>8</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6CE98729"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749278BF"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69FC6C00"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Chlorurus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spilurus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13C83191" w14:textId="0DAEA4DE"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02223AEE"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Oahu</w:t>
            </w:r>
          </w:p>
        </w:tc>
        <w:tc>
          <w:tcPr>
            <w:tcW w:w="1663" w:type="dxa"/>
            <w:tcBorders>
              <w:top w:val="nil"/>
              <w:left w:val="nil"/>
              <w:bottom w:val="single" w:sz="4" w:space="0" w:color="000000"/>
              <w:right w:val="single" w:sz="4" w:space="0" w:color="000000"/>
            </w:tcBorders>
            <w:shd w:val="clear" w:color="auto" w:fill="auto"/>
            <w:noWrap/>
            <w:vAlign w:val="bottom"/>
            <w:hideMark/>
          </w:tcPr>
          <w:p w14:paraId="763B793A"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1.51</w:t>
            </w:r>
          </w:p>
        </w:tc>
        <w:tc>
          <w:tcPr>
            <w:tcW w:w="2055" w:type="dxa"/>
            <w:tcBorders>
              <w:top w:val="nil"/>
              <w:left w:val="nil"/>
              <w:bottom w:val="single" w:sz="4" w:space="0" w:color="000000"/>
              <w:right w:val="single" w:sz="4" w:space="0" w:color="000000"/>
            </w:tcBorders>
            <w:shd w:val="clear" w:color="auto" w:fill="auto"/>
            <w:noWrap/>
            <w:vAlign w:val="bottom"/>
            <w:hideMark/>
          </w:tcPr>
          <w:p w14:paraId="62A68BD3"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0.6</w:t>
            </w:r>
          </w:p>
        </w:tc>
        <w:tc>
          <w:tcPr>
            <w:tcW w:w="2298" w:type="dxa"/>
            <w:tcBorders>
              <w:top w:val="nil"/>
              <w:left w:val="nil"/>
              <w:bottom w:val="single" w:sz="4" w:space="0" w:color="000000"/>
              <w:right w:val="single" w:sz="4" w:space="0" w:color="000000"/>
            </w:tcBorders>
            <w:shd w:val="clear" w:color="auto" w:fill="auto"/>
            <w:noWrap/>
            <w:vAlign w:val="bottom"/>
            <w:hideMark/>
          </w:tcPr>
          <w:p w14:paraId="2A4F01AF"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34005CDC" w14:textId="00000671" w:rsidR="0056149C" w:rsidRPr="00B825E1" w:rsidRDefault="00CE59D9"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387F99">
              <w:rPr>
                <w:rFonts w:eastAsia="Times New Roman" w:cstheme="minorHAnsi"/>
                <w:color w:val="000000"/>
                <w:lang w:eastAsia="en-GB"/>
              </w:rPr>
              <w:instrText xml:space="preserve"> ADDIN ZOTERO_ITEM CSL_CITATION {"citationID":"imAj6rzl","properties":{"formattedCitation":"\\super 8\\nosupersub{}","plainCitation":"8","noteIndex":0},"citationItems":[{"id":9471,"uris":["http://zotero.org/users/11938866/items/4FXLZCA4"],"itemData":{"id":9471,"type":"article-journal","abstract":"Growth rates and longevities were estimated for five major fishery species of parrotfishes (“uhu”) at Oahu, Hawai’i. All species grew rapidly with von Bertalanffy growth formula k values ≥0.4·year−1. Longevities were found to range broadly among the three small species, 4 years in Calotomus carolinus and 6 and 11 years in Scarus psittacus and Chlorurus spilurus, and to 15–20 years in Scarus rubroviolaceus and Chlorurus perspicillatus for the two large species. Age reading and growth curves for the latter two large species were validated using bomb radiocarbon dating. Median ages at sexual maturity as females (AM50) and at sex change (from female to terminal phase male, AΔ50) were estimated using logistic models. Sexual maturation occurred at 1–2 years for the small species and at 3–3.5 years in the large species. AΔ50 estimates ranged from 2 to 4 years in the small species and were about 5 and 7 years in S. rubroviolaceus and C. perspicillatus, respectively. Estimated milestones poorly corresponded to the current minimum legal size for uhu in Hawai’i (12 in. or 30.5 cm fork length). Pooling these parrotfishes for management seems generally inappropriate, especially for the two large species. Age-based metrics are more informative than size-based metrics for these fishes.","container-title":"Canadian Journal of Fisheries and Aquatic Sciences","DOI":"10.1139/cjfas-2016-0523","ISSN":"0706-652X","issue":"4","journalAbbreviation":"Can. J. Fish. Aquat. Sci.","note":"publisher: NRC Research Press","page":"580-589","source":"cdnsciencepub.com (Atypon)","title":"Comparative growth, age at maturity and sex change, and longevity of Hawaiian parrotfishes, with bomb radiocarbon validation","volume":"75","author":[{"family":"DeMartini","given":"Edward E."},{"family":"Andrews","given":"Allen H."},{"family":"Howard","given":"Kathrine G."},{"family":"Taylor","given":"Brett M."},{"family":"Lou","given":"Dong-Chun"},{"family":"Donovan","given":"Mary K."}],"issued":{"date-parts":[["2018",4]]}}}],"schema":"https://github.com/citation-style-language/schema/raw/master/csl-citation.json"} </w:instrText>
            </w:r>
            <w:r>
              <w:rPr>
                <w:rFonts w:eastAsia="Times New Roman" w:cstheme="minorHAnsi"/>
                <w:color w:val="000000"/>
                <w:lang w:eastAsia="en-GB"/>
              </w:rPr>
              <w:fldChar w:fldCharType="separate"/>
            </w:r>
            <w:r w:rsidRPr="00CE59D9">
              <w:rPr>
                <w:rFonts w:ascii="Calibri" w:cs="Calibri"/>
                <w:color w:val="000000"/>
                <w:vertAlign w:val="superscript"/>
              </w:rPr>
              <w:t>8</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0CF725F0"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177AEE02"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322F27EE"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Chlorurus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perspicillatus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561BB418" w14:textId="54A551DE"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7FD8E65D"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Oahu</w:t>
            </w:r>
          </w:p>
        </w:tc>
        <w:tc>
          <w:tcPr>
            <w:tcW w:w="1663" w:type="dxa"/>
            <w:tcBorders>
              <w:top w:val="nil"/>
              <w:left w:val="nil"/>
              <w:bottom w:val="single" w:sz="4" w:space="0" w:color="000000"/>
              <w:right w:val="single" w:sz="4" w:space="0" w:color="000000"/>
            </w:tcBorders>
            <w:shd w:val="clear" w:color="auto" w:fill="auto"/>
            <w:noWrap/>
            <w:vAlign w:val="bottom"/>
            <w:hideMark/>
          </w:tcPr>
          <w:p w14:paraId="3F0A8255"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1.1</w:t>
            </w:r>
          </w:p>
        </w:tc>
        <w:tc>
          <w:tcPr>
            <w:tcW w:w="2055" w:type="dxa"/>
            <w:tcBorders>
              <w:top w:val="nil"/>
              <w:left w:val="nil"/>
              <w:bottom w:val="single" w:sz="4" w:space="0" w:color="000000"/>
              <w:right w:val="single" w:sz="4" w:space="0" w:color="000000"/>
            </w:tcBorders>
            <w:shd w:val="clear" w:color="auto" w:fill="auto"/>
            <w:noWrap/>
            <w:vAlign w:val="bottom"/>
            <w:hideMark/>
          </w:tcPr>
          <w:p w14:paraId="1136DD29"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0.52</w:t>
            </w:r>
          </w:p>
        </w:tc>
        <w:tc>
          <w:tcPr>
            <w:tcW w:w="2298" w:type="dxa"/>
            <w:tcBorders>
              <w:top w:val="nil"/>
              <w:left w:val="nil"/>
              <w:bottom w:val="single" w:sz="4" w:space="0" w:color="000000"/>
              <w:right w:val="single" w:sz="4" w:space="0" w:color="000000"/>
            </w:tcBorders>
            <w:shd w:val="clear" w:color="auto" w:fill="auto"/>
            <w:noWrap/>
            <w:vAlign w:val="bottom"/>
            <w:hideMark/>
          </w:tcPr>
          <w:p w14:paraId="00CF1F0D"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24E6EF32" w14:textId="1C03BC73" w:rsidR="0056149C" w:rsidRPr="00B825E1" w:rsidRDefault="00CE59D9"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387F99">
              <w:rPr>
                <w:rFonts w:eastAsia="Times New Roman" w:cstheme="minorHAnsi"/>
                <w:color w:val="000000"/>
                <w:lang w:eastAsia="en-GB"/>
              </w:rPr>
              <w:instrText xml:space="preserve"> ADDIN ZOTERO_ITEM CSL_CITATION {"citationID":"FRatfTMy","properties":{"formattedCitation":"\\super 8\\nosupersub{}","plainCitation":"8","noteIndex":0},"citationItems":[{"id":9471,"uris":["http://zotero.org/users/11938866/items/4FXLZCA4"],"itemData":{"id":9471,"type":"article-journal","abstract":"Growth rates and longevities were estimated for five major fishery species of parrotfishes (“uhu”) at Oahu, Hawai’i. All species grew rapidly with von Bertalanffy growth formula k values ≥0.4·year−1. Longevities were found to range broadly among the three small species, 4 years in Calotomus carolinus and 6 and 11 years in Scarus psittacus and Chlorurus spilurus, and to 15–20 years in Scarus rubroviolaceus and Chlorurus perspicillatus for the two large species. Age reading and growth curves for the latter two large species were validated using bomb radiocarbon dating. Median ages at sexual maturity as females (AM50) and at sex change (from female to terminal phase male, AΔ50) were estimated using logistic models. Sexual maturation occurred at 1–2 years for the small species and at 3–3.5 years in the large species. AΔ50 estimates ranged from 2 to 4 years in the small species and were about 5 and 7 years in S. rubroviolaceus and C. perspicillatus, respectively. Estimated milestones poorly corresponded to the current minimum legal size for uhu in Hawai’i (12 in. or 30.5 cm fork length). Pooling these parrotfishes for management seems generally inappropriate, especially for the two large species. Age-based metrics are more informative than size-based metrics for these fishes.","container-title":"Canadian Journal of Fisheries and Aquatic Sciences","DOI":"10.1139/cjfas-2016-0523","ISSN":"0706-652X","issue":"4","journalAbbreviation":"Can. J. Fish. Aquat. Sci.","note":"publisher: NRC Research Press","page":"580-589","source":"cdnsciencepub.com (Atypon)","title":"Comparative growth, age at maturity and sex change, and longevity of Hawaiian parrotfishes, with bomb radiocarbon validation","volume":"75","author":[{"family":"DeMartini","given":"Edward E."},{"family":"Andrews","given":"Allen H."},{"family":"Howard","given":"Kathrine G."},{"family":"Taylor","given":"Brett M."},{"family":"Lou","given":"Dong-Chun"},{"family":"Donovan","given":"Mary K."}],"issued":{"date-parts":[["2018",4]]}}}],"schema":"https://github.com/citation-style-language/schema/raw/master/csl-citation.json"} </w:instrText>
            </w:r>
            <w:r>
              <w:rPr>
                <w:rFonts w:eastAsia="Times New Roman" w:cstheme="minorHAnsi"/>
                <w:color w:val="000000"/>
                <w:lang w:eastAsia="en-GB"/>
              </w:rPr>
              <w:fldChar w:fldCharType="separate"/>
            </w:r>
            <w:r w:rsidRPr="00CE59D9">
              <w:rPr>
                <w:rFonts w:ascii="Calibri" w:cs="Calibri"/>
                <w:color w:val="000000"/>
                <w:vertAlign w:val="superscript"/>
              </w:rPr>
              <w:t>8</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4A7310DB"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22133172"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62097201"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Scarus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rubroviolaceus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1F6781CF" w14:textId="473871B3"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60EB95D3"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Oahu</w:t>
            </w:r>
          </w:p>
        </w:tc>
        <w:tc>
          <w:tcPr>
            <w:tcW w:w="1663" w:type="dxa"/>
            <w:tcBorders>
              <w:top w:val="nil"/>
              <w:left w:val="nil"/>
              <w:bottom w:val="single" w:sz="4" w:space="0" w:color="000000"/>
              <w:right w:val="single" w:sz="4" w:space="0" w:color="000000"/>
            </w:tcBorders>
            <w:shd w:val="clear" w:color="auto" w:fill="auto"/>
            <w:noWrap/>
            <w:vAlign w:val="bottom"/>
            <w:hideMark/>
          </w:tcPr>
          <w:p w14:paraId="48DF9F43"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2.18</w:t>
            </w:r>
          </w:p>
        </w:tc>
        <w:tc>
          <w:tcPr>
            <w:tcW w:w="2055" w:type="dxa"/>
            <w:tcBorders>
              <w:top w:val="nil"/>
              <w:left w:val="nil"/>
              <w:bottom w:val="single" w:sz="4" w:space="0" w:color="000000"/>
              <w:right w:val="single" w:sz="4" w:space="0" w:color="000000"/>
            </w:tcBorders>
            <w:shd w:val="clear" w:color="auto" w:fill="auto"/>
            <w:noWrap/>
            <w:vAlign w:val="bottom"/>
            <w:hideMark/>
          </w:tcPr>
          <w:p w14:paraId="45ED9E7D"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0.69</w:t>
            </w:r>
          </w:p>
        </w:tc>
        <w:tc>
          <w:tcPr>
            <w:tcW w:w="2298" w:type="dxa"/>
            <w:tcBorders>
              <w:top w:val="nil"/>
              <w:left w:val="nil"/>
              <w:bottom w:val="single" w:sz="4" w:space="0" w:color="000000"/>
              <w:right w:val="single" w:sz="4" w:space="0" w:color="000000"/>
            </w:tcBorders>
            <w:shd w:val="clear" w:color="auto" w:fill="auto"/>
            <w:noWrap/>
            <w:vAlign w:val="bottom"/>
            <w:hideMark/>
          </w:tcPr>
          <w:p w14:paraId="47E5F062"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5B43CAAC" w14:textId="56614ADF" w:rsidR="0056149C" w:rsidRPr="00B825E1" w:rsidRDefault="00CE59D9"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387F99">
              <w:rPr>
                <w:rFonts w:eastAsia="Times New Roman" w:cstheme="minorHAnsi"/>
                <w:color w:val="000000"/>
                <w:lang w:eastAsia="en-GB"/>
              </w:rPr>
              <w:instrText xml:space="preserve"> ADDIN ZOTERO_ITEM CSL_CITATION {"citationID":"E3pMq8nm","properties":{"formattedCitation":"\\super 8\\nosupersub{}","plainCitation":"8","noteIndex":0},"citationItems":[{"id":9471,"uris":["http://zotero.org/users/11938866/items/4FXLZCA4"],"itemData":{"id":9471,"type":"article-journal","abstract":"Growth rates and longevities were estimated for five major fishery species of parrotfishes (“uhu”) at Oahu, Hawai’i. All species grew rapidly with von Bertalanffy growth formula k values ≥0.4·year−1. Longevities were found to range broadly among the three small species, 4 years in Calotomus carolinus and 6 and 11 years in Scarus psittacus and Chlorurus spilurus, and to 15–20 years in Scarus rubroviolaceus and Chlorurus perspicillatus for the two large species. Age reading and growth curves for the latter two large species were validated using bomb radiocarbon dating. Median ages at sexual maturity as females (AM50) and at sex change (from female to terminal phase male, AΔ50) were estimated using logistic models. Sexual maturation occurred at 1–2 years for the small species and at 3–3.5 years in the large species. AΔ50 estimates ranged from 2 to 4 years in the small species and were about 5 and 7 years in S. rubroviolaceus and C. perspicillatus, respectively. Estimated milestones poorly corresponded to the current minimum legal size for uhu in Hawai’i (12 in. or 30.5 cm fork length). Pooling these parrotfishes for management seems generally inappropriate, especially for the two large species. Age-based metrics are more informative than size-based metrics for these fishes.","container-title":"Canadian Journal of Fisheries and Aquatic Sciences","DOI":"10.1139/cjfas-2016-0523","ISSN":"0706-652X","issue":"4","journalAbbreviation":"Can. J. Fish. Aquat. Sci.","note":"publisher: NRC Research Press","page":"580-589","source":"cdnsciencepub.com (Atypon)","title":"Comparative growth, age at maturity and sex change, and longevity of Hawaiian parrotfishes, with bomb radiocarbon validation","volume":"75","author":[{"family":"DeMartini","given":"Edward E."},{"family":"Andrews","given":"Allen H."},{"family":"Howard","given":"Kathrine G."},{"family":"Taylor","given":"Brett M."},{"family":"Lou","given":"Dong-Chun"},{"family":"Donovan","given":"Mary K."}],"issued":{"date-parts":[["2018",4]]}}}],"schema":"https://github.com/citation-style-language/schema/raw/master/csl-citation.json"} </w:instrText>
            </w:r>
            <w:r>
              <w:rPr>
                <w:rFonts w:eastAsia="Times New Roman" w:cstheme="minorHAnsi"/>
                <w:color w:val="000000"/>
                <w:lang w:eastAsia="en-GB"/>
              </w:rPr>
              <w:fldChar w:fldCharType="separate"/>
            </w:r>
            <w:r w:rsidRPr="00CE59D9">
              <w:rPr>
                <w:rFonts w:ascii="Calibri" w:cs="Calibri"/>
                <w:color w:val="000000"/>
                <w:vertAlign w:val="superscript"/>
              </w:rPr>
              <w:t>8</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52C317FA"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7C932F43"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555CA9D2"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Lethrinus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xanthochilus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5EEBBB19"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Lethrinidae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147597CF"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Tutuila</w:t>
            </w:r>
          </w:p>
        </w:tc>
        <w:tc>
          <w:tcPr>
            <w:tcW w:w="1663" w:type="dxa"/>
            <w:tcBorders>
              <w:top w:val="nil"/>
              <w:left w:val="nil"/>
              <w:bottom w:val="single" w:sz="4" w:space="0" w:color="000000"/>
              <w:right w:val="single" w:sz="4" w:space="0" w:color="000000"/>
            </w:tcBorders>
            <w:shd w:val="clear" w:color="auto" w:fill="auto"/>
            <w:noWrap/>
            <w:vAlign w:val="bottom"/>
            <w:hideMark/>
          </w:tcPr>
          <w:p w14:paraId="7E4D9EFC"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1.4</w:t>
            </w:r>
          </w:p>
        </w:tc>
        <w:tc>
          <w:tcPr>
            <w:tcW w:w="2055" w:type="dxa"/>
            <w:tcBorders>
              <w:top w:val="nil"/>
              <w:left w:val="nil"/>
              <w:bottom w:val="single" w:sz="4" w:space="0" w:color="000000"/>
              <w:right w:val="single" w:sz="4" w:space="0" w:color="000000"/>
            </w:tcBorders>
            <w:shd w:val="clear" w:color="auto" w:fill="auto"/>
            <w:noWrap/>
            <w:vAlign w:val="bottom"/>
            <w:hideMark/>
          </w:tcPr>
          <w:p w14:paraId="02D931FF"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0.58</w:t>
            </w:r>
          </w:p>
        </w:tc>
        <w:tc>
          <w:tcPr>
            <w:tcW w:w="2298" w:type="dxa"/>
            <w:tcBorders>
              <w:top w:val="nil"/>
              <w:left w:val="nil"/>
              <w:bottom w:val="single" w:sz="4" w:space="0" w:color="000000"/>
              <w:right w:val="single" w:sz="4" w:space="0" w:color="000000"/>
            </w:tcBorders>
            <w:shd w:val="clear" w:color="auto" w:fill="auto"/>
            <w:noWrap/>
            <w:vAlign w:val="bottom"/>
            <w:hideMark/>
          </w:tcPr>
          <w:p w14:paraId="615FAE45"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2EAD7479" w14:textId="6D823E9A" w:rsidR="0056149C" w:rsidRPr="00B825E1" w:rsidRDefault="000322FF"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387F99">
              <w:rPr>
                <w:rFonts w:eastAsia="Times New Roman" w:cstheme="minorHAnsi"/>
                <w:color w:val="000000"/>
                <w:lang w:eastAsia="en-GB"/>
              </w:rPr>
              <w:instrText xml:space="preserve"> ADDIN ZOTERO_ITEM CSL_CITATION {"citationID":"kfZwPnXP","properties":{"formattedCitation":"\\super 9\\nosupersub{}","plainCitation":"9","noteIndex":0},"citationItems":[{"id":9473,"uris":["http://zotero.org/users/11938866/items/77FSN79V"],"itemData":{"id":9473,"type":"article-journal","abstract":"The age-based life history of two commercially-important species of snapper (Lutjanidae) and one emperor (Lethrinidae) were characterized from the nearshore fishery of Tutuila, American Samoa. Examination of sagittal otoliths across multiple months and years confirmed the annual deposition of increments and highlighted marked variation in life-history patterns among the three meso-predator species. The humpback red snapper Lutjanus gibbus is a medium-bodied gonochoristic species which exhibits striking sexual dimorphism in length-at-age and consequent growth trajectories and has a life span estimated to be at least 27 years. The yellow-lined snapper Lutjanus rufolineatus is a small-bodied gonochore with weak sexual dimorphism, early maturation, and a short life span of at least 12 years. The yellow-lip emperor Lethrinus xanthochilus is a large-bodied species with a moderate life span (estimated to be at least 19 years in this study), rapid initial growth, and a more complex sexual ontogeny likely involving pre- or post-maturational sex change, although this remains unresolved at present. Ratios of natural to fishing mortality indicate a low level of prevailing exploitation for all three species, which is supported by low proportions of immature female length classes captured by the fishery. However, considerable demographic variability among the three species highlights the value of detailed age-based information as a necessary component for informing monitoring efforts and future management decisions.","container-title":"PeerJ","DOI":"10.7717/peerj.5069","ISSN":"2167-8359","journalAbbreviation":"PeerJ","language":"en","note":"publisher: PeerJ Inc.","page":"e5069","source":"peerj.com","title":"Comparative demography of commercially-harvested snappers and an emperor from American Samoa","volume":"6","author":[{"family":"Taylor","given":"Brett M."},{"family":"Oyafuso","given":"Zack S."},{"family":"Pardee","given":"Cassandra B."},{"family":"Ochavillo","given":"Domingo"},{"family":"Newman","given":"Stephen J."}],"issued":{"date-parts":[["2018",6,18]]}}}],"schema":"https://github.com/citation-style-language/schema/raw/master/csl-citation.json"} </w:instrText>
            </w:r>
            <w:r>
              <w:rPr>
                <w:rFonts w:eastAsia="Times New Roman" w:cstheme="minorHAnsi"/>
                <w:color w:val="000000"/>
                <w:lang w:eastAsia="en-GB"/>
              </w:rPr>
              <w:fldChar w:fldCharType="separate"/>
            </w:r>
            <w:r w:rsidR="00387F99" w:rsidRPr="00387F99">
              <w:rPr>
                <w:rFonts w:ascii="Calibri" w:cs="Calibri"/>
                <w:color w:val="000000"/>
                <w:vertAlign w:val="superscript"/>
              </w:rPr>
              <w:t>9</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4F5A038C"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53109326"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35891E24"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lastRenderedPageBreak/>
              <w:t>Plectropomus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areolatus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68562E35"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Epinephelidae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4D378D02"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Chuuk</w:t>
            </w:r>
          </w:p>
        </w:tc>
        <w:tc>
          <w:tcPr>
            <w:tcW w:w="1663" w:type="dxa"/>
            <w:tcBorders>
              <w:top w:val="nil"/>
              <w:left w:val="nil"/>
              <w:bottom w:val="single" w:sz="4" w:space="0" w:color="000000"/>
              <w:right w:val="single" w:sz="4" w:space="0" w:color="000000"/>
            </w:tcBorders>
            <w:shd w:val="clear" w:color="auto" w:fill="auto"/>
            <w:noWrap/>
            <w:vAlign w:val="bottom"/>
            <w:hideMark/>
          </w:tcPr>
          <w:p w14:paraId="672952D3"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5</w:t>
            </w:r>
          </w:p>
        </w:tc>
        <w:tc>
          <w:tcPr>
            <w:tcW w:w="2055" w:type="dxa"/>
            <w:tcBorders>
              <w:top w:val="nil"/>
              <w:left w:val="nil"/>
              <w:bottom w:val="single" w:sz="4" w:space="0" w:color="000000"/>
              <w:right w:val="single" w:sz="4" w:space="0" w:color="000000"/>
            </w:tcBorders>
            <w:shd w:val="clear" w:color="auto" w:fill="auto"/>
            <w:noWrap/>
            <w:vAlign w:val="bottom"/>
            <w:hideMark/>
          </w:tcPr>
          <w:p w14:paraId="375B6555"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0.83</w:t>
            </w:r>
          </w:p>
        </w:tc>
        <w:tc>
          <w:tcPr>
            <w:tcW w:w="2298" w:type="dxa"/>
            <w:tcBorders>
              <w:top w:val="nil"/>
              <w:left w:val="nil"/>
              <w:bottom w:val="single" w:sz="4" w:space="0" w:color="000000"/>
              <w:right w:val="single" w:sz="4" w:space="0" w:color="000000"/>
            </w:tcBorders>
            <w:shd w:val="clear" w:color="auto" w:fill="auto"/>
            <w:noWrap/>
            <w:vAlign w:val="bottom"/>
            <w:hideMark/>
          </w:tcPr>
          <w:p w14:paraId="484B514F"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0C7B1EF7" w14:textId="38A881DF" w:rsidR="0056149C" w:rsidRPr="00B825E1" w:rsidRDefault="000642FB"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CB7DC9">
              <w:rPr>
                <w:rFonts w:eastAsia="Times New Roman" w:cstheme="minorHAnsi"/>
                <w:color w:val="000000"/>
                <w:lang w:eastAsia="en-GB"/>
              </w:rPr>
              <w:instrText xml:space="preserve"> ADDIN ZOTERO_ITEM CSL_CITATION {"citationID":"EMGbhl8f","properties":{"formattedCitation":"\\super 10\\nosupersub{}","plainCitation":"10","noteIndex":0},"citationItems":[{"id":9475,"uris":["http://zotero.org/users/11938866/items/Z7B6MS8R"],"itemData":{"id":9475,"type":"article-journal","abstract":"Camouflage grouper, Epinephelus polyphekadion (Bleeker, 1849), and squaretail coralgrouper, Plectropomus areolatus (Rüppell, 1830), are commercially important medium-bodied groupers that aggregate at specific sites and times to spawn and are highly vulnerable to fishing during these events. Populations of both species are in decline globally, such that management specifically targeting these species is warranted. A 12-month fish market survey in Chuuk, Federated States of Micronesia, provided an opportunity to examine age-based reproductive life history of these two groupers and assess whether current management acts to conserve them. Life history characteristics of both E. polyphekadion and P. areolatus include a functionally gonochoristic sexual pattern and rapid growth particularly during early life history. P. areolatus demonstrated early maturity (2.8 years) and a relatively brief lifespan (10 years), while delayed maturity (4.5 years) and higher longevity (25 years) was shown for E. polyphekadion. The spawning seasons for E. polyphekadion and P. areolatus were 2 and 3 months, respectively, which fall entirely within the January–April grouper sales, catch, and export ban period for Chuuk. Marketed catch included 22% E. polyphekadion and 15% P. areolatus juveniles, suggesting that size limits may aid in the conservation of these species. Findings from this and recent grouper life history studies suggest that the current 4-month ban in Chuuk be applied only to grouper species known to reproduce during these months to minimize economic impacts to fishers and market owners, and prevent shifts in fishing pressure to more vulnerable species, such as those with low population turnover times, slow growth, or late maturity. Size limits for catch, sale and export are also warranted as an additional management option.","container-title":"Aquatic Conservation: Marine and Freshwater Ecosystems","DOI":"10.1002/aqc.3452","ISSN":"1099-0755","issue":"3","language":"en","license":"© 2020 John Wiley &amp; Sons, Ltd.","note":"_eprint: https://onlinelibrary.wiley.com/doi/pdf/10.1002/aqc.3452","page":"605-619","source":"Wiley Online Library","title":"Aligning fisheries management with life history in two commercially important groupers in Chuuk, Federated States of Micronesia","volume":"31","author":[{"family":"Rhodes","given":"Kevin L."},{"family":"Baremore","given":"Ivy E."},{"family":"Taylor","given":"Brett M."},{"family":"Cuetos-Bueno","given":"Javier"},{"family":"Hernandez","given":"Dalia"}],"issued":{"date-parts":[["2021"]]}}}],"schema":"https://github.com/citation-style-language/schema/raw/master/csl-citation.json"} </w:instrText>
            </w:r>
            <w:r>
              <w:rPr>
                <w:rFonts w:eastAsia="Times New Roman" w:cstheme="minorHAnsi"/>
                <w:color w:val="000000"/>
                <w:lang w:eastAsia="en-GB"/>
              </w:rPr>
              <w:fldChar w:fldCharType="separate"/>
            </w:r>
            <w:r w:rsidR="00CB7DC9" w:rsidRPr="00CB7DC9">
              <w:rPr>
                <w:rFonts w:ascii="Calibri" w:cs="Calibri"/>
                <w:color w:val="000000"/>
                <w:vertAlign w:val="superscript"/>
              </w:rPr>
              <w:t>10</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6A5FA658"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0D775675"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3DE9EE73"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Chlorurus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japanensis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526D7CDB" w14:textId="424A8668"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sidR="002B5DBE">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4D5BB78C"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Tutuila</w:t>
            </w:r>
          </w:p>
        </w:tc>
        <w:tc>
          <w:tcPr>
            <w:tcW w:w="1663" w:type="dxa"/>
            <w:tcBorders>
              <w:top w:val="nil"/>
              <w:left w:val="nil"/>
              <w:bottom w:val="single" w:sz="4" w:space="0" w:color="000000"/>
              <w:right w:val="single" w:sz="4" w:space="0" w:color="000000"/>
            </w:tcBorders>
            <w:shd w:val="clear" w:color="auto" w:fill="auto"/>
            <w:noWrap/>
            <w:vAlign w:val="bottom"/>
            <w:hideMark/>
          </w:tcPr>
          <w:p w14:paraId="529D5578"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1.19</w:t>
            </w:r>
          </w:p>
        </w:tc>
        <w:tc>
          <w:tcPr>
            <w:tcW w:w="2055" w:type="dxa"/>
            <w:tcBorders>
              <w:top w:val="nil"/>
              <w:left w:val="nil"/>
              <w:bottom w:val="single" w:sz="4" w:space="0" w:color="000000"/>
              <w:right w:val="single" w:sz="4" w:space="0" w:color="000000"/>
            </w:tcBorders>
            <w:shd w:val="clear" w:color="auto" w:fill="auto"/>
            <w:noWrap/>
            <w:vAlign w:val="bottom"/>
            <w:hideMark/>
          </w:tcPr>
          <w:p w14:paraId="78E4ADBD"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0.54</w:t>
            </w:r>
          </w:p>
        </w:tc>
        <w:tc>
          <w:tcPr>
            <w:tcW w:w="2298" w:type="dxa"/>
            <w:tcBorders>
              <w:top w:val="nil"/>
              <w:left w:val="nil"/>
              <w:bottom w:val="single" w:sz="4" w:space="0" w:color="000000"/>
              <w:right w:val="single" w:sz="4" w:space="0" w:color="000000"/>
            </w:tcBorders>
            <w:shd w:val="clear" w:color="auto" w:fill="auto"/>
            <w:noWrap/>
            <w:vAlign w:val="bottom"/>
            <w:hideMark/>
          </w:tcPr>
          <w:p w14:paraId="77EA20FF"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6C00C1B5" w14:textId="338B1F74" w:rsidR="0056149C" w:rsidRPr="00B825E1" w:rsidRDefault="00827A9A"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80365D">
              <w:rPr>
                <w:rFonts w:eastAsia="Times New Roman" w:cstheme="minorHAnsi"/>
                <w:color w:val="000000"/>
                <w:lang w:eastAsia="en-GB"/>
              </w:rPr>
              <w:instrText xml:space="preserve"> ADDIN ZOTERO_ITEM CSL_CITATION {"citationID":"PUDaxrRr","properties":{"formattedCitation":"\\super 11\\nosupersub{}","plainCitation":"11","noteIndex":0},"citationItems":[{"id":9484,"uris":["http://zotero.org/users/11938866/items/T5NJWQ78"],"itemData":{"id":9484,"type":"article-journal","abstract":"This study presents age-based life history information on three small-bodied species targeted in the American Samoan fishery: Chlorurus japanensis palecheek parrotfish/fuga-alosama, Lethrinus rubrioperculatus spotcheek emperor/fiola pa`o`omumu, and Naso lituratus orangespine unicornfish/ili`ilia. Age and reproductive information were derived from sagittal otoliths and gonads. Maximum observed ages were 7 years for C. japanensis, 10 years for L. rubrioperculatus, and 25 years for N. lituratus. Due to a limited numbers of immature samples, a proxy for size at 50% maturity (L50) was derived from the relationship between asymptotic fork length (L∞) and L50 based on data published for species from similar geographic regions and respective families. L50 was estimated at 20.9 cm for C. japanensis, 20.4 cm for L. rubrioperculatus, and 17.5 cm for N. lituratus. Derived estimates were within 1 % of the L50 calculated for C. japanensis and N. lituratus from the limited number of immature samples collected in this study, indicating that for regions where sampling ability is limited, derived relationships between L∞ and L50 can be used to calculate an appropriate proxy. Naso lituratus demonstrated a biphasic mortality schedule with a higher than expected total mortality rate in the first 7 years of life. The age-based demographic information presented here can be used for future stock assessments and ecosystem models, which should facilitate improved management.","container-title":"Fisheries Science","DOI":"10.1007/s12562-020-01471-9","ISSN":"1444-2906","issue":"6","journalAbbreviation":"Fish Sci","language":"en","page":"985-993","source":"Springer Link","title":"Growth and maturation of three commercially important coral reef species from American Samoa","volume":"86","author":[{"family":"Pardee","given":"Cassandra"},{"family":"Taylor","given":"Brett M."},{"family":"Felise","given":"Sean"},{"family":"Ochavillo","given":"Domingo"},{"family":"Cuetos-Bueno","given":"Javier"}],"issued":{"date-parts":[["2020",11,1]]}}}],"schema":"https://github.com/citation-style-language/schema/raw/master/csl-citation.json"} </w:instrText>
            </w:r>
            <w:r>
              <w:rPr>
                <w:rFonts w:eastAsia="Times New Roman" w:cstheme="minorHAnsi"/>
                <w:color w:val="000000"/>
                <w:lang w:eastAsia="en-GB"/>
              </w:rPr>
              <w:fldChar w:fldCharType="separate"/>
            </w:r>
            <w:r w:rsidR="0080365D" w:rsidRPr="0080365D">
              <w:rPr>
                <w:rFonts w:ascii="Calibri" w:cs="Calibri"/>
                <w:color w:val="000000"/>
                <w:vertAlign w:val="superscript"/>
              </w:rPr>
              <w:t>11</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74142C52"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2EF67EED"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363C9122"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Lethrinus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rubrioperculatus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4C989BE5"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Lethrinidae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15A1722A"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Tutuila</w:t>
            </w:r>
          </w:p>
        </w:tc>
        <w:tc>
          <w:tcPr>
            <w:tcW w:w="1663" w:type="dxa"/>
            <w:tcBorders>
              <w:top w:val="nil"/>
              <w:left w:val="nil"/>
              <w:bottom w:val="single" w:sz="4" w:space="0" w:color="000000"/>
              <w:right w:val="single" w:sz="4" w:space="0" w:color="000000"/>
            </w:tcBorders>
            <w:shd w:val="clear" w:color="auto" w:fill="auto"/>
            <w:noWrap/>
            <w:vAlign w:val="bottom"/>
            <w:hideMark/>
          </w:tcPr>
          <w:p w14:paraId="6DA58428"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1.74</w:t>
            </w:r>
          </w:p>
        </w:tc>
        <w:tc>
          <w:tcPr>
            <w:tcW w:w="2055" w:type="dxa"/>
            <w:tcBorders>
              <w:top w:val="nil"/>
              <w:left w:val="nil"/>
              <w:bottom w:val="single" w:sz="4" w:space="0" w:color="000000"/>
              <w:right w:val="single" w:sz="4" w:space="0" w:color="000000"/>
            </w:tcBorders>
            <w:shd w:val="clear" w:color="auto" w:fill="auto"/>
            <w:noWrap/>
            <w:vAlign w:val="bottom"/>
            <w:hideMark/>
          </w:tcPr>
          <w:p w14:paraId="01CBD6A4"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0.63</w:t>
            </w:r>
          </w:p>
        </w:tc>
        <w:tc>
          <w:tcPr>
            <w:tcW w:w="2298" w:type="dxa"/>
            <w:tcBorders>
              <w:top w:val="nil"/>
              <w:left w:val="nil"/>
              <w:bottom w:val="single" w:sz="4" w:space="0" w:color="000000"/>
              <w:right w:val="single" w:sz="4" w:space="0" w:color="000000"/>
            </w:tcBorders>
            <w:shd w:val="clear" w:color="auto" w:fill="auto"/>
            <w:noWrap/>
            <w:vAlign w:val="bottom"/>
            <w:hideMark/>
          </w:tcPr>
          <w:p w14:paraId="03F5F878"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0E49D17D" w14:textId="7B427E01" w:rsidR="0056149C" w:rsidRPr="00B825E1" w:rsidRDefault="0080365D"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9555EC">
              <w:rPr>
                <w:rFonts w:eastAsia="Times New Roman" w:cstheme="minorHAnsi"/>
                <w:color w:val="000000"/>
                <w:lang w:eastAsia="en-GB"/>
              </w:rPr>
              <w:instrText xml:space="preserve"> ADDIN ZOTERO_ITEM CSL_CITATION {"citationID":"gtJ1Aa6q","properties":{"formattedCitation":"\\super 11\\nosupersub{}","plainCitation":"11","noteIndex":0},"citationItems":[{"id":9484,"uris":["http://zotero.org/users/11938866/items/T5NJWQ78"],"itemData":{"id":9484,"type":"article-journal","abstract":"This study presents age-based life history information on three small-bodied species targeted in the American Samoan fishery: Chlorurus japanensis palecheek parrotfish/fuga-alosama, Lethrinus rubrioperculatus spotcheek emperor/fiola pa`o`omumu, and Naso lituratus orangespine unicornfish/ili`ilia. Age and reproductive information were derived from sagittal otoliths and gonads. Maximum observed ages were 7 years for C. japanensis, 10 years for L. rubrioperculatus, and 25 years for N. lituratus. Due to a limited numbers of immature samples, a proxy for size at 50% maturity (L50) was derived from the relationship between asymptotic fork length (L∞) and L50 based on data published for species from similar geographic regions and respective families. L50 was estimated at 20.9 cm for C. japanensis, 20.4 cm for L. rubrioperculatus, and 17.5 cm for N. lituratus. Derived estimates were within 1 % of the L50 calculated for C. japanensis and N. lituratus from the limited number of immature samples collected in this study, indicating that for regions where sampling ability is limited, derived relationships between L∞ and L50 can be used to calculate an appropriate proxy. Naso lituratus demonstrated a biphasic mortality schedule with a higher than expected total mortality rate in the first 7 years of life. The age-based demographic information presented here can be used for future stock assessments and ecosystem models, which should facilitate improved management.","container-title":"Fisheries Science","DOI":"10.1007/s12562-020-01471-9","ISSN":"1444-2906","issue":"6","journalAbbreviation":"Fish Sci","language":"en","page":"985-993","source":"Springer Link","title":"Growth and maturation of three commercially important coral reef species from American Samoa","volume":"86","author":[{"family":"Pardee","given":"Cassandra"},{"family":"Taylor","given":"Brett M."},{"family":"Felise","given":"Sean"},{"family":"Ochavillo","given":"Domingo"},{"family":"Cuetos-Bueno","given":"Javier"}],"issued":{"date-parts":[["2020",11,1]]}}}],"schema":"https://github.com/citation-style-language/schema/raw/master/csl-citation.json"} </w:instrText>
            </w:r>
            <w:r>
              <w:rPr>
                <w:rFonts w:eastAsia="Times New Roman" w:cstheme="minorHAnsi"/>
                <w:color w:val="000000"/>
                <w:lang w:eastAsia="en-GB"/>
              </w:rPr>
              <w:fldChar w:fldCharType="separate"/>
            </w:r>
            <w:r w:rsidRPr="0080365D">
              <w:rPr>
                <w:rFonts w:ascii="Calibri" w:cs="Calibri"/>
                <w:color w:val="000000"/>
                <w:vertAlign w:val="superscript"/>
              </w:rPr>
              <w:t>11</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40F6743C"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2436694F"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41701A92"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Lethrinus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olivaceus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04B83007"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Lethrinidae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29173FFB"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Okinawa</w:t>
            </w:r>
          </w:p>
        </w:tc>
        <w:tc>
          <w:tcPr>
            <w:tcW w:w="1663" w:type="dxa"/>
            <w:tcBorders>
              <w:top w:val="nil"/>
              <w:left w:val="nil"/>
              <w:bottom w:val="single" w:sz="4" w:space="0" w:color="000000"/>
              <w:right w:val="single" w:sz="4" w:space="0" w:color="000000"/>
            </w:tcBorders>
            <w:shd w:val="clear" w:color="auto" w:fill="auto"/>
            <w:noWrap/>
            <w:vAlign w:val="bottom"/>
            <w:hideMark/>
          </w:tcPr>
          <w:p w14:paraId="7BFE45F0"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1.08</w:t>
            </w:r>
          </w:p>
        </w:tc>
        <w:tc>
          <w:tcPr>
            <w:tcW w:w="2055" w:type="dxa"/>
            <w:tcBorders>
              <w:top w:val="nil"/>
              <w:left w:val="nil"/>
              <w:bottom w:val="single" w:sz="4" w:space="0" w:color="000000"/>
              <w:right w:val="single" w:sz="4" w:space="0" w:color="000000"/>
            </w:tcBorders>
            <w:shd w:val="clear" w:color="auto" w:fill="auto"/>
            <w:noWrap/>
            <w:vAlign w:val="bottom"/>
            <w:hideMark/>
          </w:tcPr>
          <w:p w14:paraId="64CE0C82"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0.52</w:t>
            </w:r>
          </w:p>
        </w:tc>
        <w:tc>
          <w:tcPr>
            <w:tcW w:w="2298" w:type="dxa"/>
            <w:tcBorders>
              <w:top w:val="nil"/>
              <w:left w:val="nil"/>
              <w:bottom w:val="single" w:sz="4" w:space="0" w:color="000000"/>
              <w:right w:val="single" w:sz="4" w:space="0" w:color="000000"/>
            </w:tcBorders>
            <w:shd w:val="clear" w:color="auto" w:fill="auto"/>
            <w:noWrap/>
            <w:vAlign w:val="bottom"/>
            <w:hideMark/>
          </w:tcPr>
          <w:p w14:paraId="4FC2CEE3"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7F87B75F" w14:textId="40E8D689" w:rsidR="0056149C" w:rsidRPr="00B825E1" w:rsidRDefault="009555EC"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680903">
              <w:rPr>
                <w:rFonts w:eastAsia="Times New Roman" w:cstheme="minorHAnsi"/>
                <w:color w:val="000000"/>
                <w:lang w:eastAsia="en-GB"/>
              </w:rPr>
              <w:instrText xml:space="preserve"> ADDIN ZOTERO_ITEM CSL_CITATION {"citationID":"dqEtRqfX","properties":{"formattedCitation":"\\super 12\\nosupersub{}","plainCitation":"12","noteIndex":0},"citationItems":[{"id":9488,"uris":["http://zotero.org/users/11938866/items/3BUJA4WW"],"itemData":{"id":9488,"type":"article-journal","abstract":"Age, growth, and reproductive traits of two large emperor fishes Lethrinus olivaceus (n = 144, 26.9–76.8 cm fork length) and L. xanthochilus (n = 127, 24.2–64.8 cm) were investigated in the Yaeyama Islands (24°N, 124°E), Okinawa, southern Japan. Spawning was confirmed from April to June for L. olivaceus and April to May for L. xanthochilus. Otolith opaque zones in both species were found to be formed during spawning season and to be annual marks. Maximum observed ages were 22 years old for L. olivaceus and 17 years old for L. xanthochilus. Estimated von Bertalanffy growth parameters were L∞ = 71.9 cm, k = 0.258 year− 1, t0 = − 0.613 years for L. olivaceus and L∞ = 62.5 cm, k = 0.175 year− 1, t0 = − 2.157 years for L. xanthochilus. Hermaphrodite gonads were observed in adult size of L. olivaceus and immature size of L. xanthochilus. However, dominance of females in young age classes (L. olivaceus: 1–8 years old; L. xanthochilus: 1–4 years) and of males in older age classes (L. olivaceus: &gt;9 years old; L. xanthochilus: &gt;5 years) implied that both species are basically functional protogynous hermaphrodite. Relatively long lives and functional protogyny, which leads to low abundance of males, indicate that both species are vulnerable to fishing pressure.","container-title":"Environmental Biology of Fishes","DOI":"10.1007/s10641-021-01069-9","ISSN":"1573-5133","issue":"2","journalAbbreviation":"Environ Biol Fish","language":"en","page":"181-194","source":"Springer Link","title":"Age, growth, and reproductive traits of two large emperor fishes, Lethrinus olivaceus and L. xanthochilus, around Yaeyama Islands, Okinawa, southern Japan","volume":"104","author":[{"family":"Shimose","given":"Tamaki"}],"issued":{"date-parts":[["2021",2,1]]}}}],"schema":"https://github.com/citation-style-language/schema/raw/master/csl-citation.json"} </w:instrText>
            </w:r>
            <w:r>
              <w:rPr>
                <w:rFonts w:eastAsia="Times New Roman" w:cstheme="minorHAnsi"/>
                <w:color w:val="000000"/>
                <w:lang w:eastAsia="en-GB"/>
              </w:rPr>
              <w:fldChar w:fldCharType="separate"/>
            </w:r>
            <w:r w:rsidR="00680903" w:rsidRPr="00680903">
              <w:rPr>
                <w:rFonts w:ascii="Calibri" w:cs="Calibri"/>
                <w:color w:val="000000"/>
                <w:vertAlign w:val="superscript"/>
              </w:rPr>
              <w:t>12</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1492C0B5"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0AA91723"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5672CC65"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Lethrinus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atkinsoni</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0D183096"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Lethrinidae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740CA190"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Okinawa</w:t>
            </w:r>
          </w:p>
        </w:tc>
        <w:tc>
          <w:tcPr>
            <w:tcW w:w="1663" w:type="dxa"/>
            <w:tcBorders>
              <w:top w:val="nil"/>
              <w:left w:val="nil"/>
              <w:bottom w:val="single" w:sz="4" w:space="0" w:color="000000"/>
              <w:right w:val="single" w:sz="4" w:space="0" w:color="000000"/>
            </w:tcBorders>
            <w:shd w:val="clear" w:color="auto" w:fill="auto"/>
            <w:noWrap/>
            <w:vAlign w:val="bottom"/>
            <w:hideMark/>
          </w:tcPr>
          <w:p w14:paraId="239EFE8F"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0.33</w:t>
            </w:r>
          </w:p>
        </w:tc>
        <w:tc>
          <w:tcPr>
            <w:tcW w:w="2055" w:type="dxa"/>
            <w:tcBorders>
              <w:top w:val="nil"/>
              <w:left w:val="nil"/>
              <w:bottom w:val="single" w:sz="4" w:space="0" w:color="000000"/>
              <w:right w:val="single" w:sz="4" w:space="0" w:color="000000"/>
            </w:tcBorders>
            <w:shd w:val="clear" w:color="auto" w:fill="auto"/>
            <w:noWrap/>
            <w:vAlign w:val="bottom"/>
            <w:hideMark/>
          </w:tcPr>
          <w:p w14:paraId="25988759"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0.25</w:t>
            </w:r>
          </w:p>
        </w:tc>
        <w:tc>
          <w:tcPr>
            <w:tcW w:w="2298" w:type="dxa"/>
            <w:tcBorders>
              <w:top w:val="nil"/>
              <w:left w:val="nil"/>
              <w:bottom w:val="single" w:sz="4" w:space="0" w:color="000000"/>
              <w:right w:val="single" w:sz="4" w:space="0" w:color="000000"/>
            </w:tcBorders>
            <w:shd w:val="clear" w:color="auto" w:fill="auto"/>
            <w:noWrap/>
            <w:vAlign w:val="bottom"/>
            <w:hideMark/>
          </w:tcPr>
          <w:p w14:paraId="678D1B2D"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2B586FE1" w14:textId="3F7B2E72" w:rsidR="0056149C" w:rsidRPr="00B825E1" w:rsidRDefault="007A5942"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680903">
              <w:rPr>
                <w:rFonts w:eastAsia="Times New Roman" w:cstheme="minorHAnsi"/>
                <w:color w:val="000000"/>
                <w:lang w:eastAsia="en-GB"/>
              </w:rPr>
              <w:instrText xml:space="preserve"> ADDIN ZOTERO_ITEM CSL_CITATION {"citationID":"hmvoPcXH","properties":{"formattedCitation":"\\super 13\\nosupersub{}","plainCitation":"13","noteIndex":0},"citationItems":[{"id":9486,"uris":["http://zotero.org/users/11938866/items/HUMH43HW"],"itemData":{"id":9486,"type":"article-journal","abstract":"The number of growth rings was counted on broken and burnt otoliths of eight Lethrinus spp. from two local populations: Lethrinus atkinsoni, L. harak, L. miniatus, L. nebulosus, L. obsoletus, L. ornatus, L. ravus, and L. rubrioperculatus, collected from 1985 to 1996 in waters off the Ryukyu Islands. Growth rings were revealed to be formed annually from about October to June by marginal analysis. In addition to obtaining the three parameters in von Bertalanffy growth equation and the maximum age in specimens, the relationship between age and both ovarian maturity rate and sex ratio (percentage female) was analyzed. The age at 50% of ovarian maturity was the lowest at 1–2 years old in L. harak, L. ravus, and L. rubrioperculatus and was the highest at approximately 4 years old in L. nebulosus. The age at which the sex ratio decreased to 50% due to sexual transition from female in protogynous hermaphrodite species was the lowest at 3–4 years old in the L. atkinsoni Okinawa population and was the highest at 7–8 years old in L. miniatus. The oldest maximum age for specimens was 26 years in L. nebulosus and the youngest maximum age was 12 years in L. ornatus.","container-title":"Fisheries Science","DOI":"10.1007/s12562-009-0061-9","ISSN":"1444-2906","issue":"3","journalAbbreviation":"Fish Sci","language":"en","page":"553-566","source":"Springer Link","title":"Life-history traits of eight Lethrinus species from two local populations in waters off the Ryukyu Islands","volume":"75","author":[{"family":"Ebisawa","given":"Akihiko"},{"family":"Ozawa","given":"Takakazu"}],"issued":{"date-parts":[["2009",5,1]]}}}],"schema":"https://github.com/citation-style-language/schema/raw/master/csl-citation.json"} </w:instrText>
            </w:r>
            <w:r>
              <w:rPr>
                <w:rFonts w:eastAsia="Times New Roman" w:cstheme="minorHAnsi"/>
                <w:color w:val="000000"/>
                <w:lang w:eastAsia="en-GB"/>
              </w:rPr>
              <w:fldChar w:fldCharType="separate"/>
            </w:r>
            <w:r w:rsidR="00680903" w:rsidRPr="00680903">
              <w:rPr>
                <w:rFonts w:ascii="Calibri" w:cs="Calibri"/>
                <w:color w:val="000000"/>
                <w:vertAlign w:val="superscript"/>
              </w:rPr>
              <w:t>13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7AC8DF1B"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68383042"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13E95390"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Lethrinus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xanthochilus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7937777A"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Lethrinidae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5FEF7E0D"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Tutuila</w:t>
            </w:r>
          </w:p>
        </w:tc>
        <w:tc>
          <w:tcPr>
            <w:tcW w:w="1663" w:type="dxa"/>
            <w:tcBorders>
              <w:top w:val="nil"/>
              <w:left w:val="nil"/>
              <w:bottom w:val="single" w:sz="4" w:space="0" w:color="000000"/>
              <w:right w:val="single" w:sz="4" w:space="0" w:color="000000"/>
            </w:tcBorders>
            <w:shd w:val="clear" w:color="auto" w:fill="auto"/>
            <w:noWrap/>
            <w:vAlign w:val="bottom"/>
            <w:hideMark/>
          </w:tcPr>
          <w:p w14:paraId="01C3A6CC"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1.4</w:t>
            </w:r>
          </w:p>
        </w:tc>
        <w:tc>
          <w:tcPr>
            <w:tcW w:w="2055" w:type="dxa"/>
            <w:tcBorders>
              <w:top w:val="nil"/>
              <w:left w:val="nil"/>
              <w:bottom w:val="single" w:sz="4" w:space="0" w:color="000000"/>
              <w:right w:val="single" w:sz="4" w:space="0" w:color="000000"/>
            </w:tcBorders>
            <w:shd w:val="clear" w:color="auto" w:fill="auto"/>
            <w:noWrap/>
            <w:vAlign w:val="bottom"/>
            <w:hideMark/>
          </w:tcPr>
          <w:p w14:paraId="49E28D11"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0.58</w:t>
            </w:r>
          </w:p>
        </w:tc>
        <w:tc>
          <w:tcPr>
            <w:tcW w:w="2298" w:type="dxa"/>
            <w:tcBorders>
              <w:top w:val="nil"/>
              <w:left w:val="nil"/>
              <w:bottom w:val="single" w:sz="4" w:space="0" w:color="000000"/>
              <w:right w:val="single" w:sz="4" w:space="0" w:color="000000"/>
            </w:tcBorders>
            <w:shd w:val="clear" w:color="auto" w:fill="auto"/>
            <w:noWrap/>
            <w:vAlign w:val="bottom"/>
            <w:hideMark/>
          </w:tcPr>
          <w:p w14:paraId="134A9E6C"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30AC462A" w14:textId="73B19BBC" w:rsidR="0056149C" w:rsidRPr="00B825E1" w:rsidRDefault="00680903"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Pr>
                <w:rFonts w:eastAsia="Times New Roman" w:cstheme="minorHAnsi"/>
                <w:color w:val="000000"/>
                <w:lang w:eastAsia="en-GB"/>
              </w:rPr>
              <w:instrText xml:space="preserve"> ADDIN ZOTERO_ITEM CSL_CITATION {"citationID":"i6L3Ilgw","properties":{"formattedCitation":"\\super 9\\nosupersub{}","plainCitation":"9","noteIndex":0},"citationItems":[{"id":9473,"uris":["http://zotero.org/users/11938866/items/77FSN79V"],"itemData":{"id":9473,"type":"article-journal","abstract":"The age-based life history of two commercially-important species of snapper (Lutjanidae) and one emperor (Lethrinidae) were characterized from the nearshore fishery of Tutuila, American Samoa. Examination of sagittal otoliths across multiple months and years confirmed the annual deposition of increments and highlighted marked variation in life-history patterns among the three meso-predator species. The humpback red snapper Lutjanus gibbus is a medium-bodied gonochoristic species which exhibits striking sexual dimorphism in length-at-age and consequent growth trajectories and has a life span estimated to be at least 27 years. The yellow-lined snapper Lutjanus rufolineatus is a small-bodied gonochore with weak sexual dimorphism, early maturation, and a short life span of at least 12 years. The yellow-lip emperor Lethrinus xanthochilus is a large-bodied species with a moderate life span (estimated to be at least 19 years in this study), rapid initial growth, and a more complex sexual ontogeny likely involving pre- or post-maturational sex change, although this remains unresolved at present. Ratios of natural to fishing mortality indicate a low level of prevailing exploitation for all three species, which is supported by low proportions of immature female length classes captured by the fishery. However, considerable demographic variability among the three species highlights the value of detailed age-based information as a necessary component for informing monitoring efforts and future management decisions.","container-title":"PeerJ","DOI":"10.7717/peerj.5069","ISSN":"2167-8359","journalAbbreviation":"PeerJ","language":"en","note":"publisher: PeerJ Inc.","page":"e5069","source":"peerj.com","title":"Comparative demography of commercially-harvested snappers and an emperor from American Samoa","volume":"6","author":[{"family":"Taylor","given":"Brett M."},{"family":"Oyafuso","given":"Zack S."},{"family":"Pardee","given":"Cassandra B."},{"family":"Ochavillo","given":"Domingo"},{"family":"Newman","given":"Stephen J."}],"issued":{"date-parts":[["2018",6,18]]}}}],"schema":"https://github.com/citation-style-language/schema/raw/master/csl-citation.json"} </w:instrText>
            </w:r>
            <w:r>
              <w:rPr>
                <w:rFonts w:eastAsia="Times New Roman" w:cstheme="minorHAnsi"/>
                <w:color w:val="000000"/>
                <w:lang w:eastAsia="en-GB"/>
              </w:rPr>
              <w:fldChar w:fldCharType="separate"/>
            </w:r>
            <w:r w:rsidRPr="00680903">
              <w:rPr>
                <w:rFonts w:ascii="Calibri" w:cs="Calibri"/>
                <w:color w:val="000000"/>
                <w:vertAlign w:val="superscript"/>
              </w:rPr>
              <w:t>9</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5C0C842F"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1B0F2B98"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4EA04ABD"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Scolopsis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lineata</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76600AAD"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Nemipteridae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5D867CC4"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PNG</w:t>
            </w:r>
          </w:p>
        </w:tc>
        <w:tc>
          <w:tcPr>
            <w:tcW w:w="1663" w:type="dxa"/>
            <w:tcBorders>
              <w:top w:val="nil"/>
              <w:left w:val="nil"/>
              <w:bottom w:val="single" w:sz="4" w:space="0" w:color="000000"/>
              <w:right w:val="single" w:sz="4" w:space="0" w:color="000000"/>
            </w:tcBorders>
            <w:shd w:val="clear" w:color="auto" w:fill="auto"/>
            <w:noWrap/>
            <w:vAlign w:val="bottom"/>
            <w:hideMark/>
          </w:tcPr>
          <w:p w14:paraId="0B6D5707"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1.71</w:t>
            </w:r>
          </w:p>
        </w:tc>
        <w:tc>
          <w:tcPr>
            <w:tcW w:w="2055" w:type="dxa"/>
            <w:tcBorders>
              <w:top w:val="nil"/>
              <w:left w:val="nil"/>
              <w:bottom w:val="single" w:sz="4" w:space="0" w:color="000000"/>
              <w:right w:val="single" w:sz="4" w:space="0" w:color="000000"/>
            </w:tcBorders>
            <w:shd w:val="clear" w:color="auto" w:fill="auto"/>
            <w:noWrap/>
            <w:vAlign w:val="bottom"/>
            <w:hideMark/>
          </w:tcPr>
          <w:p w14:paraId="7CB069A0"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0.63</w:t>
            </w:r>
          </w:p>
        </w:tc>
        <w:tc>
          <w:tcPr>
            <w:tcW w:w="2298" w:type="dxa"/>
            <w:tcBorders>
              <w:top w:val="nil"/>
              <w:left w:val="nil"/>
              <w:bottom w:val="single" w:sz="4" w:space="0" w:color="000000"/>
              <w:right w:val="single" w:sz="4" w:space="0" w:color="000000"/>
            </w:tcBorders>
            <w:shd w:val="clear" w:color="auto" w:fill="auto"/>
            <w:noWrap/>
            <w:vAlign w:val="bottom"/>
            <w:hideMark/>
          </w:tcPr>
          <w:p w14:paraId="16D12746"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70DC5D8D" w14:textId="7FB070B5" w:rsidR="0056149C" w:rsidRPr="00B825E1" w:rsidRDefault="00CA0DDB"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183B78">
              <w:rPr>
                <w:rFonts w:eastAsia="Times New Roman" w:cstheme="minorHAnsi"/>
                <w:color w:val="000000"/>
                <w:lang w:eastAsia="en-GB"/>
              </w:rPr>
              <w:instrText xml:space="preserve"> ADDIN ZOTERO_ITEM CSL_CITATION {"citationID":"XUoMbH97","properties":{"formattedCitation":"\\super 14\\nosupersub{}","plainCitation":"14","noteIndex":0},"citationItems":[{"id":9490,"uris":["http://zotero.org/users/11938866/items/IMRUYHCH"],"itemData":{"id":9490,"type":"article-journal","language":"en","source":"agris.fao.org","title":"Rapid reproductive analysis and length&amp;#8211;weight relations of three reef fishes (Actinopterygii: Perciformes and Tetraodontiformes) from a remote site in Papua New Guinea","title-short":"Rapid reproductive analysis and length&amp;#8211;weight relations of three reef fishes (Actinopterygii","URL":"https://agris.fao.org/search/en/providers/122436/records/64747c382d3f560f80af1474","author":[{"family":"Longenecker","given":"K."},{"family":"Langston","given":"R."},{"family":"Kondio","given":"U."},{"family":"Bolick","given":"H."},{"family":"Mulrooney","given":"M."}],"accessed":{"date-parts":[["2024",7,5]]},"issued":{"date-parts":[["2016"]]}}}],"schema":"https://github.com/citation-style-language/schema/raw/master/csl-citation.json"} </w:instrText>
            </w:r>
            <w:r>
              <w:rPr>
                <w:rFonts w:eastAsia="Times New Roman" w:cstheme="minorHAnsi"/>
                <w:color w:val="000000"/>
                <w:lang w:eastAsia="en-GB"/>
              </w:rPr>
              <w:fldChar w:fldCharType="separate"/>
            </w:r>
            <w:r w:rsidR="00183B78" w:rsidRPr="00183B78">
              <w:rPr>
                <w:rFonts w:ascii="Calibri" w:cs="Calibri"/>
                <w:color w:val="000000"/>
                <w:vertAlign w:val="superscript"/>
              </w:rPr>
              <w:t>14</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50FDE21B"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6F135DDE"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30083139"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Scarus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rubroviolaceus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45552ABA" w14:textId="456EFDF9" w:rsidR="0056149C" w:rsidRPr="00B825E1" w:rsidRDefault="002B5DBE"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6F55054C"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Seychelles</w:t>
            </w:r>
          </w:p>
        </w:tc>
        <w:tc>
          <w:tcPr>
            <w:tcW w:w="1663" w:type="dxa"/>
            <w:tcBorders>
              <w:top w:val="nil"/>
              <w:left w:val="nil"/>
              <w:bottom w:val="single" w:sz="4" w:space="0" w:color="000000"/>
              <w:right w:val="single" w:sz="4" w:space="0" w:color="000000"/>
            </w:tcBorders>
            <w:shd w:val="clear" w:color="auto" w:fill="auto"/>
            <w:noWrap/>
            <w:vAlign w:val="bottom"/>
            <w:hideMark/>
          </w:tcPr>
          <w:p w14:paraId="2BB92BBF"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5.20625</w:t>
            </w:r>
          </w:p>
        </w:tc>
        <w:tc>
          <w:tcPr>
            <w:tcW w:w="2055" w:type="dxa"/>
            <w:tcBorders>
              <w:top w:val="nil"/>
              <w:left w:val="nil"/>
              <w:bottom w:val="single" w:sz="4" w:space="0" w:color="000000"/>
              <w:right w:val="single" w:sz="4" w:space="0" w:color="000000"/>
            </w:tcBorders>
            <w:shd w:val="clear" w:color="auto" w:fill="auto"/>
            <w:noWrap/>
            <w:vAlign w:val="bottom"/>
            <w:hideMark/>
          </w:tcPr>
          <w:p w14:paraId="79D010E1"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0.84</w:t>
            </w:r>
          </w:p>
        </w:tc>
        <w:tc>
          <w:tcPr>
            <w:tcW w:w="2298" w:type="dxa"/>
            <w:tcBorders>
              <w:top w:val="nil"/>
              <w:left w:val="nil"/>
              <w:bottom w:val="single" w:sz="4" w:space="0" w:color="000000"/>
              <w:right w:val="single" w:sz="4" w:space="0" w:color="000000"/>
            </w:tcBorders>
            <w:shd w:val="clear" w:color="auto" w:fill="auto"/>
            <w:noWrap/>
            <w:vAlign w:val="bottom"/>
            <w:hideMark/>
          </w:tcPr>
          <w:p w14:paraId="3E24876B"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1A6BDB21" w14:textId="2EE0C1DF" w:rsidR="0056149C" w:rsidRPr="00B825E1" w:rsidRDefault="00055177"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11556D">
              <w:rPr>
                <w:rFonts w:eastAsia="Times New Roman" w:cstheme="minorHAnsi"/>
                <w:color w:val="000000"/>
                <w:lang w:eastAsia="en-GB"/>
              </w:rPr>
              <w:instrText xml:space="preserve"> ADDIN ZOTERO_ITEM CSL_CITATION {"citationID":"oyVRtvGO","properties":{"formattedCitation":"\\super 15\\nosupersub{}","plainCitation":"15","noteIndex":0},"citationItems":[{"id":9492,"uris":["http://zotero.org/users/11938866/items/VMQUV835"],"itemData":{"id":9492,"type":"article-journal","abstract":"The population biology of six commonly caught species in the Seychelles reef fisheries was investigated by the study of otolith microstructures. Alternating translucent and opaque bands were observed in transverse sections of sagittal otoliths from Epinephelus chlorostigma, Lethrinus lentjan, Lethrinus mahsena, Scarus ghobban, Scarus rubroviolaceus and Siganus sutor. Evidence derived from two tagged fish injected with tetracycline and recaptured after 1 year in the wild tentatively suggests that opaque bands are formed on an annual basis in the otoliths of L. mahsena. Species with a protogynous reproductive mode had significantly female-biased sex ratios overall, but the bias was removed in the older age classes apparently as a result of sex change. The results demonstrate that for S. ghobban and S. rubroviolaceus secondary males had accelerated growth rates, but the phenomenon was not implicitly associated with a protogynous mode of sexual development.","container-title":"Marine and Freshwater Research","DOI":"10.1071/mf01123","ISSN":"1448-6059","issue":"2","journalAbbreviation":"Mar. Freshwater Res.","language":"en","note":"publisher: CSIRO PUBLISHING","page":"123-130","source":"www.publish.csiro.au","title":"Demographic characteristics of a selection of exploited reef fish from the Seychelles: preliminary study","title-short":"Demographic characteristics of a selection of exploited reef fish from the Seychelles","volume":"53","author":[{"family":"Grandcourt","given":"Edwin Mark"}],"issued":{"date-parts":[["2002"]]}}}],"schema":"https://github.com/citation-style-language/schema/raw/master/csl-citation.json"} </w:instrText>
            </w:r>
            <w:r>
              <w:rPr>
                <w:rFonts w:eastAsia="Times New Roman" w:cstheme="minorHAnsi"/>
                <w:color w:val="000000"/>
                <w:lang w:eastAsia="en-GB"/>
              </w:rPr>
              <w:fldChar w:fldCharType="separate"/>
            </w:r>
            <w:r w:rsidR="0011556D" w:rsidRPr="0011556D">
              <w:rPr>
                <w:rFonts w:ascii="Calibri" w:cs="Calibri"/>
                <w:color w:val="000000"/>
                <w:vertAlign w:val="superscript"/>
              </w:rPr>
              <w:t>15</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36C250DD"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2B986B7E"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5504F6C6"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Chlorurus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microrhinos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3A7BDDC6" w14:textId="26B499B2" w:rsidR="0056149C" w:rsidRPr="00B825E1" w:rsidRDefault="002B5DBE"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3CF7D896"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Okinawa</w:t>
            </w:r>
          </w:p>
        </w:tc>
        <w:tc>
          <w:tcPr>
            <w:tcW w:w="1663" w:type="dxa"/>
            <w:tcBorders>
              <w:top w:val="nil"/>
              <w:left w:val="nil"/>
              <w:bottom w:val="single" w:sz="4" w:space="0" w:color="000000"/>
              <w:right w:val="single" w:sz="4" w:space="0" w:color="000000"/>
            </w:tcBorders>
            <w:shd w:val="clear" w:color="auto" w:fill="auto"/>
            <w:noWrap/>
            <w:vAlign w:val="bottom"/>
            <w:hideMark/>
          </w:tcPr>
          <w:p w14:paraId="0B3CBC4D"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2.56521739</w:t>
            </w:r>
          </w:p>
        </w:tc>
        <w:tc>
          <w:tcPr>
            <w:tcW w:w="2055" w:type="dxa"/>
            <w:tcBorders>
              <w:top w:val="nil"/>
              <w:left w:val="nil"/>
              <w:bottom w:val="single" w:sz="4" w:space="0" w:color="000000"/>
              <w:right w:val="single" w:sz="4" w:space="0" w:color="000000"/>
            </w:tcBorders>
            <w:shd w:val="clear" w:color="auto" w:fill="auto"/>
            <w:noWrap/>
            <w:vAlign w:val="bottom"/>
            <w:hideMark/>
          </w:tcPr>
          <w:p w14:paraId="3410863A"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0.72</w:t>
            </w:r>
          </w:p>
        </w:tc>
        <w:tc>
          <w:tcPr>
            <w:tcW w:w="2298" w:type="dxa"/>
            <w:tcBorders>
              <w:top w:val="nil"/>
              <w:left w:val="nil"/>
              <w:bottom w:val="single" w:sz="4" w:space="0" w:color="000000"/>
              <w:right w:val="single" w:sz="4" w:space="0" w:color="000000"/>
            </w:tcBorders>
            <w:shd w:val="clear" w:color="auto" w:fill="auto"/>
            <w:noWrap/>
            <w:vAlign w:val="bottom"/>
            <w:hideMark/>
          </w:tcPr>
          <w:p w14:paraId="78FA3802"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324395DF" w14:textId="7F7A540F" w:rsidR="0056149C" w:rsidRPr="00B825E1" w:rsidRDefault="00F44C71"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Pr>
                <w:rFonts w:eastAsia="Times New Roman" w:cstheme="minorHAnsi"/>
                <w:color w:val="000000"/>
                <w:lang w:eastAsia="en-GB"/>
              </w:rPr>
              <w:instrText xml:space="preserve"> ADDIN ZOTERO_ITEM CSL_CITATION {"citationID":"OmSQ1mVr","properties":{"formattedCitation":"\\super 16\\nosupersub{}","plainCitation":"16","noteIndex":0},"citationItems":[{"id":9493,"uris":["http://zotero.org/users/11938866/items/PH4BFPPT"],"itemData":{"id":9493,"type":"article-journal","abstract":"In order to evaluate the impact of fishing on the Pacific steephead parrotfish (Chlorurus microrhinos) resource around the north of Okinawa Island, life history variables such as growth, ages of both sexual maturation and sexual transition, and the spawning season for the species were examined. Body size data of fish caught by commercial fishermen have been gathered for 24 years. Growth was estimated by the number of opaque bands observed in the thin sectioned otolith. The body sizes of males were much larger than those of females in the same age group, but the maximum age of females was older (17 years of age) than that of males (13 years of age). Sexual maturation in females starts from three years of age and all female individuals have fully matured by five years of age. Sexual transition from female to male was confirmed at ages from two to six, accompanying the changes of pectoral fin color from brown to blue on the inside. Smaller body size individuals captured by gill net dominated about 50% of the catch in numbers during the earlier third of the survey period; however, gill net influence gradually decreased and smaller body size individuals dominated about 30% in the last third of the period. Body size data distinguished between the initial phase (IP) and terminal phase (TP) by the pectoral fin colors indicated that the ratio of IP and TP in length intervals changed every year. Age components in catches were estimated using life history variables and these body size data. IP and TP ratio with age in each cohort showed the change in ages between three and eight/nine; the ratio varied significantly between each cohort at five and six years of age in particular, accompanying serial changes between the cohorts. The values of total mortality coefficient (Z) estimated from age components in catch in the survey years decreased from about 0.5 to about 0.4 with the decreased influence of gill net. Z occasionally decreased to about 0.1 with a relatively increased number of older aged individuals in the catch due to the emergence of a large cohort. These phenomena strongly suggest that the traditional stock evaluation using Z,F, and M seems to be inadequate for the species.","container-title":"Regional Studies in Marine Science","DOI":"10.1016/j.rsma.2016.09.008","ISSN":"2352-4855","journalAbbreviation":"Regional Studies in Marine Science","page":"65-76","source":"ScienceDirect","title":"Life history variables, annual change in sex ratios with age, and total mortality observed on commercial catch on Pacific steephead parrotfish, &lt;i&gt;Chlorurus microrhinos&lt;/i&gt; in waters off the Okinawa Island, southwestern Japan","volume":"8","author":[{"family":"Ebisawa","given":"Akihiko"},{"family":"Ohta","given":"Itaru"},{"family":"Uehara","given":"Masato"},{"family":"Nakamura","given":"Hiroyuki"},{"family":"Kanashiro","given":"Kiyoaki"},{"family":"Yasui","given":"Rina"}],"issued":{"date-parts":[["2016",11,1]]}}}],"schema":"https://github.com/citation-style-language/schema/raw/master/csl-citation.json"} </w:instrText>
            </w:r>
            <w:r>
              <w:rPr>
                <w:rFonts w:eastAsia="Times New Roman" w:cstheme="minorHAnsi"/>
                <w:color w:val="000000"/>
                <w:lang w:eastAsia="en-GB"/>
              </w:rPr>
              <w:fldChar w:fldCharType="separate"/>
            </w:r>
            <w:r w:rsidRPr="00F44C71">
              <w:rPr>
                <w:rFonts w:ascii="Calibri" w:cs="Calibri"/>
                <w:color w:val="000000"/>
                <w:vertAlign w:val="superscript"/>
              </w:rPr>
              <w:t>16</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65D94A20"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1EF3DC14"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11609DD6"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Chlorurus</w:t>
            </w:r>
            <w:proofErr w:type="spellEnd"/>
            <w:r w:rsidRPr="00B825E1">
              <w:rPr>
                <w:rFonts w:eastAsia="Times New Roman" w:cstheme="minorHAnsi"/>
                <w:color w:val="000000"/>
                <w:lang w:eastAsia="en-GB"/>
              </w:rPr>
              <w:t xml:space="preserve"> sordidus</w:t>
            </w:r>
          </w:p>
        </w:tc>
        <w:tc>
          <w:tcPr>
            <w:tcW w:w="1476" w:type="dxa"/>
            <w:tcBorders>
              <w:top w:val="nil"/>
              <w:left w:val="nil"/>
              <w:bottom w:val="single" w:sz="4" w:space="0" w:color="000000"/>
              <w:right w:val="single" w:sz="4" w:space="0" w:color="000000"/>
            </w:tcBorders>
            <w:shd w:val="clear" w:color="auto" w:fill="auto"/>
            <w:noWrap/>
            <w:vAlign w:val="bottom"/>
            <w:hideMark/>
          </w:tcPr>
          <w:p w14:paraId="4293E525" w14:textId="35354024" w:rsidR="0056149C" w:rsidRPr="00B825E1" w:rsidRDefault="002B5DBE"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3ECAA471"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GBR</w:t>
            </w:r>
          </w:p>
        </w:tc>
        <w:tc>
          <w:tcPr>
            <w:tcW w:w="1663" w:type="dxa"/>
            <w:tcBorders>
              <w:top w:val="nil"/>
              <w:left w:val="nil"/>
              <w:bottom w:val="single" w:sz="4" w:space="0" w:color="000000"/>
              <w:right w:val="single" w:sz="4" w:space="0" w:color="000000"/>
            </w:tcBorders>
            <w:shd w:val="clear" w:color="auto" w:fill="auto"/>
            <w:noWrap/>
            <w:vAlign w:val="bottom"/>
            <w:hideMark/>
          </w:tcPr>
          <w:p w14:paraId="7F136162"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3.11</w:t>
            </w:r>
          </w:p>
        </w:tc>
        <w:tc>
          <w:tcPr>
            <w:tcW w:w="2055" w:type="dxa"/>
            <w:tcBorders>
              <w:top w:val="nil"/>
              <w:left w:val="nil"/>
              <w:bottom w:val="single" w:sz="4" w:space="0" w:color="000000"/>
              <w:right w:val="single" w:sz="4" w:space="0" w:color="000000"/>
            </w:tcBorders>
            <w:shd w:val="clear" w:color="auto" w:fill="auto"/>
            <w:noWrap/>
            <w:vAlign w:val="bottom"/>
            <w:hideMark/>
          </w:tcPr>
          <w:p w14:paraId="258BE0BE"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0.76</w:t>
            </w:r>
          </w:p>
        </w:tc>
        <w:tc>
          <w:tcPr>
            <w:tcW w:w="2298" w:type="dxa"/>
            <w:tcBorders>
              <w:top w:val="nil"/>
              <w:left w:val="nil"/>
              <w:bottom w:val="single" w:sz="4" w:space="0" w:color="000000"/>
              <w:right w:val="single" w:sz="4" w:space="0" w:color="000000"/>
            </w:tcBorders>
            <w:shd w:val="clear" w:color="auto" w:fill="auto"/>
            <w:noWrap/>
            <w:vAlign w:val="bottom"/>
            <w:hideMark/>
          </w:tcPr>
          <w:p w14:paraId="0239A155"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77EEF837" w14:textId="12F7D1AB" w:rsidR="0056149C" w:rsidRPr="00B825E1" w:rsidRDefault="00904255"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Pr>
                <w:rFonts w:eastAsia="Times New Roman" w:cstheme="minorHAnsi"/>
                <w:color w:val="000000"/>
                <w:lang w:eastAsia="en-GB"/>
              </w:rPr>
              <w:instrText xml:space="preserve"> ADDIN ZOTERO_ITEM CSL_CITATION {"citationID":"kgE3ynvX","properties":{"formattedCitation":"\\super 17\\nosupersub{}","plainCitation":"17","noteIndex":0},"citationItems":[{"id":9495,"uris":["http://zotero.org/users/11938866/items/KCGFJWS5"],"itemData":{"id":9495,"type":"article-journal","abstract":"This study describes changes in the timing of maturation and sex reversal and shifts in the sexual composition of unfished local populations of protogynous reef fishes across the continental shelf of the Great Barrier Reef. On outer shelf reef crests, both Chlorurus sordidus and Scarus frenatus matured as females and underwent protogynous sex reversal at reduced sizes and ages relative to fish from equivalent midshelf habitats 20 km away. Earlier maturation at smaller body sizes on the outer shelf is likely to be an adaptive response to the higher mortality rates in these habitats compared with the middle shelf. Furthermore, reduced size and age at sex reversal on the outer shelf is consistent with the reduced growth and increased mortality regimes in these locations. The sexual composition of local populations changed markedly across the shelf for C. sordidus but not for S. frenatus. High densities of C. sordidus on the outer shelf were characterized by threefold higher proportions of both terminal-phase and primary males than on midshelf reefs. Differences between local populations separated by tens of kilometres highlight the danger of assuming homogeneous sexual compositions and life histories when managing exploited reef fishes over larger spatial scales.","container-title":"Canadian Journal of Fisheries and Aquatic Sciences","DOI":"10.1139/f03-160","ISSN":"0706-652X","issue":"2","journalAbbreviation":"Can. J. Fish. Aquat. Sci.","note":"publisher: NRC Research Press","page":"205-218","source":"cdnsciencepub.com (Atypon)","title":"Variation in the population biology of protogynous coral reef fishes over tens of kilometres","volume":"61","author":[{"family":"Gust","given":"Nick"}],"issued":{"date-parts":[["2004",2]]}}}],"schema":"https://github.com/citation-style-language/schema/raw/master/csl-citation.json"} </w:instrText>
            </w:r>
            <w:r>
              <w:rPr>
                <w:rFonts w:eastAsia="Times New Roman" w:cstheme="minorHAnsi"/>
                <w:color w:val="000000"/>
                <w:lang w:eastAsia="en-GB"/>
              </w:rPr>
              <w:fldChar w:fldCharType="separate"/>
            </w:r>
            <w:r w:rsidRPr="00904255">
              <w:rPr>
                <w:rFonts w:ascii="Calibri" w:cs="Calibri"/>
                <w:color w:val="000000"/>
                <w:vertAlign w:val="superscript"/>
              </w:rPr>
              <w:t>17</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25B55AFC"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7B1C581C"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0C4EABEF"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Scarus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frenatus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412699EF" w14:textId="7BE8DC7D" w:rsidR="0056149C" w:rsidRPr="00B825E1" w:rsidRDefault="002B5DBE"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r w:rsidRPr="00B825E1">
              <w:rPr>
                <w:rFonts w:eastAsia="Times New Roman" w:cstheme="minorHAnsi"/>
                <w:color w:val="000000"/>
                <w:lang w:eastAsia="en-GB"/>
              </w:rPr>
              <w:t xml:space="preserve">; </w:t>
            </w:r>
            <w:proofErr w:type="spellStart"/>
            <w:r>
              <w:rPr>
                <w:rFonts w:eastAsia="Times New Roman" w:cstheme="minorHAnsi"/>
                <w:color w:val="000000"/>
                <w:lang w:eastAsia="en-GB"/>
              </w:rPr>
              <w:t>Scarini</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00EC42D0"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GBR</w:t>
            </w:r>
          </w:p>
        </w:tc>
        <w:tc>
          <w:tcPr>
            <w:tcW w:w="1663" w:type="dxa"/>
            <w:tcBorders>
              <w:top w:val="nil"/>
              <w:left w:val="nil"/>
              <w:bottom w:val="single" w:sz="4" w:space="0" w:color="000000"/>
              <w:right w:val="single" w:sz="4" w:space="0" w:color="000000"/>
            </w:tcBorders>
            <w:shd w:val="clear" w:color="auto" w:fill="auto"/>
            <w:noWrap/>
            <w:vAlign w:val="bottom"/>
            <w:hideMark/>
          </w:tcPr>
          <w:p w14:paraId="02CBE901"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1.28</w:t>
            </w:r>
          </w:p>
        </w:tc>
        <w:tc>
          <w:tcPr>
            <w:tcW w:w="2055" w:type="dxa"/>
            <w:tcBorders>
              <w:top w:val="nil"/>
              <w:left w:val="nil"/>
              <w:bottom w:val="single" w:sz="4" w:space="0" w:color="000000"/>
              <w:right w:val="single" w:sz="4" w:space="0" w:color="000000"/>
            </w:tcBorders>
            <w:shd w:val="clear" w:color="auto" w:fill="auto"/>
            <w:noWrap/>
            <w:vAlign w:val="bottom"/>
            <w:hideMark/>
          </w:tcPr>
          <w:p w14:paraId="63B66AC2"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0.56</w:t>
            </w:r>
          </w:p>
        </w:tc>
        <w:tc>
          <w:tcPr>
            <w:tcW w:w="2298" w:type="dxa"/>
            <w:tcBorders>
              <w:top w:val="nil"/>
              <w:left w:val="nil"/>
              <w:bottom w:val="single" w:sz="4" w:space="0" w:color="000000"/>
              <w:right w:val="single" w:sz="4" w:space="0" w:color="000000"/>
            </w:tcBorders>
            <w:shd w:val="clear" w:color="auto" w:fill="auto"/>
            <w:noWrap/>
            <w:vAlign w:val="bottom"/>
            <w:hideMark/>
          </w:tcPr>
          <w:p w14:paraId="682A7DEF"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412E292B" w14:textId="48333728" w:rsidR="0056149C" w:rsidRPr="00B825E1" w:rsidRDefault="0020794B"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FC66AE">
              <w:rPr>
                <w:rFonts w:eastAsia="Times New Roman" w:cstheme="minorHAnsi"/>
                <w:color w:val="000000"/>
                <w:lang w:eastAsia="en-GB"/>
              </w:rPr>
              <w:instrText xml:space="preserve"> ADDIN ZOTERO_ITEM CSL_CITATION {"citationID":"KAi4Fk1c","properties":{"formattedCitation":"\\super 17\\nosupersub{}","plainCitation":"17","noteIndex":0},"citationItems":[{"id":9495,"uris":["http://zotero.org/users/11938866/items/KCGFJWS5"],"itemData":{"id":9495,"type":"article-journal","abstract":"This study describes changes in the timing of maturation and sex reversal and shifts in the sexual composition of unfished local populations of protogynous reef fishes across the continental shelf of the Great Barrier Reef. On outer shelf reef crests, both Chlorurus sordidus and Scarus frenatus matured as females and underwent protogynous sex reversal at reduced sizes and ages relative to fish from equivalent midshelf habitats 20 km away. Earlier maturation at smaller body sizes on the outer shelf is likely to be an adaptive response to the higher mortality rates in these habitats compared with the middle shelf. Furthermore, reduced size and age at sex reversal on the outer shelf is consistent with the reduced growth and increased mortality regimes in these locations. The sexual composition of local populations changed markedly across the shelf for C. sordidus but not for S. frenatus. High densities of C. sordidus on the outer shelf were characterized by threefold higher proportions of both terminal-phase and primary males than on midshelf reefs. Differences between local populations separated by tens of kilometres highlight the danger of assuming homogeneous sexual compositions and life histories when managing exploited reef fishes over larger spatial scales.","container-title":"Canadian Journal of Fisheries and Aquatic Sciences","DOI":"10.1139/f03-160","ISSN":"0706-652X","issue":"2","journalAbbreviation":"Can. J. Fish. Aquat. Sci.","note":"publisher: NRC Research Press","page":"205-218","source":"cdnsciencepub.com (Atypon)","title":"Variation in the population biology of protogynous coral reef fishes over tens of kilometres","volume":"61","author":[{"family":"Gust","given":"Nick"}],"issued":{"date-parts":[["2004",2]]}}}],"schema":"https://github.com/citation-style-language/schema/raw/master/csl-citation.json"} </w:instrText>
            </w:r>
            <w:r>
              <w:rPr>
                <w:rFonts w:eastAsia="Times New Roman" w:cstheme="minorHAnsi"/>
                <w:color w:val="000000"/>
                <w:lang w:eastAsia="en-GB"/>
              </w:rPr>
              <w:fldChar w:fldCharType="separate"/>
            </w:r>
            <w:r w:rsidRPr="00904255">
              <w:rPr>
                <w:rFonts w:ascii="Calibri" w:cs="Calibri"/>
                <w:color w:val="000000"/>
                <w:vertAlign w:val="superscript"/>
              </w:rPr>
              <w:t>17</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22EE2D51"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2E5DE7CF"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096D3564"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Plectropomus</w:t>
            </w:r>
            <w:proofErr w:type="spellEnd"/>
            <w:r w:rsidRPr="00B825E1">
              <w:rPr>
                <w:rFonts w:eastAsia="Times New Roman" w:cstheme="minorHAnsi"/>
                <w:color w:val="000000"/>
                <w:lang w:eastAsia="en-GB"/>
              </w:rPr>
              <w:t xml:space="preserve"> laevis</w:t>
            </w:r>
          </w:p>
        </w:tc>
        <w:tc>
          <w:tcPr>
            <w:tcW w:w="1476" w:type="dxa"/>
            <w:tcBorders>
              <w:top w:val="nil"/>
              <w:left w:val="nil"/>
              <w:bottom w:val="single" w:sz="4" w:space="0" w:color="000000"/>
              <w:right w:val="single" w:sz="4" w:space="0" w:color="000000"/>
            </w:tcBorders>
            <w:shd w:val="clear" w:color="auto" w:fill="auto"/>
            <w:noWrap/>
            <w:vAlign w:val="bottom"/>
            <w:hideMark/>
          </w:tcPr>
          <w:p w14:paraId="3DA60389"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Serranidae</w:t>
            </w:r>
          </w:p>
        </w:tc>
        <w:tc>
          <w:tcPr>
            <w:tcW w:w="1185" w:type="dxa"/>
            <w:tcBorders>
              <w:top w:val="nil"/>
              <w:left w:val="nil"/>
              <w:bottom w:val="single" w:sz="4" w:space="0" w:color="000000"/>
              <w:right w:val="single" w:sz="4" w:space="0" w:color="000000"/>
            </w:tcBorders>
            <w:shd w:val="clear" w:color="auto" w:fill="auto"/>
            <w:noWrap/>
            <w:vAlign w:val="bottom"/>
            <w:hideMark/>
          </w:tcPr>
          <w:p w14:paraId="24E2802E"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GBR</w:t>
            </w:r>
          </w:p>
        </w:tc>
        <w:tc>
          <w:tcPr>
            <w:tcW w:w="1663" w:type="dxa"/>
            <w:tcBorders>
              <w:top w:val="nil"/>
              <w:left w:val="nil"/>
              <w:bottom w:val="single" w:sz="4" w:space="0" w:color="000000"/>
              <w:right w:val="single" w:sz="4" w:space="0" w:color="000000"/>
            </w:tcBorders>
            <w:shd w:val="clear" w:color="auto" w:fill="auto"/>
            <w:noWrap/>
            <w:vAlign w:val="bottom"/>
            <w:hideMark/>
          </w:tcPr>
          <w:p w14:paraId="205C1D49"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4</w:t>
            </w:r>
          </w:p>
        </w:tc>
        <w:tc>
          <w:tcPr>
            <w:tcW w:w="2055" w:type="dxa"/>
            <w:tcBorders>
              <w:top w:val="nil"/>
              <w:left w:val="nil"/>
              <w:bottom w:val="single" w:sz="4" w:space="0" w:color="000000"/>
              <w:right w:val="single" w:sz="4" w:space="0" w:color="000000"/>
            </w:tcBorders>
            <w:shd w:val="clear" w:color="auto" w:fill="auto"/>
            <w:noWrap/>
            <w:vAlign w:val="bottom"/>
            <w:hideMark/>
          </w:tcPr>
          <w:p w14:paraId="08DC3252"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0.8</w:t>
            </w:r>
          </w:p>
        </w:tc>
        <w:tc>
          <w:tcPr>
            <w:tcW w:w="2298" w:type="dxa"/>
            <w:tcBorders>
              <w:top w:val="nil"/>
              <w:left w:val="nil"/>
              <w:bottom w:val="single" w:sz="4" w:space="0" w:color="000000"/>
              <w:right w:val="single" w:sz="4" w:space="0" w:color="000000"/>
            </w:tcBorders>
            <w:shd w:val="clear" w:color="auto" w:fill="auto"/>
            <w:noWrap/>
            <w:vAlign w:val="bottom"/>
            <w:hideMark/>
          </w:tcPr>
          <w:p w14:paraId="02831B21"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7AB48253" w14:textId="6FD7CF8C" w:rsidR="0056149C" w:rsidRPr="00B825E1" w:rsidRDefault="0020794B"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Pr>
                <w:rFonts w:eastAsia="Times New Roman" w:cstheme="minorHAnsi"/>
                <w:color w:val="000000"/>
                <w:lang w:eastAsia="en-GB"/>
              </w:rPr>
              <w:instrText xml:space="preserve"> ADDIN ZOTERO_ITEM CSL_CITATION {"citationID":"yAFNJxrO","properties":{"formattedCitation":"\\super 18\\nosupersub{}","plainCitation":"18","noteIndex":0},"citationItems":[{"id":9497,"uris":["http://zotero.org/users/11938866/items/FJNCNPR8"],"itemData":{"id":9497,"type":"article-journal","abstract":"The gonadal ontogeny through sex differentiation and transition of three protogynous coral trout species, Plectropomus leopardus, P. maculatus and P. laevis was described, based on anatomical and germinal differences along the length of the reproductive tract. Gonads of immature and mature females, sex changing individuals (transitionals) and males were examined. Specific anatomical features that were compared between sexual phases included the presence and structure of sperm sinuses, gonadal musculature and germinal cell types. All three coral trout species first differentiated as an immature female. The sexual pattern of P. leopardus and P. maculatus was concluded to be diandric protogynous hermaphroditism (males were derived from the juvenile phase as well as through sex change of mature females). Plectropomus laevis was found to be monandric as males were only derived through sex change in mature females. Structural changes did not occur concomitantly with the germinal changes associated with sex change in these Plectropomus species, which is atypical for protogynous species described to date. Precursory sperm sinuses in the dorso-medial region of the gonad were present, although non-functional, in a proportion of immature and mature females of all three species. These proportions, however, varied between species depending on the sexual pattern. The structural and germinal changes observed were hypothesized as anatomical adaptations that aid in minimizing time spent in the (non-reproductive) sexual transition phase and maximizing flexibility in male development in the diandric species.","container-title":"Journal of Fish Biology","DOI":"10.1046/j.1095-8649.2003.00098.x","ISSN":"1095-8649","issue":"1","language":"en","note":"_eprint: https://onlinelibrary.wiley.com/doi/pdf/10.1046/j.1095-8649.2003.00098.x","page":"22-36","source":"Wiley Online Library","title":"Morphological ontogeny of the gonad of three plectropomid species through sex differentiation and transition","volume":"63","author":[{"family":"Adams","given":"S."}],"issued":{"date-parts":[["2003"]]}}}],"schema":"https://github.com/citation-style-language/schema/raw/master/csl-citation.json"} </w:instrText>
            </w:r>
            <w:r>
              <w:rPr>
                <w:rFonts w:eastAsia="Times New Roman" w:cstheme="minorHAnsi"/>
                <w:color w:val="000000"/>
                <w:lang w:eastAsia="en-GB"/>
              </w:rPr>
              <w:fldChar w:fldCharType="separate"/>
            </w:r>
            <w:r w:rsidRPr="0020794B">
              <w:rPr>
                <w:rFonts w:ascii="Calibri" w:cs="Calibri"/>
                <w:color w:val="000000"/>
                <w:vertAlign w:val="superscript"/>
              </w:rPr>
              <w:t>18</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79F892FA"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634A03E7"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6392C46B"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Cephalopholis</w:t>
            </w:r>
            <w:proofErr w:type="spellEnd"/>
            <w:r w:rsidRPr="00B825E1">
              <w:rPr>
                <w:rFonts w:eastAsia="Times New Roman" w:cstheme="minorHAnsi"/>
                <w:color w:val="000000"/>
                <w:lang w:eastAsia="en-GB"/>
              </w:rPr>
              <w:t xml:space="preserve"> argus</w:t>
            </w:r>
          </w:p>
        </w:tc>
        <w:tc>
          <w:tcPr>
            <w:tcW w:w="1476" w:type="dxa"/>
            <w:tcBorders>
              <w:top w:val="nil"/>
              <w:left w:val="nil"/>
              <w:bottom w:val="single" w:sz="4" w:space="0" w:color="000000"/>
              <w:right w:val="single" w:sz="4" w:space="0" w:color="000000"/>
            </w:tcBorders>
            <w:shd w:val="clear" w:color="auto" w:fill="auto"/>
            <w:noWrap/>
            <w:vAlign w:val="bottom"/>
            <w:hideMark/>
          </w:tcPr>
          <w:p w14:paraId="10861D02"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Serranidae</w:t>
            </w:r>
          </w:p>
        </w:tc>
        <w:tc>
          <w:tcPr>
            <w:tcW w:w="1185" w:type="dxa"/>
            <w:tcBorders>
              <w:top w:val="nil"/>
              <w:left w:val="nil"/>
              <w:bottom w:val="single" w:sz="4" w:space="0" w:color="000000"/>
              <w:right w:val="single" w:sz="4" w:space="0" w:color="000000"/>
            </w:tcBorders>
            <w:shd w:val="clear" w:color="auto" w:fill="auto"/>
            <w:noWrap/>
            <w:vAlign w:val="bottom"/>
            <w:hideMark/>
          </w:tcPr>
          <w:p w14:paraId="04138AEE"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Hawaii</w:t>
            </w:r>
          </w:p>
        </w:tc>
        <w:tc>
          <w:tcPr>
            <w:tcW w:w="1663" w:type="dxa"/>
            <w:tcBorders>
              <w:top w:val="nil"/>
              <w:left w:val="nil"/>
              <w:bottom w:val="single" w:sz="4" w:space="0" w:color="000000"/>
              <w:right w:val="single" w:sz="4" w:space="0" w:color="000000"/>
            </w:tcBorders>
            <w:shd w:val="clear" w:color="auto" w:fill="auto"/>
            <w:noWrap/>
            <w:vAlign w:val="bottom"/>
            <w:hideMark/>
          </w:tcPr>
          <w:p w14:paraId="7CC57E96"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3.9</w:t>
            </w:r>
          </w:p>
        </w:tc>
        <w:tc>
          <w:tcPr>
            <w:tcW w:w="2055" w:type="dxa"/>
            <w:tcBorders>
              <w:top w:val="nil"/>
              <w:left w:val="nil"/>
              <w:bottom w:val="single" w:sz="4" w:space="0" w:color="000000"/>
              <w:right w:val="single" w:sz="4" w:space="0" w:color="000000"/>
            </w:tcBorders>
            <w:shd w:val="clear" w:color="auto" w:fill="auto"/>
            <w:noWrap/>
            <w:vAlign w:val="bottom"/>
            <w:hideMark/>
          </w:tcPr>
          <w:p w14:paraId="3F962E30"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0.8</w:t>
            </w:r>
          </w:p>
        </w:tc>
        <w:tc>
          <w:tcPr>
            <w:tcW w:w="2298" w:type="dxa"/>
            <w:tcBorders>
              <w:top w:val="nil"/>
              <w:left w:val="nil"/>
              <w:bottom w:val="single" w:sz="4" w:space="0" w:color="000000"/>
              <w:right w:val="single" w:sz="4" w:space="0" w:color="000000"/>
            </w:tcBorders>
            <w:shd w:val="clear" w:color="auto" w:fill="auto"/>
            <w:noWrap/>
            <w:vAlign w:val="bottom"/>
            <w:hideMark/>
          </w:tcPr>
          <w:p w14:paraId="7F76BE47"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096E97A4" w14:textId="45421BC7" w:rsidR="0056149C" w:rsidRPr="00B825E1" w:rsidRDefault="00B16925"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FC66AE">
              <w:rPr>
                <w:rFonts w:eastAsia="Times New Roman" w:cstheme="minorHAnsi"/>
                <w:color w:val="000000"/>
                <w:lang w:eastAsia="en-GB"/>
              </w:rPr>
              <w:instrText xml:space="preserve"> ADDIN ZOTERO_ITEM CSL_CITATION {"citationID":"8s420Cko","properties":{"formattedCitation":"\\super 19\\nosupersub{}","plainCitation":"19","noteIndex":0},"citationItems":[{"id":9500,"uris":["http://zotero.org/users/11938866/items/UKQ35B99"],"itemData":{"id":9500,"type":"article-journal","abstract":"This research investigated the reproductive biology (sex ratio, hermaphroditic pattern, size and age at maturity) of Cephalopholis argus, known locally in Hawaii by its Tahitian name roi. The results suggest that C. argus exhibits monandric protogyny (female gonad differentiation with female to male sex change) with females reaching sexual maturity at 1.2 years (95% c.i.: 0.6, 1.6) and 20.0 cm total length (LT; 95% c.i.: 19.6, 21.2). The female to male sex ratio was 3.9:1. The average age and LT at sex change was 11.5 years (95% c.i.: 11.1, 12.9) and 39.9 cm (95% c.i.: 39.5, 41.2), respectively. Current information on spawning seasonality of this species is incomplete, but based on the occurrence of spawning capable and actively spawning females, spawning probably takes place from May to October. Evidence of lunar spawning periodicity was found, with an increased proportion of spawning capable and actively spawning females, and an increased female gonado-somatic index during first quarter and full-moon phases. This information fills a valuable information gap in Hawaii and across the species' native range.","container-title":"Journal of Fish Biology","DOI":"10.1111/jfb.13036","ISSN":"1095-8649","issue":"2","language":"en","note":"_eprint: https://onlinelibrary.wiley.com/doi/pdf/10.1111/jfb.13036","page":"1271-1284","source":"Wiley Online Library","title":"Reproductive life history of the introduced peacock grouper Cephalopholis argus in Hawaii","volume":"89","author":[{"family":"Schemmel","given":"E. M."},{"family":"Donovan","given":"M. K."},{"family":"Wiggins","given":"C."},{"family":"Anzivino","given":"M."},{"family":"Friedlander","given":"A. M."}],"issued":{"date-parts":[["2016"]]}}}],"schema":"https://github.com/citation-style-language/schema/raw/master/csl-citation.json"} </w:instrText>
            </w:r>
            <w:r>
              <w:rPr>
                <w:rFonts w:eastAsia="Times New Roman" w:cstheme="minorHAnsi"/>
                <w:color w:val="000000"/>
                <w:lang w:eastAsia="en-GB"/>
              </w:rPr>
              <w:fldChar w:fldCharType="separate"/>
            </w:r>
            <w:r w:rsidR="00FC66AE" w:rsidRPr="00FC66AE">
              <w:rPr>
                <w:rFonts w:ascii="Calibri" w:cs="Calibri"/>
                <w:color w:val="000000"/>
                <w:vertAlign w:val="superscript"/>
              </w:rPr>
              <w:t>19</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72BC2CFE"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618B6B39"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2984937B"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Plectropomus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leopardus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5E1A9200"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Serranidae</w:t>
            </w:r>
          </w:p>
        </w:tc>
        <w:tc>
          <w:tcPr>
            <w:tcW w:w="1185" w:type="dxa"/>
            <w:tcBorders>
              <w:top w:val="nil"/>
              <w:left w:val="nil"/>
              <w:bottom w:val="single" w:sz="4" w:space="0" w:color="000000"/>
              <w:right w:val="single" w:sz="4" w:space="0" w:color="000000"/>
            </w:tcBorders>
            <w:shd w:val="clear" w:color="auto" w:fill="auto"/>
            <w:noWrap/>
            <w:vAlign w:val="bottom"/>
            <w:hideMark/>
          </w:tcPr>
          <w:p w14:paraId="3C5FEC4E"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Okinawa</w:t>
            </w:r>
          </w:p>
        </w:tc>
        <w:tc>
          <w:tcPr>
            <w:tcW w:w="1663" w:type="dxa"/>
            <w:tcBorders>
              <w:top w:val="nil"/>
              <w:left w:val="nil"/>
              <w:bottom w:val="single" w:sz="4" w:space="0" w:color="000000"/>
              <w:right w:val="single" w:sz="4" w:space="0" w:color="000000"/>
            </w:tcBorders>
            <w:shd w:val="clear" w:color="auto" w:fill="auto"/>
            <w:noWrap/>
            <w:vAlign w:val="bottom"/>
            <w:hideMark/>
          </w:tcPr>
          <w:p w14:paraId="46F9522A"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11.29</w:t>
            </w:r>
          </w:p>
        </w:tc>
        <w:tc>
          <w:tcPr>
            <w:tcW w:w="2055" w:type="dxa"/>
            <w:tcBorders>
              <w:top w:val="nil"/>
              <w:left w:val="nil"/>
              <w:bottom w:val="single" w:sz="4" w:space="0" w:color="000000"/>
              <w:right w:val="single" w:sz="4" w:space="0" w:color="000000"/>
            </w:tcBorders>
            <w:shd w:val="clear" w:color="auto" w:fill="auto"/>
            <w:noWrap/>
            <w:vAlign w:val="bottom"/>
            <w:hideMark/>
          </w:tcPr>
          <w:p w14:paraId="65D1E953"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0.92</w:t>
            </w:r>
          </w:p>
        </w:tc>
        <w:tc>
          <w:tcPr>
            <w:tcW w:w="2298" w:type="dxa"/>
            <w:tcBorders>
              <w:top w:val="nil"/>
              <w:left w:val="nil"/>
              <w:bottom w:val="single" w:sz="4" w:space="0" w:color="000000"/>
              <w:right w:val="single" w:sz="4" w:space="0" w:color="000000"/>
            </w:tcBorders>
            <w:shd w:val="clear" w:color="auto" w:fill="auto"/>
            <w:noWrap/>
            <w:vAlign w:val="bottom"/>
            <w:hideMark/>
          </w:tcPr>
          <w:p w14:paraId="40F10DB6"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7AA7E2EB" w14:textId="14308D1E" w:rsidR="0056149C" w:rsidRPr="00B825E1" w:rsidRDefault="00FC66AE"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002AC9">
              <w:rPr>
                <w:rFonts w:eastAsia="Times New Roman" w:cstheme="minorHAnsi"/>
                <w:color w:val="000000"/>
                <w:lang w:eastAsia="en-GB"/>
              </w:rPr>
              <w:instrText xml:space="preserve"> ADDIN ZOTERO_ITEM CSL_CITATION {"citationID":"zgs3sb70","properties":{"formattedCitation":"\\super 20\\nosupersub{}","plainCitation":"20","noteIndex":0},"citationItems":[{"id":9503,"uris":["http://zotero.org/users/11938866/items/5A9Y9GM9"],"itemData":{"id":9503,"type":"article-journal","abstract":"The life history of the leopard coralgrouper Plectropomus leopardus was examined for the purpose of stock evaluation and to help maintain populations in the Okinawa Islands, southwestern Japan. Age was estimated from cut and burnt otoliths, and gonads were observed histologically to reveal the growth, spawning period and relationships between age and both sexual development and sexual maturation for P. leopardus in waters north of Okinawa Island. The three parameters in the von Bertalanffy growth equation, L∞, k, and t0, were estimated at 61.2 cm fork length, 0.289, and 0.41, respectively. The oldest individual obtained among the specimens was 18.8 years. The spawning period started in May and lasted until July. During this period, 50 % of females reached maturity at 43.3 cm fork length and at 5 years of age. Due to the sexual transition from female to male, the sex ratio decreased to 50 % at 59.8 cm fork length and at 10.3 years of age.","container-title":"Fisheries Science","DOI":"10.1007/s12562-013-0669-7","ISSN":"1444-2906","issue":"6","journalAbbreviation":"Fish Sci","language":"en","page":"911-921","source":"Springer Link","title":"Life history traits of leopard coralgrouper Plectropomus leopardus in the Okinawa Islands, southwestern Japan","volume":"79","author":[{"family":"Ebisawa","given":"Akihiko"}],"issued":{"date-parts":[["2013",11,1]]}}}],"schema":"https://github.com/citation-style-language/schema/raw/master/csl-citation.json"} </w:instrText>
            </w:r>
            <w:r>
              <w:rPr>
                <w:rFonts w:eastAsia="Times New Roman" w:cstheme="minorHAnsi"/>
                <w:color w:val="000000"/>
                <w:lang w:eastAsia="en-GB"/>
              </w:rPr>
              <w:fldChar w:fldCharType="separate"/>
            </w:r>
            <w:r w:rsidR="00002AC9" w:rsidRPr="00002AC9">
              <w:rPr>
                <w:rFonts w:ascii="Calibri" w:cs="Calibri"/>
                <w:color w:val="000000"/>
                <w:vertAlign w:val="superscript"/>
              </w:rPr>
              <w:t>20</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15B94F7A"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6C0A6F06"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3C9D4FB0"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Acanthopagrus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bifasciatus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7A06DA0B"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Sparidae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73E7C04B"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Abu Dhabi</w:t>
            </w:r>
          </w:p>
        </w:tc>
        <w:tc>
          <w:tcPr>
            <w:tcW w:w="1663" w:type="dxa"/>
            <w:tcBorders>
              <w:top w:val="nil"/>
              <w:left w:val="nil"/>
              <w:bottom w:val="single" w:sz="4" w:space="0" w:color="000000"/>
              <w:right w:val="single" w:sz="4" w:space="0" w:color="000000"/>
            </w:tcBorders>
            <w:shd w:val="clear" w:color="auto" w:fill="auto"/>
            <w:noWrap/>
            <w:vAlign w:val="bottom"/>
            <w:hideMark/>
          </w:tcPr>
          <w:p w14:paraId="1CC8F775"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1.9</w:t>
            </w:r>
          </w:p>
        </w:tc>
        <w:tc>
          <w:tcPr>
            <w:tcW w:w="2055" w:type="dxa"/>
            <w:tcBorders>
              <w:top w:val="nil"/>
              <w:left w:val="nil"/>
              <w:bottom w:val="single" w:sz="4" w:space="0" w:color="000000"/>
              <w:right w:val="single" w:sz="4" w:space="0" w:color="000000"/>
            </w:tcBorders>
            <w:shd w:val="clear" w:color="auto" w:fill="auto"/>
            <w:noWrap/>
            <w:vAlign w:val="bottom"/>
            <w:hideMark/>
          </w:tcPr>
          <w:p w14:paraId="64CA00DE"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0.66</w:t>
            </w:r>
          </w:p>
        </w:tc>
        <w:tc>
          <w:tcPr>
            <w:tcW w:w="2298" w:type="dxa"/>
            <w:tcBorders>
              <w:top w:val="nil"/>
              <w:left w:val="nil"/>
              <w:bottom w:val="single" w:sz="4" w:space="0" w:color="000000"/>
              <w:right w:val="single" w:sz="4" w:space="0" w:color="000000"/>
            </w:tcBorders>
            <w:shd w:val="clear" w:color="auto" w:fill="auto"/>
            <w:noWrap/>
            <w:vAlign w:val="bottom"/>
            <w:hideMark/>
          </w:tcPr>
          <w:p w14:paraId="34903BC9"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1C526085" w14:textId="25A279FD" w:rsidR="0056149C" w:rsidRPr="00B825E1" w:rsidRDefault="005F040C"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CD2712">
              <w:rPr>
                <w:rFonts w:eastAsia="Times New Roman" w:cstheme="minorHAnsi"/>
                <w:color w:val="000000"/>
                <w:lang w:eastAsia="en-GB"/>
              </w:rPr>
              <w:instrText xml:space="preserve"> ADDIN ZOTERO_ITEM CSL_CITATION {"citationID":"aExkhf6f","properties":{"formattedCitation":"\\super 21\\nosupersub{}","plainCitation":"21","noteIndex":0},"citationItems":[{"id":9505,"uris":["http://zotero.org/users/11938866/items/2WFS64PI"],"itemData":{"id":9505,"type":"article-journal","abstract":"The population biology and status of Acanthopagrus bifasciatus and Argyrops spinifer in the Southern Arabian Gulf were investigated to derive information required for their management. Transverse sections of sagittal otoliths were characterised by incremental structures consisting of alternating translucent and opaque bands. Edge analysis revealed an annual periodicity of formation with the opaque zone being deposited during the summer months. Parameter values of the von Bertalanffy growth function fit to size at age data (males and females combined) were: k = 0.234 year−1, L∞ = 32.5cm (LF), to = −2.2 years (A. bifasciatus) and k = 0.224 year−1, L∞ = 52.4cm (LF), to = −0.44 years (A. spinifer). Both species were fully exploited below the mean size at which females attained sexual maturity (26.4cm LF for A. bifasciatus and 26.9cm LF for A. spinifer). The overall sex ratios were significantly female biased although the bias was removed above the size at sexual maturation, potentially as a result of sex change. Spawning occurred from January to April for both species. The fishing mortality of A. bifasciatus accounted for 10.0% of the total mortality which was well within the estimated safe harvest level (F0.1). For A. spinifer, the exploitation rate (0.407 year−1) was comparable to that at the estimated safe harvest level (0.401 year−1). Nevertheless, the high juvenile retention rates (50.1% for A. bifasciatus and 66.9% for A. spinifer) and the discrepancies between the mean sizes at first capture and those which would maximise yield per recruit, suggest that the existing mesh size regulations in the trap fishery need to be reviewed. The results of the study highlight critical resource base issues and provide the direction for the future management of these species in the Southern Arabian Gulf.","container-title":"Fisheries Research","DOI":"10.1016/j.fishres.2004.04.006","ISSN":"0165-7836","issue":"1","journalAbbreviation":"Fisheries Research","page":"7-20","source":"ScienceDirect","title":"Biology and stock assessment of the Sparids, &lt;i&gt;Acanthopagrus bifasciatus&lt;/i&gt; and &lt;i&gt;Argyrops spinifer&lt;/i&gt; (Forsskål, 1775), in the Southern Arabian Gulf","volume":"69","author":[{"family":"Grandcourt","given":"E. M"},{"family":"Al Abdessalaam","given":"T. Z"},{"family":"Francis","given":"F"},{"family":"Al Shamsi","given":"A. T"}],"issued":{"date-parts":[["2004",8,1]]}}}],"schema":"https://github.com/citation-style-language/schema/raw/master/csl-citation.json"} </w:instrText>
            </w:r>
            <w:r>
              <w:rPr>
                <w:rFonts w:eastAsia="Times New Roman" w:cstheme="minorHAnsi"/>
                <w:color w:val="000000"/>
                <w:lang w:eastAsia="en-GB"/>
              </w:rPr>
              <w:fldChar w:fldCharType="separate"/>
            </w:r>
            <w:r w:rsidR="00CD2712" w:rsidRPr="00CD2712">
              <w:rPr>
                <w:rFonts w:ascii="Calibri" w:cs="Calibri"/>
                <w:color w:val="000000"/>
                <w:vertAlign w:val="superscript"/>
              </w:rPr>
              <w:t>21</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1F4D8145"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Macroscopic examination</w:t>
            </w:r>
          </w:p>
        </w:tc>
      </w:tr>
      <w:tr w:rsidR="0056149C" w:rsidRPr="00B825E1" w14:paraId="4147ACFF"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67522B25"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lastRenderedPageBreak/>
              <w:t>Scolopsis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monogramma</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564E0EEB"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Nemipteridae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0B9F3D78"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Okinawa</w:t>
            </w:r>
          </w:p>
        </w:tc>
        <w:tc>
          <w:tcPr>
            <w:tcW w:w="1663" w:type="dxa"/>
            <w:tcBorders>
              <w:top w:val="nil"/>
              <w:left w:val="nil"/>
              <w:bottom w:val="single" w:sz="4" w:space="0" w:color="000000"/>
              <w:right w:val="single" w:sz="4" w:space="0" w:color="000000"/>
            </w:tcBorders>
            <w:shd w:val="clear" w:color="auto" w:fill="auto"/>
            <w:noWrap/>
            <w:vAlign w:val="bottom"/>
            <w:hideMark/>
          </w:tcPr>
          <w:p w14:paraId="7705CDE0"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2.86486487</w:t>
            </w:r>
          </w:p>
        </w:tc>
        <w:tc>
          <w:tcPr>
            <w:tcW w:w="2055" w:type="dxa"/>
            <w:tcBorders>
              <w:top w:val="nil"/>
              <w:left w:val="nil"/>
              <w:bottom w:val="single" w:sz="4" w:space="0" w:color="000000"/>
              <w:right w:val="single" w:sz="4" w:space="0" w:color="000000"/>
            </w:tcBorders>
            <w:shd w:val="clear" w:color="auto" w:fill="auto"/>
            <w:noWrap/>
            <w:vAlign w:val="bottom"/>
            <w:hideMark/>
          </w:tcPr>
          <w:p w14:paraId="34B80DCD"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0.74125874</w:t>
            </w:r>
          </w:p>
        </w:tc>
        <w:tc>
          <w:tcPr>
            <w:tcW w:w="2298" w:type="dxa"/>
            <w:tcBorders>
              <w:top w:val="nil"/>
              <w:left w:val="nil"/>
              <w:bottom w:val="single" w:sz="4" w:space="0" w:color="000000"/>
              <w:right w:val="single" w:sz="4" w:space="0" w:color="000000"/>
            </w:tcBorders>
            <w:shd w:val="clear" w:color="auto" w:fill="auto"/>
            <w:noWrap/>
            <w:vAlign w:val="bottom"/>
            <w:hideMark/>
          </w:tcPr>
          <w:p w14:paraId="13F63BE1"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6863E860" w14:textId="652E9A54" w:rsidR="0056149C" w:rsidRPr="00B825E1" w:rsidRDefault="00CB7AFE"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7C7F0A">
              <w:rPr>
                <w:rFonts w:eastAsia="Times New Roman" w:cstheme="minorHAnsi"/>
                <w:color w:val="000000"/>
                <w:lang w:eastAsia="en-GB"/>
              </w:rPr>
              <w:instrText xml:space="preserve"> ADDIN ZOTERO_ITEM CSL_CITATION {"citationID":"MB2TiFBM","properties":{"formattedCitation":"\\super 22\\nosupersub{}","plainCitation":"22","noteIndex":0},"citationItems":[{"id":9507,"uris":["http://zotero.org/users/11938866/items/RKDGDDCS"],"itemData":{"id":9507,"type":"article-journal","abstract":"Age, growth, maturity, and sex changes of the monogrammed monocle bream Scolopsis monogramma were estimated from ca. 500 specimens collected at Okinawa-jima Island in southern Japan. Age was determined from sectioned otoliths: maximum ages were 10 years for females and 9 years for males. Parameters for von Bertalanffy growth functions were Lt = 206.6{1 − exp[−0.68(t + 0.81)]} (n = 337) for females and Lt = 244.4{1 − exp[−0.93(t + 0.32)]} (n = 130) for males. The spawning season was estimated to last from June to July, with a peak in July. The standard length (SL) and age at 50 % maturity for females were estimated as 186.4 mm SL and 3.3 years, respectively. Intersex individuals appeared from 159.6 to 237.5 mm SL (n = 16) in fish between 1 and six years old, with the highest frequencies occurring at 170 mm SL and 2 years old. Hence, almost all S. monogramma specimens found at Okinawa-jima Island exhibited pre-maturational sex change, although some may have been protogynous hermaphrodites. Biological characteristics such as age at growth, maturation, and spawning season are valuable factors that can inform the resource management of local fisheries.","container-title":"Fisheries Science","DOI":"10.1007/s12562-014-0745-7","ISSN":"1444-2906","issue":"4","journalAbbreviation":"Fish Sci","language":"en","page":"679-685","source":"Springer Link","title":"Age, growth, maturity, and sex changes of monogrammed monocle bream Scolopsis monogramma in the waters around Okinawa-jima Island, Japan","volume":"80","author":[{"family":"Akita","given":"Yuichi"},{"family":"Tachihara","given":"Katsunori"}],"issued":{"date-parts":[["2014",7,1]]}}}],"schema":"https://github.com/citation-style-language/schema/raw/master/csl-citation.json"} </w:instrText>
            </w:r>
            <w:r>
              <w:rPr>
                <w:rFonts w:eastAsia="Times New Roman" w:cstheme="minorHAnsi"/>
                <w:color w:val="000000"/>
                <w:lang w:eastAsia="en-GB"/>
              </w:rPr>
              <w:fldChar w:fldCharType="separate"/>
            </w:r>
            <w:r w:rsidR="007C7F0A" w:rsidRPr="007C7F0A">
              <w:rPr>
                <w:rFonts w:ascii="Calibri" w:cs="Calibri"/>
                <w:color w:val="000000"/>
                <w:vertAlign w:val="superscript"/>
              </w:rPr>
              <w:t>22</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5BD68935"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0BCBDA1B"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75C49756"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Epinephelus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labriformis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11EEC33E"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Serranidae</w:t>
            </w:r>
          </w:p>
        </w:tc>
        <w:tc>
          <w:tcPr>
            <w:tcW w:w="1185" w:type="dxa"/>
            <w:tcBorders>
              <w:top w:val="nil"/>
              <w:left w:val="nil"/>
              <w:bottom w:val="single" w:sz="4" w:space="0" w:color="000000"/>
              <w:right w:val="single" w:sz="4" w:space="0" w:color="000000"/>
            </w:tcBorders>
            <w:shd w:val="clear" w:color="auto" w:fill="auto"/>
            <w:noWrap/>
            <w:vAlign w:val="bottom"/>
            <w:hideMark/>
          </w:tcPr>
          <w:p w14:paraId="0FC4E4E3" w14:textId="77AA7A4B"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BahÌa</w:t>
            </w:r>
            <w:proofErr w:type="spellEnd"/>
            <w:r w:rsidRPr="00B825E1">
              <w:rPr>
                <w:rFonts w:eastAsia="Times New Roman" w:cstheme="minorHAnsi"/>
                <w:color w:val="000000"/>
                <w:lang w:eastAsia="en-GB"/>
              </w:rPr>
              <w:t xml:space="preserve"> de Navidad, Jalisco, M</w:t>
            </w:r>
            <w:r w:rsidR="00E80ECA">
              <w:rPr>
                <w:rFonts w:eastAsia="Times New Roman" w:cstheme="minorHAnsi"/>
                <w:color w:val="000000"/>
                <w:lang w:eastAsia="en-GB"/>
              </w:rPr>
              <w:t>e</w:t>
            </w:r>
            <w:r w:rsidRPr="00B825E1">
              <w:rPr>
                <w:rFonts w:eastAsia="Times New Roman" w:cstheme="minorHAnsi"/>
                <w:color w:val="000000"/>
                <w:lang w:eastAsia="en-GB"/>
              </w:rPr>
              <w:t>xico</w:t>
            </w:r>
          </w:p>
        </w:tc>
        <w:tc>
          <w:tcPr>
            <w:tcW w:w="1663" w:type="dxa"/>
            <w:tcBorders>
              <w:top w:val="nil"/>
              <w:left w:val="nil"/>
              <w:bottom w:val="single" w:sz="4" w:space="0" w:color="000000"/>
              <w:right w:val="single" w:sz="4" w:space="0" w:color="000000"/>
            </w:tcBorders>
            <w:shd w:val="clear" w:color="auto" w:fill="auto"/>
            <w:noWrap/>
            <w:vAlign w:val="bottom"/>
            <w:hideMark/>
          </w:tcPr>
          <w:p w14:paraId="0F8D9742"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1.24343675</w:t>
            </w:r>
          </w:p>
        </w:tc>
        <w:tc>
          <w:tcPr>
            <w:tcW w:w="2055" w:type="dxa"/>
            <w:tcBorders>
              <w:top w:val="nil"/>
              <w:left w:val="nil"/>
              <w:bottom w:val="single" w:sz="4" w:space="0" w:color="000000"/>
              <w:right w:val="single" w:sz="4" w:space="0" w:color="000000"/>
            </w:tcBorders>
            <w:shd w:val="clear" w:color="auto" w:fill="auto"/>
            <w:noWrap/>
            <w:vAlign w:val="bottom"/>
            <w:hideMark/>
          </w:tcPr>
          <w:p w14:paraId="45F07AB2"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0.55425532</w:t>
            </w:r>
          </w:p>
        </w:tc>
        <w:tc>
          <w:tcPr>
            <w:tcW w:w="2298" w:type="dxa"/>
            <w:tcBorders>
              <w:top w:val="nil"/>
              <w:left w:val="nil"/>
              <w:bottom w:val="single" w:sz="4" w:space="0" w:color="000000"/>
              <w:right w:val="single" w:sz="4" w:space="0" w:color="000000"/>
            </w:tcBorders>
            <w:shd w:val="clear" w:color="auto" w:fill="auto"/>
            <w:noWrap/>
            <w:vAlign w:val="bottom"/>
            <w:hideMark/>
          </w:tcPr>
          <w:p w14:paraId="359FCF96"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4EEB8DED" w14:textId="47E363EE" w:rsidR="0056149C" w:rsidRPr="00B825E1" w:rsidRDefault="002F6E04"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BD3352">
              <w:rPr>
                <w:rFonts w:eastAsia="Times New Roman" w:cstheme="minorHAnsi"/>
                <w:color w:val="000000"/>
                <w:lang w:eastAsia="en-GB"/>
              </w:rPr>
              <w:instrText xml:space="preserve"> ADDIN ZOTERO_ITEM CSL_CITATION {"citationID":"Gj4A5Dj6","properties":{"formattedCitation":"\\super 23\\nosupersub{}","plainCitation":"23","noteIndex":0},"citationItems":[{"id":9509,"uris":["http://zotero.org/users/11938866/items/WEG6APL6"],"itemData":{"id":9509,"type":"article-journal","abstract":"Summary:La cabrilla pinta, Epinephelus labriformis, es una especie de la familia Serranidae, explotada comercialmente en la Bahía de Navidad, Jalisco, México. El objetivo del trabajo fue describir las características reproductivas de E. labriformis. Se realizaron muestreos mensuales entre 1998 y 2008 utilizando redes agalleras. De cada organismo se obtuvo la longitud total (LT) y el peso total (PT); las gónadas fueron extraídas, pesadas, clasificadas según el estadio de desarrollo y preservadas para análisis histológicos. Se recolectaron 940 ejemplares, 521 fueron hembras y 419 machos. La longitud promedio de las hembras fue de 30,1 (± 0,14) cm y la de los machos 31,3 (± 0,13) cm LT. Los máximos valores del índice gonadosomático y los mayores porcentajes de gónadas maduras tanto en hembras como en machos, se presentaron en abril y agosto. El factor de condición presentó escasa variación temporal. Mediante el análisis histológico de las gónadas se identificaron ejemplares en transición, con ovarios con ovocitos en regresión y tejido testicular en desarrollo. El desarrollo de los ovocitos es asincrónico y el del testículo es de tipo lobular. El ejemplar más pequeño encontrado en transición midió 25,6 cm LT. La longitud promedio de maduración sexual fue 29,6 cm LT para hembras y 31,3 cm LT para machos; contrastando estas tallas con las de captura, se infiere que los individuos capturados habrían tenido al menos un evento reproductivo. E. labriformis es un hermafrodita protógino que presenta una mayor actividad reproductiva en primavera-verano lo cual lo vuelve altamente vulnerable al impacto de la pesca.Palabras clave: Ciclo reproductivo; Serranidae; protógino; talla de madurez; índice gonadosomático","container-title":"Revista de biología marina y oceanografía","DOI":"10.22370/rbmo.2018.53.3.1358","ISSN":"0718-1957","issue":"3","note":"publisher: Universidad de Valparaíso. Facultad de Ciencias del Mar","page":"335-347","source":"SciELO","title":"Reproducción de la cabrilla pinta Epinephelus labriformis en la Bahía de Navidad, Jalisco, México","volume":"53","author":[{"family":"Ruiz-Ramírez","given":"Salvador"},{"family":"Pérez-Segoviano","given":"Araceli Montserrat"},{"family":"Lucano-Ramírez","given":"Gabriela"},{"family":"González-Sansón","given":"Gaspar"},{"family":"Aguilar-Betancourt","given":"Consuelo"},{"family":"Flores-Ortega","given":"Juan Ramón"},{"family":"Ruiz-Ramírez","given":"Salvador"},{"family":"Pérez-Segoviano","given":"Araceli Montserrat"},{"family":"Lucano-Ramírez","given":"Gabriela"},{"family":"González-Sansón","given":"Gaspar"},{"family":"Aguilar-Betancourt","given":"Consuelo"},{"family":"Flores-Ortega","given":"Juan Ramón"}],"issued":{"date-parts":[["2018",12]]}}}],"schema":"https://github.com/citation-style-language/schema/raw/master/csl-citation.json"} </w:instrText>
            </w:r>
            <w:r>
              <w:rPr>
                <w:rFonts w:eastAsia="Times New Roman" w:cstheme="minorHAnsi"/>
                <w:color w:val="000000"/>
                <w:lang w:eastAsia="en-GB"/>
              </w:rPr>
              <w:fldChar w:fldCharType="separate"/>
            </w:r>
            <w:r w:rsidR="00BD3352" w:rsidRPr="00BD3352">
              <w:rPr>
                <w:rFonts w:ascii="Calibri" w:cs="Calibri"/>
                <w:color w:val="000000"/>
                <w:vertAlign w:val="superscript"/>
              </w:rPr>
              <w:t>23</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3DB08E2C"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139450C6"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267B0691"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Epinephelus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itajara</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58B7AA76"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Serranidae</w:t>
            </w:r>
          </w:p>
        </w:tc>
        <w:tc>
          <w:tcPr>
            <w:tcW w:w="1185" w:type="dxa"/>
            <w:tcBorders>
              <w:top w:val="nil"/>
              <w:left w:val="nil"/>
              <w:bottom w:val="single" w:sz="4" w:space="0" w:color="000000"/>
              <w:right w:val="single" w:sz="4" w:space="0" w:color="000000"/>
            </w:tcBorders>
            <w:shd w:val="clear" w:color="auto" w:fill="auto"/>
            <w:noWrap/>
            <w:vAlign w:val="bottom"/>
            <w:hideMark/>
          </w:tcPr>
          <w:p w14:paraId="19135D24"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Abrolhos Bank, eastern Brazil</w:t>
            </w:r>
          </w:p>
        </w:tc>
        <w:tc>
          <w:tcPr>
            <w:tcW w:w="1663" w:type="dxa"/>
            <w:tcBorders>
              <w:top w:val="nil"/>
              <w:left w:val="nil"/>
              <w:bottom w:val="single" w:sz="4" w:space="0" w:color="000000"/>
              <w:right w:val="single" w:sz="4" w:space="0" w:color="000000"/>
            </w:tcBorders>
            <w:shd w:val="clear" w:color="auto" w:fill="auto"/>
            <w:noWrap/>
            <w:vAlign w:val="bottom"/>
            <w:hideMark/>
          </w:tcPr>
          <w:p w14:paraId="16E8F39D"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16</w:t>
            </w:r>
          </w:p>
        </w:tc>
        <w:tc>
          <w:tcPr>
            <w:tcW w:w="2055" w:type="dxa"/>
            <w:tcBorders>
              <w:top w:val="nil"/>
              <w:left w:val="nil"/>
              <w:bottom w:val="single" w:sz="4" w:space="0" w:color="000000"/>
              <w:right w:val="single" w:sz="4" w:space="0" w:color="000000"/>
            </w:tcBorders>
            <w:shd w:val="clear" w:color="auto" w:fill="auto"/>
            <w:noWrap/>
            <w:vAlign w:val="bottom"/>
            <w:hideMark/>
          </w:tcPr>
          <w:p w14:paraId="01D69718"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0.94117647</w:t>
            </w:r>
          </w:p>
        </w:tc>
        <w:tc>
          <w:tcPr>
            <w:tcW w:w="2298" w:type="dxa"/>
            <w:tcBorders>
              <w:top w:val="nil"/>
              <w:left w:val="nil"/>
              <w:bottom w:val="single" w:sz="4" w:space="0" w:color="000000"/>
              <w:right w:val="single" w:sz="4" w:space="0" w:color="000000"/>
            </w:tcBorders>
            <w:shd w:val="clear" w:color="auto" w:fill="auto"/>
            <w:noWrap/>
            <w:vAlign w:val="bottom"/>
            <w:hideMark/>
          </w:tcPr>
          <w:p w14:paraId="206F2B05"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63D2143E" w14:textId="797D6C03" w:rsidR="0056149C" w:rsidRPr="00B825E1" w:rsidRDefault="00A47507"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F034BC">
              <w:rPr>
                <w:rFonts w:eastAsia="Times New Roman" w:cstheme="minorHAnsi"/>
                <w:color w:val="000000"/>
                <w:lang w:eastAsia="en-GB"/>
              </w:rPr>
              <w:instrText xml:space="preserve"> ADDIN ZOTERO_ITEM CSL_CITATION {"citationID":"7hKQlgS1","properties":{"formattedCitation":"\\super 24\\nosupersub{}","plainCitation":"24","noteIndex":0},"citationItems":[{"id":9511,"uris":["http://zotero.org/users/11938866/items/RQISAQMP"],"itemData":{"id":9511,"type":"article-journal","language":"en","source":"agris.fao.org","title":"Diet and reproduction of the goliath grouper, Epinephelus itajara (Actinopterygii: Perciformes: Serranidae), in eastern Brazil","title-short":"Diet and reproduction of the goliath grouper, Epinephelus itajara (Actinopterygii","URL":"https://agris.fao.org/search/en/providers/122436/records/64747c4e2d3f560f80af21d6","author":[{"family":"Freitas","given":"M. O."},{"family":"Abilhoa","given":"V."},{"family":"Giglio","given":"V. J."},{"family":"Hostim-Silva","given":"M."},{"family":"Moura","given":"R. L."},{"family":"Francini-Filho","given":"R. B."},{"family":"Minte-Vera","given":"C. V."}],"accessed":{"date-parts":[["2024",7,5]]},"issued":{"date-parts":[["2015"]]}}}],"schema":"https://github.com/citation-style-language/schema/raw/master/csl-citation.json"} </w:instrText>
            </w:r>
            <w:r>
              <w:rPr>
                <w:rFonts w:eastAsia="Times New Roman" w:cstheme="minorHAnsi"/>
                <w:color w:val="000000"/>
                <w:lang w:eastAsia="en-GB"/>
              </w:rPr>
              <w:fldChar w:fldCharType="separate"/>
            </w:r>
            <w:r w:rsidR="00F034BC" w:rsidRPr="00F034BC">
              <w:rPr>
                <w:rFonts w:ascii="Calibri" w:cs="Calibri"/>
                <w:color w:val="000000"/>
                <w:vertAlign w:val="superscript"/>
              </w:rPr>
              <w:t>24</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0D5F6C90"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3C0451E2"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3BEB78C6"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Bodianus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frenchii</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53850A49"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31E881DD"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Western Australia</w:t>
            </w:r>
          </w:p>
        </w:tc>
        <w:tc>
          <w:tcPr>
            <w:tcW w:w="1663" w:type="dxa"/>
            <w:tcBorders>
              <w:top w:val="nil"/>
              <w:left w:val="nil"/>
              <w:bottom w:val="single" w:sz="4" w:space="0" w:color="000000"/>
              <w:right w:val="single" w:sz="4" w:space="0" w:color="000000"/>
            </w:tcBorders>
            <w:shd w:val="clear" w:color="auto" w:fill="auto"/>
            <w:noWrap/>
            <w:vAlign w:val="bottom"/>
            <w:hideMark/>
          </w:tcPr>
          <w:p w14:paraId="3FCAD1FA"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1.484</w:t>
            </w:r>
          </w:p>
        </w:tc>
        <w:tc>
          <w:tcPr>
            <w:tcW w:w="2055" w:type="dxa"/>
            <w:tcBorders>
              <w:top w:val="nil"/>
              <w:left w:val="nil"/>
              <w:bottom w:val="single" w:sz="4" w:space="0" w:color="000000"/>
              <w:right w:val="single" w:sz="4" w:space="0" w:color="000000"/>
            </w:tcBorders>
            <w:shd w:val="clear" w:color="auto" w:fill="auto"/>
            <w:noWrap/>
            <w:vAlign w:val="bottom"/>
            <w:hideMark/>
          </w:tcPr>
          <w:p w14:paraId="62E643BA"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0.59742351</w:t>
            </w:r>
          </w:p>
        </w:tc>
        <w:tc>
          <w:tcPr>
            <w:tcW w:w="2298" w:type="dxa"/>
            <w:tcBorders>
              <w:top w:val="nil"/>
              <w:left w:val="nil"/>
              <w:bottom w:val="single" w:sz="4" w:space="0" w:color="000000"/>
              <w:right w:val="single" w:sz="4" w:space="0" w:color="000000"/>
            </w:tcBorders>
            <w:shd w:val="clear" w:color="auto" w:fill="auto"/>
            <w:noWrap/>
            <w:vAlign w:val="bottom"/>
            <w:hideMark/>
          </w:tcPr>
          <w:p w14:paraId="36C12398"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2A7F3CB6" w14:textId="5BA5A507" w:rsidR="0056149C" w:rsidRPr="00B825E1" w:rsidRDefault="00E1094D"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226FA5">
              <w:rPr>
                <w:rFonts w:eastAsia="Times New Roman" w:cstheme="minorHAnsi"/>
                <w:color w:val="000000"/>
                <w:lang w:eastAsia="en-GB"/>
              </w:rPr>
              <w:instrText xml:space="preserve"> ADDIN ZOTERO_ITEM CSL_CITATION {"citationID":"FbbqoTcF","properties":{"formattedCitation":"\\super 25\\nosupersub{}","plainCitation":"25","noteIndex":0},"citationItems":[{"id":9513,"uris":["http://zotero.org/users/11938866/items/LHLVXLPF"],"itemData":{"id":9513,"type":"article-journal","abstract":"Samples of the foxfish Bodianus frenchii, collected over reefs on the lower west and south coasts of Western Australia, contained individuals ranging up to 78 years old. Although B. frenchii is far smaller than many other species within the Labridae, its maximum age is the greatest yet recorded for this highly speciose family and, together with Achoerodus gouldii, provides an example of a temperate hypsigenyine with exceptional longevity. Length and age compositions of females and males and the histological characteristics of gonads of a wide length range of individuals demonstrated that B. frenchii is a protogynous hermaphrodite. Furthermore, as, on both coasts, the length of the smallest male was greater than that at which all females had become mature, B. frenchii is a monandric protogynous hermaphrodite, i.e. all of its males are derived from functional females. Attainment of maturity by females is related more to length than age, whereas the reverse is true for sex change. On the basis of Schnute growth equations and length-to-body mass regression equations, the predicted length at age and body mass at length of fish on the south coast were greater than those on the west coast throughout life. Although B. frenchii spawns daily during the main spawning season, which extends from October to February on both coasts, its fecundity at any given length is substantially greater on the south than on the west coast. The more rapid growth of juveniles and earlier attainment of maturity by B. frenchii on the south coast than on the warmer west coast, together with maturation at a similar size on both coasts, run counter to the trends observed in many species and certain ecological theories regarding the relationships between life-cycle traits and latitude and temperature. The attainment by B. frenchii of a larger body length at age, of greater body mass at length and of greater fecundity at both length and body mass in fish on the south than on the west coast strongly suggests that conditions on the former, cooler coast are more favourable for this labrid, which belongs to a sub-genus whose other species typically live in cool, deep, temperate waters.","container-title":"Journal of Fish Biology","DOI":"10.1111/j.1095-8649.2010.02706.x","ISSN":"1095-8649","issue":"3","language":"en","license":"© 2010 The Authors. Journal compilation © 2010 The Fisheries Society of the British Isles","note":"_eprint: https://onlinelibrary.wiley.com/doi/pdf/10.1111/j.1095-8649.2010.02706.x","page":"600-626","source":"Wiley Online Library","title":"Growth and reproductive biology of the foxfish Bodianus frenchii, a very long-lived and monandric protogynous hermaphroditic labrid","volume":"77","author":[{"family":"Cossington","given":"S."},{"family":"Hesp","given":"S. A."},{"family":"Hall","given":"N. G."},{"family":"Potter","given":"I. C."}],"issued":{"date-parts":[["2010"]]}}}],"schema":"https://github.com/citation-style-language/schema/raw/master/csl-citation.json"} </w:instrText>
            </w:r>
            <w:r>
              <w:rPr>
                <w:rFonts w:eastAsia="Times New Roman" w:cstheme="minorHAnsi"/>
                <w:color w:val="000000"/>
                <w:lang w:eastAsia="en-GB"/>
              </w:rPr>
              <w:fldChar w:fldCharType="separate"/>
            </w:r>
            <w:r w:rsidR="00226FA5" w:rsidRPr="00226FA5">
              <w:rPr>
                <w:rFonts w:ascii="Calibri" w:cs="Calibri"/>
                <w:color w:val="000000"/>
                <w:vertAlign w:val="superscript"/>
              </w:rPr>
              <w:t>25</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6E48D853"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1AB9F895"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0CC62A57"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Halichoeres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trimaculatus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2952F9EA"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6F4A4339"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Okinawa</w:t>
            </w:r>
          </w:p>
        </w:tc>
        <w:tc>
          <w:tcPr>
            <w:tcW w:w="1663" w:type="dxa"/>
            <w:tcBorders>
              <w:top w:val="nil"/>
              <w:left w:val="nil"/>
              <w:bottom w:val="single" w:sz="4" w:space="0" w:color="000000"/>
              <w:right w:val="single" w:sz="4" w:space="0" w:color="000000"/>
            </w:tcBorders>
            <w:shd w:val="clear" w:color="auto" w:fill="auto"/>
            <w:noWrap/>
            <w:vAlign w:val="bottom"/>
            <w:hideMark/>
          </w:tcPr>
          <w:p w14:paraId="0F01CAE9"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4.59016393</w:t>
            </w:r>
          </w:p>
        </w:tc>
        <w:tc>
          <w:tcPr>
            <w:tcW w:w="2055" w:type="dxa"/>
            <w:tcBorders>
              <w:top w:val="nil"/>
              <w:left w:val="nil"/>
              <w:bottom w:val="single" w:sz="4" w:space="0" w:color="000000"/>
              <w:right w:val="single" w:sz="4" w:space="0" w:color="000000"/>
            </w:tcBorders>
            <w:shd w:val="clear" w:color="auto" w:fill="auto"/>
            <w:noWrap/>
            <w:vAlign w:val="bottom"/>
            <w:hideMark/>
          </w:tcPr>
          <w:p w14:paraId="52D20105"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0.82111437</w:t>
            </w:r>
          </w:p>
        </w:tc>
        <w:tc>
          <w:tcPr>
            <w:tcW w:w="2298" w:type="dxa"/>
            <w:tcBorders>
              <w:top w:val="nil"/>
              <w:left w:val="nil"/>
              <w:bottom w:val="single" w:sz="4" w:space="0" w:color="000000"/>
              <w:right w:val="single" w:sz="4" w:space="0" w:color="000000"/>
            </w:tcBorders>
            <w:shd w:val="clear" w:color="auto" w:fill="auto"/>
            <w:noWrap/>
            <w:vAlign w:val="bottom"/>
            <w:hideMark/>
          </w:tcPr>
          <w:p w14:paraId="5D7DF561"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 and protandrous</w:t>
            </w:r>
          </w:p>
        </w:tc>
        <w:tc>
          <w:tcPr>
            <w:tcW w:w="1871" w:type="dxa"/>
            <w:tcBorders>
              <w:top w:val="nil"/>
              <w:left w:val="nil"/>
              <w:bottom w:val="single" w:sz="4" w:space="0" w:color="000000"/>
              <w:right w:val="single" w:sz="4" w:space="0" w:color="000000"/>
            </w:tcBorders>
            <w:shd w:val="clear" w:color="auto" w:fill="auto"/>
            <w:noWrap/>
            <w:vAlign w:val="bottom"/>
            <w:hideMark/>
          </w:tcPr>
          <w:p w14:paraId="443B7EE7" w14:textId="7CB8D3A2" w:rsidR="0056149C" w:rsidRPr="00B825E1" w:rsidRDefault="00334C16"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Pr>
                <w:rFonts w:eastAsia="Times New Roman" w:cstheme="minorHAnsi"/>
                <w:color w:val="000000"/>
                <w:lang w:eastAsia="en-GB"/>
              </w:rPr>
              <w:instrText xml:space="preserve"> ADDIN ZOTERO_ITEM CSL_CITATION {"citationID":"cz5BAzKa","properties":{"formattedCitation":"\\super 26\\nosupersub{}","plainCitation":"26","noteIndex":0},"citationItems":[{"id":9516,"uris":["http://zotero.org/users/11938866/items/AEKCDZ3W"],"itemData":{"id":9516,"type":"article-journal","abstract":"In the threespot wrasse Halichoeres trimaculatus, sex change of primary males was observed in the field and confirmed by aquarium experiments. In other words, protandry and protogyny coexisted within this species. Moreover, male-to-female-to-male sex change and female-to-male-to-female sex change were observed in aquarium experiments; i.e. reversed sex change occurred in both protandrous and protogynous hermaphrodites. These results suggest that only the direction of sex differentiation before maturation may differ between the two sexual types that have been regarded as a primary male and a protogynous hermaphrodite.","container-title":"Journal of Fish Biology","DOI":"10.1111/j.1095-8649.2007.01464.x","ISSN":"1095-8649","issue":"6","language":"en","license":"2007 The Fisheries Society of the British Isles","note":"_eprint: https://onlinelibrary.wiley.com/doi/pdf/10.1111/j.1095-8649.2007.01464.x","page":"1898-1906","source":"Wiley Online Library","title":"Sex change of primary males in a diandric labrid Halichoeres trimaculatus: coexistence of protandry and protogyny within a species","title-short":"Sex change of primary males in a diandric labrid Halichoeres trimaculatus","volume":"70","author":[{"family":"Kuwamura","given":"T."},{"family":"Suzuki","given":"S."},{"family":"Tanaka","given":"N."},{"family":"Ouchi","given":"E."},{"family":"Karino","given":"K."},{"family":"Nakashima","given":"Y."}],"issued":{"date-parts":[["2007"]]}}}],"schema":"https://github.com/citation-style-language/schema/raw/master/csl-citation.json"} </w:instrText>
            </w:r>
            <w:r>
              <w:rPr>
                <w:rFonts w:eastAsia="Times New Roman" w:cstheme="minorHAnsi"/>
                <w:color w:val="000000"/>
                <w:lang w:eastAsia="en-GB"/>
              </w:rPr>
              <w:fldChar w:fldCharType="separate"/>
            </w:r>
            <w:r w:rsidRPr="00334C16">
              <w:rPr>
                <w:rFonts w:ascii="Calibri" w:cs="Calibri"/>
                <w:color w:val="000000"/>
                <w:vertAlign w:val="superscript"/>
              </w:rPr>
              <w:t>26</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398036A4"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2DB23ED4"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6B823D20"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Lachnolaimus</w:t>
            </w:r>
            <w:proofErr w:type="spellEnd"/>
            <w:r w:rsidRPr="00B825E1">
              <w:rPr>
                <w:rFonts w:eastAsia="Times New Roman" w:cstheme="minorHAnsi"/>
                <w:color w:val="000000"/>
                <w:lang w:eastAsia="en-GB"/>
              </w:rPr>
              <w:t xml:space="preserve"> maximus</w:t>
            </w:r>
          </w:p>
        </w:tc>
        <w:tc>
          <w:tcPr>
            <w:tcW w:w="1476" w:type="dxa"/>
            <w:tcBorders>
              <w:top w:val="nil"/>
              <w:left w:val="nil"/>
              <w:bottom w:val="single" w:sz="4" w:space="0" w:color="000000"/>
              <w:right w:val="single" w:sz="4" w:space="0" w:color="000000"/>
            </w:tcBorders>
            <w:shd w:val="clear" w:color="auto" w:fill="auto"/>
            <w:noWrap/>
            <w:vAlign w:val="bottom"/>
            <w:hideMark/>
          </w:tcPr>
          <w:p w14:paraId="7E6FDC06"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2458C57F"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 xml:space="preserve">Yucatan </w:t>
            </w:r>
            <w:proofErr w:type="spellStart"/>
            <w:r w:rsidRPr="00B825E1">
              <w:rPr>
                <w:rFonts w:eastAsia="Times New Roman" w:cstheme="minorHAnsi"/>
                <w:color w:val="000000"/>
                <w:lang w:eastAsia="en-GB"/>
              </w:rPr>
              <w:t>Penninsula</w:t>
            </w:r>
            <w:proofErr w:type="spellEnd"/>
          </w:p>
        </w:tc>
        <w:tc>
          <w:tcPr>
            <w:tcW w:w="1663" w:type="dxa"/>
            <w:tcBorders>
              <w:top w:val="nil"/>
              <w:left w:val="nil"/>
              <w:bottom w:val="single" w:sz="4" w:space="0" w:color="000000"/>
              <w:right w:val="single" w:sz="4" w:space="0" w:color="000000"/>
            </w:tcBorders>
            <w:shd w:val="clear" w:color="auto" w:fill="auto"/>
            <w:noWrap/>
            <w:vAlign w:val="bottom"/>
            <w:hideMark/>
          </w:tcPr>
          <w:p w14:paraId="7C9D6197"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2.79435484</w:t>
            </w:r>
          </w:p>
        </w:tc>
        <w:tc>
          <w:tcPr>
            <w:tcW w:w="2055" w:type="dxa"/>
            <w:tcBorders>
              <w:top w:val="nil"/>
              <w:left w:val="nil"/>
              <w:bottom w:val="single" w:sz="4" w:space="0" w:color="000000"/>
              <w:right w:val="single" w:sz="4" w:space="0" w:color="000000"/>
            </w:tcBorders>
            <w:shd w:val="clear" w:color="auto" w:fill="auto"/>
            <w:noWrap/>
            <w:vAlign w:val="bottom"/>
            <w:hideMark/>
          </w:tcPr>
          <w:p w14:paraId="3CB5D07F"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0.73645058</w:t>
            </w:r>
          </w:p>
        </w:tc>
        <w:tc>
          <w:tcPr>
            <w:tcW w:w="2298" w:type="dxa"/>
            <w:tcBorders>
              <w:top w:val="nil"/>
              <w:left w:val="nil"/>
              <w:bottom w:val="single" w:sz="4" w:space="0" w:color="000000"/>
              <w:right w:val="single" w:sz="4" w:space="0" w:color="000000"/>
            </w:tcBorders>
            <w:shd w:val="clear" w:color="auto" w:fill="auto"/>
            <w:noWrap/>
            <w:vAlign w:val="bottom"/>
            <w:hideMark/>
          </w:tcPr>
          <w:p w14:paraId="260C6E88"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45F91B71" w14:textId="599BE2BD" w:rsidR="0056149C" w:rsidRPr="00B825E1" w:rsidRDefault="00BB5D87"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1C4E92">
              <w:rPr>
                <w:rFonts w:eastAsia="Times New Roman" w:cstheme="minorHAnsi"/>
                <w:color w:val="000000"/>
                <w:lang w:eastAsia="en-GB"/>
              </w:rPr>
              <w:instrText xml:space="preserve"> ADDIN ZOTERO_ITEM CSL_CITATION {"citationID":"EQ0lrS67","properties":{"formattedCitation":"\\super 27\\nosupersub{}","plainCitation":"27","noteIndex":0},"citationItems":[{"id":9520,"uris":["http://zotero.org/users/11938866/items/SXK52Q6N"],"itemData":{"id":9520,"type":"article","abstract":"Hogfish Lachnolaimus maximus (Walbaum, 1792) is the largest labrid in the Atlantic and a commercially important fish. In previous research, this fish has been defined as a monandric protogynous hermaphrodite, although characterization of hermaphroditism is particularly challenging in labrids. Examination of testicle structure is not always a wholly trustworthy method for distinguishing between diandric species (those with primary and secondary males) and monandric species (only secondary males). In some diandric species, morphological differences in the testes do not occur between primary and secondary males despite functional diandry. The presence of individuals with inactive bisexual gonads and/or of inactive males smaller than the minimum size of sexual maturation is a more dependable criterion for identifying diandry. A histological analysis of the gonads of 1,975 L. maximus specimens (10.3-47.4 cm fork length, FL) from the southern Gulf of Mexico was done. Some individuals were identified that were larger than the size at first maturity (N = 20; 24.8-33.5 cm FL) and had ovotestes atypical of a monandric species. These ovotestes had an internal morphology like ovaries, consisting mostly of inactive ovary tissue in lamellar structure, as well as limited development of active testicular tissue in crypts inside the gonad wall and/or in lobules beneath the gonad wall. Considered to be “bisexual” gonads, their origin and function were evaluated based on published data. Lachnolaimus maximus could be defined as a diandric species if males can differentiate indirectly by sexual inversion of functional females (postmaturational secondary males) or by direct development from the “bisexual” stage (prematurational secondary males). However, no inactive bisexual individuals or inactive males smaller than the size at first maturity were observed. In addition, population structure and overall sex ratio were typical of a monandric protogynous species. The possibility that L. maximus could exhibit diandric hermaphroditism therefore remains hypothetical.","DOI":"10.26028/CYBIUM/2019-431-004","language":"en","publisher":"Cybium","source":"DOI.org (Datacite)","title":"Is hogfish Lachnolaimus maximus (Labridae) a diandric species?","URL":"http://sfi-cybium.fr/fr/hogfish-lachnolaimus-maximus-labridae-diandric-species","author":[{"family":"Brulé","given":"Thierry"},{"family":"Nóh-Quiñones","given":"Virginia Elena"},{"family":"Torres-Villegas","given":"Julián René"},{"family":"Colás-Marrufo","given":"Teresa"}],"accessed":{"date-parts":[["2024",7,5]]},"issued":{"date-parts":[["2019"]]}}}],"schema":"https://github.com/citation-style-language/schema/raw/master/csl-citation.json"} </w:instrText>
            </w:r>
            <w:r>
              <w:rPr>
                <w:rFonts w:eastAsia="Times New Roman" w:cstheme="minorHAnsi"/>
                <w:color w:val="000000"/>
                <w:lang w:eastAsia="en-GB"/>
              </w:rPr>
              <w:fldChar w:fldCharType="separate"/>
            </w:r>
            <w:r w:rsidR="001C4E92" w:rsidRPr="001C4E92">
              <w:rPr>
                <w:rFonts w:ascii="Calibri" w:cs="Calibri"/>
                <w:color w:val="000000"/>
                <w:vertAlign w:val="superscript"/>
              </w:rPr>
              <w:t>27</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009E9532"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6C94FD15"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2A211738"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Cheilinus</w:t>
            </w:r>
            <w:proofErr w:type="spellEnd"/>
            <w:r w:rsidRPr="00B825E1">
              <w:rPr>
                <w:rFonts w:eastAsia="Times New Roman" w:cstheme="minorHAnsi"/>
                <w:color w:val="000000"/>
                <w:lang w:eastAsia="en-GB"/>
              </w:rPr>
              <w:t xml:space="preserve"> undulatus</w:t>
            </w:r>
          </w:p>
        </w:tc>
        <w:tc>
          <w:tcPr>
            <w:tcW w:w="1476" w:type="dxa"/>
            <w:tcBorders>
              <w:top w:val="nil"/>
              <w:left w:val="nil"/>
              <w:bottom w:val="single" w:sz="4" w:space="0" w:color="000000"/>
              <w:right w:val="single" w:sz="4" w:space="0" w:color="000000"/>
            </w:tcBorders>
            <w:shd w:val="clear" w:color="auto" w:fill="auto"/>
            <w:noWrap/>
            <w:vAlign w:val="bottom"/>
            <w:hideMark/>
          </w:tcPr>
          <w:p w14:paraId="52848EC4"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Labridae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4265E3B9"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Palau</w:t>
            </w:r>
          </w:p>
        </w:tc>
        <w:tc>
          <w:tcPr>
            <w:tcW w:w="1663" w:type="dxa"/>
            <w:tcBorders>
              <w:top w:val="nil"/>
              <w:left w:val="nil"/>
              <w:bottom w:val="single" w:sz="4" w:space="0" w:color="000000"/>
              <w:right w:val="single" w:sz="4" w:space="0" w:color="000000"/>
            </w:tcBorders>
            <w:shd w:val="clear" w:color="auto" w:fill="auto"/>
            <w:noWrap/>
            <w:vAlign w:val="bottom"/>
            <w:hideMark/>
          </w:tcPr>
          <w:p w14:paraId="59DE06F9"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8</w:t>
            </w:r>
          </w:p>
        </w:tc>
        <w:tc>
          <w:tcPr>
            <w:tcW w:w="2055" w:type="dxa"/>
            <w:tcBorders>
              <w:top w:val="nil"/>
              <w:left w:val="nil"/>
              <w:bottom w:val="single" w:sz="4" w:space="0" w:color="000000"/>
              <w:right w:val="single" w:sz="4" w:space="0" w:color="000000"/>
            </w:tcBorders>
            <w:shd w:val="clear" w:color="auto" w:fill="auto"/>
            <w:noWrap/>
            <w:vAlign w:val="bottom"/>
            <w:hideMark/>
          </w:tcPr>
          <w:p w14:paraId="35BE6556"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0.88888889</w:t>
            </w:r>
          </w:p>
        </w:tc>
        <w:tc>
          <w:tcPr>
            <w:tcW w:w="2298" w:type="dxa"/>
            <w:tcBorders>
              <w:top w:val="nil"/>
              <w:left w:val="nil"/>
              <w:bottom w:val="single" w:sz="4" w:space="0" w:color="000000"/>
              <w:right w:val="single" w:sz="4" w:space="0" w:color="000000"/>
            </w:tcBorders>
            <w:shd w:val="clear" w:color="auto" w:fill="auto"/>
            <w:noWrap/>
            <w:vAlign w:val="bottom"/>
            <w:hideMark/>
          </w:tcPr>
          <w:p w14:paraId="644256C7"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6007F585" w14:textId="4C565449" w:rsidR="0056149C" w:rsidRPr="00B825E1" w:rsidRDefault="00343AC4"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BD525F">
              <w:rPr>
                <w:rFonts w:eastAsia="Times New Roman" w:cstheme="minorHAnsi"/>
                <w:color w:val="000000"/>
                <w:lang w:eastAsia="en-GB"/>
              </w:rPr>
              <w:instrText xml:space="preserve"> ADDIN ZOTERO_ITEM CSL_CITATION {"citationID":"g49NJu78","properties":{"formattedCitation":"\\super 28\\nosupersub{}","plainCitation":"28","noteIndex":0},"citationItems":[{"id":9521,"uris":["http://zotero.org/users/11938866/items/CQZDBBUJ"],"itemData":{"id":9521,"type":"article-journal","abstract":"The humphead wrasse Cheilinus undulatus formed resident spawning aggregations daily after high tide at specific locations along the seaward edge of the Palau barrier reef. The location and extent of one aggregation site remained consistent for 6 years with no physical features distinguishing it from adjacent areas. Spawning was documented most months and probably occurred year round with possible seasonal and lunar variation. Spawning males arrived first at the site, followed by females and potentially small primary males. The aggregation female to male sex ratio was estimated to be between 6:1 and 10:1. A maximum of 15 males and 100–150 females were observed at the site. A male courtship posture with the anal fin pointed, the caudal fin folded down and the dorsal fin folded against the body was maintained while swimming a few metres off the bottom in view of females. When ready to spawn females rose up as the posturing male passed and the pair released gametes in a relatively sedate fashion near the surface along the shelf break. No attempted predation on spawning adults was seen. Egg predation after spawning was uncommon. On days with early to mid-day high tides the spawning period started 2·0–2·5 h after high tide when the speed of lagoon–ocean tidal currents peaked and lasted c. 1 h. On days with later afternoon high tides, spawning occurred sooner after high tide and before current speeds peaked. Other fishes with planktonic eggs spawned at the site as pairs or small groups in a rough succession after high tide with C. undulatus, the last species to spawn.","container-title":"Journal of Fish Biology","DOI":"10.1111/j.1095-8649.2010.02553.x","ISSN":"1095-8649","issue":"4","language":"en","license":"© 2010 The Author. Journal compilation © 2010 The Fisheries Society of the British Isles","note":"_eprint: https://onlinelibrary.wiley.com/doi/pdf/10.1111/j.1095-8649.2010.02553.x","page":"987-1007","source":"Wiley Online Library","title":"Aggregation and spawning of the humphead wrasse Cheilinus undulatus (Pisces: Labridae): general aspects of spawning behaviour","title-short":"Aggregation and spawning of the humphead wrasse Cheilinus undulatus (Pisces","volume":"76","author":[{"family":"Colin","given":"P. L."}],"issued":{"date-parts":[["2010"]]}}}],"schema":"https://github.com/citation-style-language/schema/raw/master/csl-citation.json"} </w:instrText>
            </w:r>
            <w:r>
              <w:rPr>
                <w:rFonts w:eastAsia="Times New Roman" w:cstheme="minorHAnsi"/>
                <w:color w:val="000000"/>
                <w:lang w:eastAsia="en-GB"/>
              </w:rPr>
              <w:fldChar w:fldCharType="separate"/>
            </w:r>
            <w:r w:rsidR="00BD525F" w:rsidRPr="00BD525F">
              <w:rPr>
                <w:rFonts w:ascii="Calibri" w:cs="Calibri"/>
                <w:color w:val="000000"/>
                <w:vertAlign w:val="superscript"/>
              </w:rPr>
              <w:t>28</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2C62D85E"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Visual surveys</w:t>
            </w:r>
          </w:p>
        </w:tc>
      </w:tr>
      <w:tr w:rsidR="0056149C" w:rsidRPr="00B825E1" w14:paraId="387B42CA"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2ABE028B"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Neocirrhites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armatus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56746856"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Cirrhitidae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4AD37CEA"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GBR</w:t>
            </w:r>
          </w:p>
        </w:tc>
        <w:tc>
          <w:tcPr>
            <w:tcW w:w="1663" w:type="dxa"/>
            <w:tcBorders>
              <w:top w:val="nil"/>
              <w:left w:val="nil"/>
              <w:bottom w:val="single" w:sz="4" w:space="0" w:color="000000"/>
              <w:right w:val="single" w:sz="4" w:space="0" w:color="000000"/>
            </w:tcBorders>
            <w:shd w:val="clear" w:color="auto" w:fill="auto"/>
            <w:noWrap/>
            <w:vAlign w:val="bottom"/>
            <w:hideMark/>
          </w:tcPr>
          <w:p w14:paraId="2E6BF666"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1.75</w:t>
            </w:r>
          </w:p>
        </w:tc>
        <w:tc>
          <w:tcPr>
            <w:tcW w:w="2055" w:type="dxa"/>
            <w:tcBorders>
              <w:top w:val="nil"/>
              <w:left w:val="nil"/>
              <w:bottom w:val="single" w:sz="4" w:space="0" w:color="000000"/>
              <w:right w:val="single" w:sz="4" w:space="0" w:color="000000"/>
            </w:tcBorders>
            <w:shd w:val="clear" w:color="auto" w:fill="auto"/>
            <w:noWrap/>
            <w:vAlign w:val="bottom"/>
            <w:hideMark/>
          </w:tcPr>
          <w:p w14:paraId="7ED87547"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0.63636364</w:t>
            </w:r>
          </w:p>
        </w:tc>
        <w:tc>
          <w:tcPr>
            <w:tcW w:w="2298" w:type="dxa"/>
            <w:tcBorders>
              <w:top w:val="nil"/>
              <w:left w:val="nil"/>
              <w:bottom w:val="single" w:sz="4" w:space="0" w:color="000000"/>
              <w:right w:val="single" w:sz="4" w:space="0" w:color="000000"/>
            </w:tcBorders>
            <w:shd w:val="clear" w:color="auto" w:fill="auto"/>
            <w:noWrap/>
            <w:vAlign w:val="bottom"/>
            <w:hideMark/>
          </w:tcPr>
          <w:p w14:paraId="511816E8"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2433B4B3" w14:textId="26EC5661" w:rsidR="0056149C" w:rsidRPr="00B825E1" w:rsidRDefault="00C70171"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Pr>
                <w:rFonts w:eastAsia="Times New Roman" w:cstheme="minorHAnsi"/>
                <w:color w:val="000000"/>
                <w:lang w:eastAsia="en-GB"/>
              </w:rPr>
              <w:instrText xml:space="preserve"> ADDIN ZOTERO_ITEM CSL_CITATION {"citationID":"PYsxIuor","properties":{"formattedCitation":"\\super 29\\nosupersub{}","plainCitation":"29","noteIndex":0},"citationItems":[{"id":9524,"uris":["http://zotero.org/users/11938866/items/5WG4BWB8"],"itemData":{"id":9524,"type":"article-journal","abstract":"We examined the gonads of eight species in five genera of hawkfishes. Histological preparations of ovaries and testes produced evidence for protogynous hermaphroditism inNeocirrhites armatus and suggested that hermaphroditism may also be expressed inCirrhitichthys oxycephalus, C. aprinus andC. falco, and possibly also by other species. Sexual patterns in hawkfishes are discussed in relation to environmental and ecological factors which influence mobility and length of spawning season.","container-title":"Environmental Biology of Fishes","DOI":"10.1007/BF00001992","ISSN":"1573-5133","issue":"2","journalAbbreviation":"Environ Biol Fish","language":"en","page":"143-150","source":"Springer Link","title":"Sexual pattern ofNeocirrhites armatus (Cirrhitidae) with notes on other hawkish species","volume":"42","author":[{"family":"Sadovy","given":"Yvonne"},{"family":"Donaldson","given":"Terry J."}],"issued":{"date-parts":[["1995",2,1]]}}}],"schema":"https://github.com/citation-style-language/schema/raw/master/csl-citation.json"} </w:instrText>
            </w:r>
            <w:r>
              <w:rPr>
                <w:rFonts w:eastAsia="Times New Roman" w:cstheme="minorHAnsi"/>
                <w:color w:val="000000"/>
                <w:lang w:eastAsia="en-GB"/>
              </w:rPr>
              <w:fldChar w:fldCharType="separate"/>
            </w:r>
            <w:r w:rsidRPr="00C70171">
              <w:rPr>
                <w:rFonts w:ascii="Calibri" w:cs="Calibri"/>
                <w:color w:val="000000"/>
                <w:vertAlign w:val="superscript"/>
              </w:rPr>
              <w:t>29</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6EA7F883"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799C4ECC"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6BBE0DE8"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Parapercis</w:t>
            </w:r>
            <w:proofErr w:type="spellEnd"/>
            <w:r w:rsidRPr="00B825E1">
              <w:rPr>
                <w:rFonts w:eastAsia="Times New Roman" w:cstheme="minorHAnsi"/>
                <w:color w:val="000000"/>
                <w:lang w:eastAsia="en-GB"/>
              </w:rPr>
              <w:t xml:space="preserve"> cylindrica</w:t>
            </w:r>
          </w:p>
        </w:tc>
        <w:tc>
          <w:tcPr>
            <w:tcW w:w="1476" w:type="dxa"/>
            <w:tcBorders>
              <w:top w:val="nil"/>
              <w:left w:val="nil"/>
              <w:bottom w:val="single" w:sz="4" w:space="0" w:color="000000"/>
              <w:right w:val="single" w:sz="4" w:space="0" w:color="000000"/>
            </w:tcBorders>
            <w:shd w:val="clear" w:color="auto" w:fill="auto"/>
            <w:noWrap/>
            <w:vAlign w:val="bottom"/>
            <w:hideMark/>
          </w:tcPr>
          <w:p w14:paraId="752864E7"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Pinguipedidae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29B3FA37"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GBR</w:t>
            </w:r>
          </w:p>
        </w:tc>
        <w:tc>
          <w:tcPr>
            <w:tcW w:w="1663" w:type="dxa"/>
            <w:tcBorders>
              <w:top w:val="nil"/>
              <w:left w:val="nil"/>
              <w:bottom w:val="single" w:sz="4" w:space="0" w:color="000000"/>
              <w:right w:val="single" w:sz="4" w:space="0" w:color="000000"/>
            </w:tcBorders>
            <w:shd w:val="clear" w:color="auto" w:fill="auto"/>
            <w:noWrap/>
            <w:vAlign w:val="bottom"/>
            <w:hideMark/>
          </w:tcPr>
          <w:p w14:paraId="7892D30A"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6</w:t>
            </w:r>
          </w:p>
        </w:tc>
        <w:tc>
          <w:tcPr>
            <w:tcW w:w="2055" w:type="dxa"/>
            <w:tcBorders>
              <w:top w:val="nil"/>
              <w:left w:val="nil"/>
              <w:bottom w:val="single" w:sz="4" w:space="0" w:color="000000"/>
              <w:right w:val="single" w:sz="4" w:space="0" w:color="000000"/>
            </w:tcBorders>
            <w:shd w:val="clear" w:color="auto" w:fill="auto"/>
            <w:noWrap/>
            <w:vAlign w:val="bottom"/>
            <w:hideMark/>
          </w:tcPr>
          <w:p w14:paraId="33B71647"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0.85714286</w:t>
            </w:r>
          </w:p>
        </w:tc>
        <w:tc>
          <w:tcPr>
            <w:tcW w:w="2298" w:type="dxa"/>
            <w:tcBorders>
              <w:top w:val="nil"/>
              <w:left w:val="nil"/>
              <w:bottom w:val="single" w:sz="4" w:space="0" w:color="000000"/>
              <w:right w:val="single" w:sz="4" w:space="0" w:color="000000"/>
            </w:tcBorders>
            <w:shd w:val="clear" w:color="auto" w:fill="auto"/>
            <w:noWrap/>
            <w:vAlign w:val="bottom"/>
            <w:hideMark/>
          </w:tcPr>
          <w:p w14:paraId="11DE6E00"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1D2E9F10" w14:textId="53BA8341" w:rsidR="0056149C" w:rsidRPr="00B825E1" w:rsidRDefault="009B5D7B"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Pr>
                <w:rFonts w:eastAsia="Times New Roman" w:cstheme="minorHAnsi"/>
                <w:color w:val="000000"/>
                <w:lang w:eastAsia="en-GB"/>
              </w:rPr>
              <w:instrText xml:space="preserve"> ADDIN ZOTERO_ITEM CSL_CITATION {"citationID":"TScC9li9","properties":{"formattedCitation":"\\super 30\\nosupersub{}","plainCitation":"30","noteIndex":0},"citationItems":[{"id":9526,"uris":["http://zotero.org/users/11938866/items/CAEGQ7H4"],"itemData":{"id":9526,"type":"article-journal","abstract":"Growth of the haremic sandperch Parapercis cylindrica (family Pinguipedidae) was examined in relation to sex change using otolith microstructure and gonad histology. The influence of previous growth history on the timing of sex\nchange and which individuals underwent sex change were also explored. Examination of otolith increments shows that P. cylindrica has a maximum longevity of 411 d, which is reduced in a lower latitude population. P. cylindrica\nis a monandric hermaphrodite, with males being larger than females at any given age. An abrupt optical discontinuity or Œcheck¹ on sagittal cross-sections was found to be associated with sex change. This check appears to be formed at the initiation of sex\nchange. Growth rate following sex change, inferred from otolith increment widths, increased markedly and more than doubled in some individuals. Individuals retained accelerated growth for a period of up to 30 d, after which time growth rate declined.\nLarval growth, relative size at metamorphosis, juvenile growth, and female growth (all determined from otolith microstructure), did not influence which individuals changed sex, or the timing of their sex change. Evidence suggests that sex change and\nsubsequent growth acceleration in these haremic fish are influenced by the strong size-based social hierarchy in which they live.","container-title":"Marine Ecology Progress Series","DOI":"10.3354/meps266201","ISSN":"0171-8630, 1616-1599","language":"en","page":"201-212","source":"www.int-res.com","title":"Otolith-check formation and accelerated growth associated with sex change in an annual protogynous tropical fish","volume":"266","author":[{"family":"Walker","given":"Stefan P. W."},{"family":"McCormick","given":"Mark I."}],"issued":{"date-parts":[["2004",1,30]]}}}],"schema":"https://github.com/citation-style-language/schema/raw/master/csl-citation.json"} </w:instrText>
            </w:r>
            <w:r>
              <w:rPr>
                <w:rFonts w:eastAsia="Times New Roman" w:cstheme="minorHAnsi"/>
                <w:color w:val="000000"/>
                <w:lang w:eastAsia="en-GB"/>
              </w:rPr>
              <w:fldChar w:fldCharType="separate"/>
            </w:r>
            <w:r w:rsidRPr="009B5D7B">
              <w:rPr>
                <w:rFonts w:ascii="Calibri" w:cs="Calibri"/>
                <w:color w:val="000000"/>
                <w:vertAlign w:val="superscript"/>
              </w:rPr>
              <w:t>30</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2098F0F8"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Visual surveys</w:t>
            </w:r>
          </w:p>
        </w:tc>
      </w:tr>
      <w:tr w:rsidR="0056149C" w:rsidRPr="00B825E1" w14:paraId="3602857F"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7C87D101"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Acanthopagrus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berda</w:t>
            </w:r>
            <w:proofErr w:type="spellEnd"/>
            <w:r w:rsidRPr="00B825E1">
              <w:rPr>
                <w:rFonts w:eastAsia="Times New Roman" w:cstheme="minorHAnsi"/>
                <w:color w:val="000000"/>
                <w:lang w:eastAsia="en-GB"/>
              </w:rPr>
              <w:t xml:space="preserve"> </w:t>
            </w:r>
          </w:p>
        </w:tc>
        <w:tc>
          <w:tcPr>
            <w:tcW w:w="1476" w:type="dxa"/>
            <w:tcBorders>
              <w:top w:val="nil"/>
              <w:left w:val="nil"/>
              <w:bottom w:val="single" w:sz="4" w:space="0" w:color="000000"/>
              <w:right w:val="single" w:sz="4" w:space="0" w:color="000000"/>
            </w:tcBorders>
            <w:shd w:val="clear" w:color="auto" w:fill="auto"/>
            <w:noWrap/>
            <w:vAlign w:val="bottom"/>
            <w:hideMark/>
          </w:tcPr>
          <w:p w14:paraId="016A1EF5"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Sparidae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5F325FC3"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Kearla</w:t>
            </w:r>
            <w:proofErr w:type="spellEnd"/>
            <w:r w:rsidRPr="00B825E1">
              <w:rPr>
                <w:rFonts w:eastAsia="Times New Roman" w:cstheme="minorHAnsi"/>
                <w:color w:val="000000"/>
                <w:lang w:eastAsia="en-GB"/>
              </w:rPr>
              <w:t>, India</w:t>
            </w:r>
          </w:p>
        </w:tc>
        <w:tc>
          <w:tcPr>
            <w:tcW w:w="1663" w:type="dxa"/>
            <w:tcBorders>
              <w:top w:val="nil"/>
              <w:left w:val="nil"/>
              <w:bottom w:val="single" w:sz="4" w:space="0" w:color="000000"/>
              <w:right w:val="single" w:sz="4" w:space="0" w:color="000000"/>
            </w:tcBorders>
            <w:shd w:val="clear" w:color="auto" w:fill="auto"/>
            <w:noWrap/>
            <w:vAlign w:val="bottom"/>
            <w:hideMark/>
          </w:tcPr>
          <w:p w14:paraId="2A90B5FA"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1.21014493</w:t>
            </w:r>
          </w:p>
        </w:tc>
        <w:tc>
          <w:tcPr>
            <w:tcW w:w="2055" w:type="dxa"/>
            <w:tcBorders>
              <w:top w:val="nil"/>
              <w:left w:val="nil"/>
              <w:bottom w:val="single" w:sz="4" w:space="0" w:color="000000"/>
              <w:right w:val="single" w:sz="4" w:space="0" w:color="000000"/>
            </w:tcBorders>
            <w:shd w:val="clear" w:color="auto" w:fill="auto"/>
            <w:noWrap/>
            <w:vAlign w:val="bottom"/>
            <w:hideMark/>
          </w:tcPr>
          <w:p w14:paraId="0CA1F99C"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0.54754098</w:t>
            </w:r>
          </w:p>
        </w:tc>
        <w:tc>
          <w:tcPr>
            <w:tcW w:w="2298" w:type="dxa"/>
            <w:tcBorders>
              <w:top w:val="nil"/>
              <w:left w:val="nil"/>
              <w:bottom w:val="single" w:sz="4" w:space="0" w:color="000000"/>
              <w:right w:val="single" w:sz="4" w:space="0" w:color="000000"/>
            </w:tcBorders>
            <w:shd w:val="clear" w:color="auto" w:fill="auto"/>
            <w:noWrap/>
            <w:vAlign w:val="bottom"/>
            <w:hideMark/>
          </w:tcPr>
          <w:p w14:paraId="3CF19B95"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Protandrous</w:t>
            </w:r>
          </w:p>
        </w:tc>
        <w:tc>
          <w:tcPr>
            <w:tcW w:w="1871" w:type="dxa"/>
            <w:tcBorders>
              <w:top w:val="nil"/>
              <w:left w:val="nil"/>
              <w:bottom w:val="single" w:sz="4" w:space="0" w:color="000000"/>
              <w:right w:val="single" w:sz="4" w:space="0" w:color="000000"/>
            </w:tcBorders>
            <w:shd w:val="clear" w:color="auto" w:fill="auto"/>
            <w:noWrap/>
            <w:vAlign w:val="bottom"/>
            <w:hideMark/>
          </w:tcPr>
          <w:p w14:paraId="1BEA68AA" w14:textId="27FB12D1" w:rsidR="0056149C" w:rsidRPr="00B825E1" w:rsidRDefault="009848A5"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Pr>
                <w:rFonts w:eastAsia="Times New Roman" w:cstheme="minorHAnsi"/>
                <w:color w:val="000000"/>
                <w:lang w:eastAsia="en-GB"/>
              </w:rPr>
              <w:instrText xml:space="preserve"> ADDIN ZOTERO_ITEM CSL_CITATION {"citationID":"JwHbiBFh","properties":{"formattedCitation":"\\super 31\\nosupersub{}","plainCitation":"31","noteIndex":0},"citationItems":[{"id":9530,"uris":["http://zotero.org/users/11938866/items/6LIPAF6G"],"itemData":{"id":9530,"type":"article-journal","abstract":"The annual reproductive cycle of picnic seabream, Acanthopagrus berda (Forsskål, 1775), one of the potential aquaculture candidate from estuarine waters of Calicut, Kerala (India) was studied. Based on the morphological and histological studies, the ovotestes of A. berda were classified as active male, active female, inactive male, inactive female, transitional and undifferentiated. Histological observation of transitional gonads showed signs of degeneration in the testicular lobe, proliferation of connective tissue and empty sperm ducts indicating protandrous hermaphroditism in A. berda. Ovary was classified into seven maturity stages (virgin, developing virgin, developing, maturing, mature, running, spent) and testis into five maturity stages (resting, maturing, mature, running, spent). Gonadal development in A. berda indicated resting phase (February–July), pre-spawning phase (March–August) and spawning phase (August–December). Inactive (24.6%) and active males (21.6%) were observed as dominant in smaller length classes (140–250 mm TL), whereas inactive (18%) and active females (51%) were observed as dominant in larger length classes (251–450 mm TL). Few primary females (28.1%) were observed in smaller (below 250 mm TL) and few primary males (28.5%) were observed in larger length classes (above 250 mm TL). From the present study, it can be concluded that in A. berda, most of the individuals function first as males and then change sex to female, but few continue to function as either male or female throughout their lifespan indicating digynous protandrous hermaphroditism.","container-title":"Aquaculture Research","DOI":"10.1111/are.14246","ISSN":"1365-2109","issue":"10","language":"en","license":"© 2019 John Wiley &amp; Sons Ltd","note":"_eprint: https://onlinelibrary.wiley.com/doi/pdf/10.1111/are.14246","page":"2917-2931","source":"Wiley Online Library","title":"The annual reproductive cycle and sex inversion of the Picnic seabream, Acanthopagrus berda (Forsskål 1775) from Indian waters: Histological and morphometric description","title-short":"The annual reproductive cycle and sex inversion of the Picnic seabream, Acanthopagrus berda (Forsskål 1775) from Indian waters","volume":"50","author":[{"family":"Madathampady Thomas","given":"Shilta"},{"family":"Padinhate Purayil","given":"Suresh Babu"},{"family":"Narinder Kumar","given":"Chadha"},{"family":"Pillaru Kandiyil","given":"Asokan"},{"family":"Kavungal","given":"Vinod"},{"family":"Joseph","given":"Imelda"},{"family":"Banerjee Sawant","given":"Paramita"},{"family":"Abhijith","given":"Ramya"}],"issued":{"date-parts":[["2019"]]}}}],"schema":"https://github.com/citation-style-language/schema/raw/master/csl-citation.json"} </w:instrText>
            </w:r>
            <w:r>
              <w:rPr>
                <w:rFonts w:eastAsia="Times New Roman" w:cstheme="minorHAnsi"/>
                <w:color w:val="000000"/>
                <w:lang w:eastAsia="en-GB"/>
              </w:rPr>
              <w:fldChar w:fldCharType="separate"/>
            </w:r>
            <w:r w:rsidRPr="009848A5">
              <w:rPr>
                <w:rFonts w:ascii="Calibri" w:cs="Calibri"/>
                <w:color w:val="000000"/>
                <w:vertAlign w:val="superscript"/>
              </w:rPr>
              <w:t>31</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0ABE0AD1"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r w:rsidR="0056149C" w:rsidRPr="00B825E1" w14:paraId="10E02D6C" w14:textId="77777777" w:rsidTr="00105FF5">
        <w:trPr>
          <w:trHeight w:val="320"/>
        </w:trPr>
        <w:tc>
          <w:tcPr>
            <w:tcW w:w="1696" w:type="dxa"/>
            <w:tcBorders>
              <w:top w:val="nil"/>
              <w:left w:val="single" w:sz="4" w:space="0" w:color="000000"/>
              <w:bottom w:val="single" w:sz="4" w:space="0" w:color="000000"/>
              <w:right w:val="single" w:sz="4" w:space="0" w:color="000000"/>
            </w:tcBorders>
            <w:shd w:val="clear" w:color="auto" w:fill="auto"/>
            <w:noWrap/>
            <w:vAlign w:val="bottom"/>
            <w:hideMark/>
          </w:tcPr>
          <w:p w14:paraId="19C8202C"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Diplodus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sargus</w:t>
            </w:r>
            <w:proofErr w:type="spellEnd"/>
            <w:r w:rsidRPr="00B825E1">
              <w:rPr>
                <w:rFonts w:eastAsia="Times New Roman" w:cstheme="minorHAnsi"/>
                <w:color w:val="000000"/>
                <w:lang w:eastAsia="en-GB"/>
              </w:rPr>
              <w:t xml:space="preserve"> </w:t>
            </w:r>
            <w:proofErr w:type="spellStart"/>
            <w:r w:rsidRPr="00B825E1">
              <w:rPr>
                <w:rFonts w:eastAsia="Times New Roman" w:cstheme="minorHAnsi"/>
                <w:color w:val="000000"/>
                <w:lang w:eastAsia="en-GB"/>
              </w:rPr>
              <w:t>sargus</w:t>
            </w:r>
            <w:proofErr w:type="spellEnd"/>
          </w:p>
        </w:tc>
        <w:tc>
          <w:tcPr>
            <w:tcW w:w="1476" w:type="dxa"/>
            <w:tcBorders>
              <w:top w:val="nil"/>
              <w:left w:val="nil"/>
              <w:bottom w:val="single" w:sz="4" w:space="0" w:color="000000"/>
              <w:right w:val="single" w:sz="4" w:space="0" w:color="000000"/>
            </w:tcBorders>
            <w:shd w:val="clear" w:color="auto" w:fill="auto"/>
            <w:noWrap/>
            <w:vAlign w:val="bottom"/>
            <w:hideMark/>
          </w:tcPr>
          <w:p w14:paraId="2D86F2F4" w14:textId="77777777" w:rsidR="0056149C" w:rsidRPr="00B825E1" w:rsidRDefault="0056149C" w:rsidP="00B825E1">
            <w:pPr>
              <w:spacing w:after="0" w:line="240" w:lineRule="auto"/>
              <w:rPr>
                <w:rFonts w:eastAsia="Times New Roman" w:cstheme="minorHAnsi"/>
                <w:color w:val="000000"/>
                <w:lang w:eastAsia="en-GB"/>
              </w:rPr>
            </w:pPr>
            <w:proofErr w:type="spellStart"/>
            <w:r w:rsidRPr="00B825E1">
              <w:rPr>
                <w:rFonts w:eastAsia="Times New Roman" w:cstheme="minorHAnsi"/>
                <w:color w:val="000000"/>
                <w:lang w:eastAsia="en-GB"/>
              </w:rPr>
              <w:t>Sparidae</w:t>
            </w:r>
            <w:proofErr w:type="spellEnd"/>
          </w:p>
        </w:tc>
        <w:tc>
          <w:tcPr>
            <w:tcW w:w="1185" w:type="dxa"/>
            <w:tcBorders>
              <w:top w:val="nil"/>
              <w:left w:val="nil"/>
              <w:bottom w:val="single" w:sz="4" w:space="0" w:color="000000"/>
              <w:right w:val="single" w:sz="4" w:space="0" w:color="000000"/>
            </w:tcBorders>
            <w:shd w:val="clear" w:color="auto" w:fill="auto"/>
            <w:noWrap/>
            <w:vAlign w:val="bottom"/>
            <w:hideMark/>
          </w:tcPr>
          <w:p w14:paraId="2D23529C"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Gulf of Tunis</w:t>
            </w:r>
          </w:p>
        </w:tc>
        <w:tc>
          <w:tcPr>
            <w:tcW w:w="1663" w:type="dxa"/>
            <w:tcBorders>
              <w:top w:val="nil"/>
              <w:left w:val="nil"/>
              <w:bottom w:val="single" w:sz="4" w:space="0" w:color="000000"/>
              <w:right w:val="single" w:sz="4" w:space="0" w:color="000000"/>
            </w:tcBorders>
            <w:shd w:val="clear" w:color="auto" w:fill="auto"/>
            <w:noWrap/>
            <w:vAlign w:val="bottom"/>
            <w:hideMark/>
          </w:tcPr>
          <w:p w14:paraId="3F24E797"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2.24324324</w:t>
            </w:r>
          </w:p>
        </w:tc>
        <w:tc>
          <w:tcPr>
            <w:tcW w:w="2055" w:type="dxa"/>
            <w:tcBorders>
              <w:top w:val="nil"/>
              <w:left w:val="nil"/>
              <w:bottom w:val="single" w:sz="4" w:space="0" w:color="000000"/>
              <w:right w:val="single" w:sz="4" w:space="0" w:color="000000"/>
            </w:tcBorders>
            <w:shd w:val="clear" w:color="auto" w:fill="auto"/>
            <w:noWrap/>
            <w:vAlign w:val="bottom"/>
            <w:hideMark/>
          </w:tcPr>
          <w:p w14:paraId="05D5592F" w14:textId="77777777" w:rsidR="0056149C" w:rsidRPr="00B825E1" w:rsidRDefault="0056149C" w:rsidP="00B825E1">
            <w:pPr>
              <w:spacing w:after="0" w:line="240" w:lineRule="auto"/>
              <w:jc w:val="right"/>
              <w:rPr>
                <w:rFonts w:eastAsia="Times New Roman" w:cstheme="minorHAnsi"/>
                <w:color w:val="000000"/>
                <w:lang w:eastAsia="en-GB"/>
              </w:rPr>
            </w:pPr>
            <w:r w:rsidRPr="00B825E1">
              <w:rPr>
                <w:rFonts w:eastAsia="Times New Roman" w:cstheme="minorHAnsi"/>
                <w:color w:val="000000"/>
                <w:lang w:eastAsia="en-GB"/>
              </w:rPr>
              <w:t>0.69166667</w:t>
            </w:r>
          </w:p>
        </w:tc>
        <w:tc>
          <w:tcPr>
            <w:tcW w:w="2298" w:type="dxa"/>
            <w:tcBorders>
              <w:top w:val="nil"/>
              <w:left w:val="nil"/>
              <w:bottom w:val="single" w:sz="4" w:space="0" w:color="000000"/>
              <w:right w:val="single" w:sz="4" w:space="0" w:color="000000"/>
            </w:tcBorders>
            <w:shd w:val="clear" w:color="auto" w:fill="auto"/>
            <w:noWrap/>
            <w:vAlign w:val="bottom"/>
            <w:hideMark/>
          </w:tcPr>
          <w:p w14:paraId="64CB24EE"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Protogynous</w:t>
            </w:r>
          </w:p>
        </w:tc>
        <w:tc>
          <w:tcPr>
            <w:tcW w:w="1871" w:type="dxa"/>
            <w:tcBorders>
              <w:top w:val="nil"/>
              <w:left w:val="nil"/>
              <w:bottom w:val="single" w:sz="4" w:space="0" w:color="000000"/>
              <w:right w:val="single" w:sz="4" w:space="0" w:color="000000"/>
            </w:tcBorders>
            <w:shd w:val="clear" w:color="auto" w:fill="auto"/>
            <w:noWrap/>
            <w:vAlign w:val="bottom"/>
            <w:hideMark/>
          </w:tcPr>
          <w:p w14:paraId="6054BBE4" w14:textId="208D1F1C" w:rsidR="0056149C" w:rsidRPr="00B825E1" w:rsidRDefault="00AD2BB3" w:rsidP="00B825E1">
            <w:pPr>
              <w:spacing w:after="0" w:line="240" w:lineRule="auto"/>
              <w:rPr>
                <w:rFonts w:eastAsia="Times New Roman" w:cstheme="minorHAnsi"/>
                <w:color w:val="000000"/>
                <w:lang w:eastAsia="en-GB"/>
              </w:rPr>
            </w:pPr>
            <w:r>
              <w:rPr>
                <w:rFonts w:eastAsia="Times New Roman" w:cstheme="minorHAnsi"/>
                <w:color w:val="000000"/>
                <w:lang w:eastAsia="en-GB"/>
              </w:rPr>
              <w:fldChar w:fldCharType="begin"/>
            </w:r>
            <w:r w:rsidR="009848A5">
              <w:rPr>
                <w:rFonts w:eastAsia="Times New Roman" w:cstheme="minorHAnsi"/>
                <w:color w:val="000000"/>
                <w:lang w:eastAsia="en-GB"/>
              </w:rPr>
              <w:instrText xml:space="preserve"> ADDIN ZOTERO_ITEM CSL_CITATION {"citationID":"KM8Vzfu2","properties":{"formattedCitation":"\\super 32\\nosupersub{}","plainCitation":"32","noteIndex":0},"citationItems":[{"id":9533,"uris":["http://zotero.org/users/11938866/items/QXV4C4XN"],"itemData":{"id":9533,"type":"article-journal","abstract":"The reproductive features of four commercially important species of the Diplodus genus were studied in the Gulf of Tunis to contribute to better fisheries management on the local scale. The study was specifically aimed to estimate sex-ratio and size at first maturity, to determine spawning season, to analyse hepatic and muscular energy reserve changes and to highlight possible regional difference over the Diplodus geographical distribution. A total of 570 Diplodus vulgaris (two-banded seabream), 428 Diplodus annularis (annular seabream), 350 Diplodus sargus sargus (white seabream) and 218 Diplodus puntazzo (sharpsnout seabream) were collected from the commercial catches of the artisanal fleet between October 2004 and June 2006. Male:female ratio was initially skewed in favour of females for the four Diplodus species and especially among larger-sized individuals. Length and age at first maturity was 17.4 ± 0.2 cm total length (TL) (4 years) for D. vulgaris, 9.7 cm TL (2 years) for D. annularis, 21.0 ± 0.3 cm TL (4 years) for D. s. sargus, 21.5 ± 0.2 cm TL (3 years) for D. puntazzo and a recommendation is made for the increasing of the captured length. According to the monthly succession of gonad maturity stages and the yearly gonadosomatic index (GSI) fluctuation, the spawning season of Diplodus species present a temporal succession along the year. The two-banded seabream has a winter spawning period, the white seabream is mainly a spring spawner, the annular seabream spawns essentially in summer months and the spawning of sharpsnout seabream takes place in autumn. Generally, hepatosomatic index presented an inverse trend to GSI in relation to the breeding activity. The condition factor showed significant monthly variations affected by the sexual cycle of the Diplodus species.","container-title":"Journal of the Marine Biological Association of the United Kingdom","DOI":"10.1017/S0025315411000798","ISSN":"1469-7769, 0025-3154","issue":"3","language":"en","page":"623-631","source":"Cambridge University Press","title":"Reproductive biology of four Diplodus species Diplodus vulgaris, D. annularis, D. sargus sargus and D. puntazzo (Sparidae) in the Gulf of Tunis (central Mediterranean)","volume":"92","author":[{"family":"Mouine","given":"N."},{"family":"Francour","given":"P."},{"family":"Ktari","given":"M. H."},{"family":"Chakroun-Marzouk","given":"N."}],"issued":{"date-parts":[["2012",5]]}}}],"schema":"https://github.com/citation-style-language/schema/raw/master/csl-citation.json"} </w:instrText>
            </w:r>
            <w:r>
              <w:rPr>
                <w:rFonts w:eastAsia="Times New Roman" w:cstheme="minorHAnsi"/>
                <w:color w:val="000000"/>
                <w:lang w:eastAsia="en-GB"/>
              </w:rPr>
              <w:fldChar w:fldCharType="separate"/>
            </w:r>
            <w:r w:rsidR="009848A5" w:rsidRPr="009848A5">
              <w:rPr>
                <w:rFonts w:ascii="Calibri" w:cs="Calibri"/>
                <w:color w:val="000000"/>
                <w:vertAlign w:val="superscript"/>
              </w:rPr>
              <w:t>32</w:t>
            </w:r>
            <w:r>
              <w:rPr>
                <w:rFonts w:eastAsia="Times New Roman" w:cstheme="minorHAnsi"/>
                <w:color w:val="000000"/>
                <w:lang w:eastAsia="en-GB"/>
              </w:rPr>
              <w:fldChar w:fldCharType="end"/>
            </w:r>
          </w:p>
        </w:tc>
        <w:tc>
          <w:tcPr>
            <w:tcW w:w="1932" w:type="dxa"/>
            <w:tcBorders>
              <w:top w:val="nil"/>
              <w:left w:val="nil"/>
              <w:bottom w:val="single" w:sz="4" w:space="0" w:color="000000"/>
              <w:right w:val="single" w:sz="4" w:space="0" w:color="000000"/>
            </w:tcBorders>
            <w:shd w:val="clear" w:color="auto" w:fill="auto"/>
            <w:noWrap/>
            <w:vAlign w:val="bottom"/>
            <w:hideMark/>
          </w:tcPr>
          <w:p w14:paraId="2DB8F637" w14:textId="77777777" w:rsidR="0056149C" w:rsidRPr="00B825E1" w:rsidRDefault="0056149C" w:rsidP="00B825E1">
            <w:pPr>
              <w:spacing w:after="0" w:line="240" w:lineRule="auto"/>
              <w:rPr>
                <w:rFonts w:eastAsia="Times New Roman" w:cstheme="minorHAnsi"/>
                <w:color w:val="000000"/>
                <w:lang w:eastAsia="en-GB"/>
              </w:rPr>
            </w:pPr>
            <w:r w:rsidRPr="00B825E1">
              <w:rPr>
                <w:rFonts w:eastAsia="Times New Roman" w:cstheme="minorHAnsi"/>
                <w:color w:val="000000"/>
                <w:lang w:eastAsia="en-GB"/>
              </w:rPr>
              <w:t>Histological examinations</w:t>
            </w:r>
          </w:p>
        </w:tc>
      </w:tr>
    </w:tbl>
    <w:p w14:paraId="2244952B" w14:textId="77777777" w:rsidR="00B825E1" w:rsidRDefault="00B825E1" w:rsidP="00B825E1">
      <w:pPr>
        <w:rPr>
          <w:rFonts w:cstheme="minorHAnsi"/>
          <w:i/>
          <w:iCs/>
        </w:rPr>
      </w:pPr>
    </w:p>
    <w:p w14:paraId="41C7D0FD" w14:textId="45F7E0E3" w:rsidR="00B825E1" w:rsidRPr="00B825E1" w:rsidRDefault="00B825E1" w:rsidP="00B825E1">
      <w:pPr>
        <w:tabs>
          <w:tab w:val="left" w:pos="705"/>
        </w:tabs>
        <w:rPr>
          <w:rFonts w:cstheme="minorHAnsi"/>
        </w:rPr>
        <w:sectPr w:rsidR="00B825E1" w:rsidRPr="00B825E1" w:rsidSect="006A55BF">
          <w:pgSz w:w="16817" w:h="11901" w:orient="landscape"/>
          <w:pgMar w:top="1440" w:right="1440" w:bottom="1440" w:left="1191" w:header="709" w:footer="709" w:gutter="0"/>
          <w:cols w:space="708"/>
          <w:docGrid w:linePitch="360"/>
        </w:sectPr>
      </w:pPr>
    </w:p>
    <w:p w14:paraId="489C4FB6" w14:textId="736460D8" w:rsidR="00F371E9" w:rsidRDefault="00B00E40" w:rsidP="006A55BF">
      <w:pPr>
        <w:spacing w:after="0" w:line="240" w:lineRule="auto"/>
        <w:rPr>
          <w:rFonts w:cstheme="minorHAnsi"/>
          <w:b/>
          <w:bCs/>
          <w:i/>
          <w:iCs/>
        </w:rPr>
      </w:pPr>
      <w:r>
        <w:rPr>
          <w:rFonts w:cstheme="minorHAnsi"/>
          <w:b/>
          <w:bCs/>
          <w:i/>
          <w:iCs/>
          <w:noProof/>
          <w14:ligatures w14:val="standardContextual"/>
        </w:rPr>
        <w:lastRenderedPageBreak/>
        <w:drawing>
          <wp:inline distT="0" distB="0" distL="0" distR="0" wp14:anchorId="2CE12D6D" wp14:editId="627B0E44">
            <wp:extent cx="5731510" cy="5731510"/>
            <wp:effectExtent l="0" t="0" r="0" b="0"/>
            <wp:docPr id="1543594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94484" name="Picture 1543594484"/>
                    <pic:cNvPicPr/>
                  </pic:nvPicPr>
                  <pic:blipFill>
                    <a:blip r:embed="rId7">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182B333" w14:textId="2D93A3C3" w:rsidR="00F364CE" w:rsidRPr="0045033D" w:rsidRDefault="00F364CE" w:rsidP="00F364CE">
      <w:pPr>
        <w:spacing w:line="360" w:lineRule="auto"/>
        <w:rPr>
          <w:rFonts w:cstheme="minorHAnsi"/>
          <w:b/>
          <w:bCs/>
          <w:i/>
          <w:iCs/>
          <w:noProof/>
        </w:rPr>
      </w:pPr>
      <w:r w:rsidRPr="0045033D">
        <w:rPr>
          <w:rFonts w:cstheme="minorHAnsi"/>
          <w:b/>
          <w:bCs/>
          <w:i/>
          <w:iCs/>
        </w:rPr>
        <w:t xml:space="preserve">Supplementary Figure </w:t>
      </w:r>
      <w:r>
        <w:rPr>
          <w:rFonts w:cstheme="minorHAnsi"/>
          <w:b/>
          <w:bCs/>
          <w:i/>
          <w:iCs/>
        </w:rPr>
        <w:t>1</w:t>
      </w:r>
      <w:r w:rsidRPr="0045033D">
        <w:rPr>
          <w:rFonts w:cstheme="minorHAnsi"/>
          <w:b/>
          <w:bCs/>
          <w:i/>
          <w:iCs/>
        </w:rPr>
        <w:t xml:space="preserve">. </w:t>
      </w:r>
      <w:r>
        <w:rPr>
          <w:rFonts w:cstheme="minorHAnsi"/>
          <w:i/>
          <w:iCs/>
        </w:rPr>
        <w:t xml:space="preserve">Mean </w:t>
      </w:r>
      <w:r w:rsidR="00435421">
        <w:rPr>
          <w:rFonts w:cstheme="minorHAnsi"/>
          <w:i/>
          <w:iCs/>
        </w:rPr>
        <w:t>(</w:t>
      </w:r>
      <w:r>
        <w:rPr>
          <w:rFonts w:cstheme="minorHAnsi"/>
          <w:i/>
          <w:iCs/>
        </w:rPr>
        <w:t>grouped by protection, country/nation/territory, and reef cluster) modelled fecundity (</w:t>
      </w:r>
      <w:r>
        <w:rPr>
          <w:rFonts w:cstheme="minorHAnsi"/>
          <w:i/>
          <w:iCs/>
          <w:noProof/>
        </w:rPr>
        <w:t>standardised across methodology, habitat, and depth</w:t>
      </w:r>
      <w:r>
        <w:rPr>
          <w:rFonts w:cstheme="minorHAnsi"/>
          <w:i/>
          <w:iCs/>
        </w:rPr>
        <w:t xml:space="preserve">) plotted against </w:t>
      </w:r>
      <w:r w:rsidR="00F371E9">
        <w:rPr>
          <w:rFonts w:cstheme="minorHAnsi"/>
          <w:i/>
          <w:iCs/>
        </w:rPr>
        <w:t>estimated</w:t>
      </w:r>
      <w:r>
        <w:rPr>
          <w:rFonts w:cstheme="minorHAnsi"/>
          <w:i/>
          <w:iCs/>
        </w:rPr>
        <w:t xml:space="preserve"> mature female biomass (logged). </w:t>
      </w:r>
      <w:r w:rsidR="00435421">
        <w:rPr>
          <w:rFonts w:cstheme="minorHAnsi"/>
          <w:i/>
          <w:iCs/>
        </w:rPr>
        <w:t>Points (n = 651) are coloured according to level of protection, where red is fished, orange</w:t>
      </w:r>
      <w:r w:rsidR="001F5D1A">
        <w:rPr>
          <w:rFonts w:cstheme="minorHAnsi"/>
          <w:i/>
          <w:iCs/>
        </w:rPr>
        <w:t xml:space="preserve"> is restricted, and fully protected areas are green. </w:t>
      </w:r>
    </w:p>
    <w:p w14:paraId="4E21794D" w14:textId="77777777" w:rsidR="00F364CE" w:rsidRPr="008751BD" w:rsidRDefault="00F364CE" w:rsidP="00F364CE"/>
    <w:p w14:paraId="75376DA4" w14:textId="77777777" w:rsidR="00F364CE" w:rsidRPr="00893929" w:rsidRDefault="00F364CE" w:rsidP="00F364CE">
      <w:pPr>
        <w:spacing w:line="360" w:lineRule="auto"/>
        <w:rPr>
          <w:rFonts w:cstheme="minorHAnsi"/>
        </w:rPr>
      </w:pPr>
    </w:p>
    <w:p w14:paraId="65F39008" w14:textId="77777777" w:rsidR="00F364CE" w:rsidRDefault="00F364CE" w:rsidP="00F364CE">
      <w:pPr>
        <w:spacing w:line="360" w:lineRule="auto"/>
        <w:rPr>
          <w:rFonts w:cstheme="minorHAnsi"/>
        </w:rPr>
      </w:pPr>
    </w:p>
    <w:p w14:paraId="4BE96117" w14:textId="77777777" w:rsidR="00F364CE" w:rsidRDefault="00F364CE" w:rsidP="00F364CE">
      <w:pPr>
        <w:spacing w:line="360" w:lineRule="auto"/>
        <w:rPr>
          <w:rFonts w:cstheme="minorHAnsi"/>
        </w:rPr>
      </w:pPr>
    </w:p>
    <w:p w14:paraId="533E958F" w14:textId="77777777" w:rsidR="00F364CE" w:rsidRDefault="00F364CE" w:rsidP="00F364CE">
      <w:pPr>
        <w:spacing w:line="360" w:lineRule="auto"/>
        <w:rPr>
          <w:rFonts w:cstheme="minorHAnsi"/>
        </w:rPr>
      </w:pPr>
    </w:p>
    <w:p w14:paraId="22FC5F80" w14:textId="77777777" w:rsidR="00F364CE" w:rsidRDefault="00F364CE" w:rsidP="00F364CE">
      <w:pPr>
        <w:spacing w:line="360" w:lineRule="auto"/>
        <w:rPr>
          <w:rFonts w:cstheme="minorHAnsi"/>
        </w:rPr>
      </w:pPr>
    </w:p>
    <w:p w14:paraId="46E86F17" w14:textId="77777777" w:rsidR="00F364CE" w:rsidRDefault="00F364CE" w:rsidP="00F364CE">
      <w:pPr>
        <w:spacing w:line="360" w:lineRule="auto"/>
        <w:rPr>
          <w:rFonts w:cstheme="minorHAnsi"/>
        </w:rPr>
      </w:pPr>
    </w:p>
    <w:p w14:paraId="72A18862" w14:textId="1FEBAA7B" w:rsidR="00D962BC" w:rsidRPr="00893929" w:rsidRDefault="009C2104" w:rsidP="00F364CE">
      <w:pPr>
        <w:spacing w:line="360" w:lineRule="auto"/>
        <w:rPr>
          <w:rFonts w:cstheme="minorHAnsi"/>
        </w:rPr>
      </w:pPr>
      <w:r>
        <w:rPr>
          <w:rFonts w:cstheme="minorHAnsi"/>
          <w:noProof/>
          <w14:ligatures w14:val="standardContextual"/>
        </w:rPr>
        <w:drawing>
          <wp:inline distT="0" distB="0" distL="0" distR="0" wp14:anchorId="2EF7F3BF" wp14:editId="09D3EFCC">
            <wp:extent cx="5731510" cy="2292350"/>
            <wp:effectExtent l="0" t="0" r="0" b="6350"/>
            <wp:docPr id="805307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07038" name="Picture 8053070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5DFAAB08" w14:textId="50398F24" w:rsidR="00F364CE" w:rsidRPr="00893929" w:rsidRDefault="00F364CE" w:rsidP="00F364CE">
      <w:pPr>
        <w:spacing w:line="360" w:lineRule="auto"/>
        <w:rPr>
          <w:rFonts w:cstheme="minorHAnsi"/>
        </w:rPr>
      </w:pPr>
    </w:p>
    <w:p w14:paraId="74803E66" w14:textId="4431BA9D" w:rsidR="00F364CE" w:rsidRDefault="00F364CE" w:rsidP="00F364CE">
      <w:pPr>
        <w:spacing w:line="360" w:lineRule="auto"/>
        <w:rPr>
          <w:rFonts w:cstheme="minorHAnsi"/>
        </w:rPr>
      </w:pPr>
      <w:r w:rsidRPr="009532F1">
        <w:rPr>
          <w:rFonts w:cstheme="minorHAnsi"/>
          <w:b/>
          <w:bCs/>
        </w:rPr>
        <w:t xml:space="preserve">Supplementary Figure </w:t>
      </w:r>
      <w:r w:rsidR="00A52769">
        <w:rPr>
          <w:rFonts w:cstheme="minorHAnsi"/>
          <w:b/>
          <w:bCs/>
        </w:rPr>
        <w:t>2</w:t>
      </w:r>
      <w:r w:rsidRPr="009532F1">
        <w:rPr>
          <w:rFonts w:cstheme="minorHAnsi"/>
          <w:b/>
          <w:bCs/>
        </w:rPr>
        <w:t>.</w:t>
      </w:r>
      <w:r>
        <w:rPr>
          <w:rFonts w:cstheme="minorHAnsi"/>
        </w:rPr>
        <w:t xml:space="preserve"> Conditional effects of protection on A) the proportional biomass (total mature female biomass) of fecundity classes, B) the proportional abundance (all mature female fish) of fecundity classes, and C) the proportional biomass (proportion of total biomass of all fish) of size classes; and the conditional effects of total biomass on D) the proportional biomass (total mature female biomass) of fecundity classes, E) the proportional abundance (all mature female fish) of fecundity classes, and F) the proportional biomass of size classes. Median values and 95% UI </w:t>
      </w:r>
      <w:r w:rsidR="00B24FF4">
        <w:rPr>
          <w:rFonts w:cstheme="minorHAnsi"/>
        </w:rPr>
        <w:t xml:space="preserve">(n = 1,000 posterior draws) </w:t>
      </w:r>
      <w:r>
        <w:rPr>
          <w:rFonts w:cstheme="minorHAnsi"/>
        </w:rPr>
        <w:t>are illustrated.</w:t>
      </w:r>
      <w:r w:rsidR="009C3F2C">
        <w:rPr>
          <w:rFonts w:cstheme="minorHAnsi"/>
        </w:rPr>
        <w:t xml:space="preserve"> </w:t>
      </w:r>
      <w:r w:rsidR="00641F76">
        <w:rPr>
          <w:rFonts w:cstheme="minorHAnsi"/>
        </w:rPr>
        <w:t xml:space="preserve">Points </w:t>
      </w:r>
      <w:r w:rsidR="00B15947">
        <w:rPr>
          <w:rFonts w:cstheme="minorHAnsi"/>
        </w:rPr>
        <w:t xml:space="preserve">(n = </w:t>
      </w:r>
      <w:r w:rsidR="00855AD4">
        <w:rPr>
          <w:rFonts w:cstheme="minorHAnsi"/>
        </w:rPr>
        <w:t>4899</w:t>
      </w:r>
      <w:r w:rsidR="00017843">
        <w:rPr>
          <w:rFonts w:cstheme="minorHAnsi"/>
        </w:rPr>
        <w:t>, 1633 sites x 3 categories</w:t>
      </w:r>
      <w:r w:rsidR="00B15947">
        <w:rPr>
          <w:rFonts w:cstheme="minorHAnsi"/>
        </w:rPr>
        <w:t>)</w:t>
      </w:r>
      <w:r w:rsidR="006E6980">
        <w:rPr>
          <w:rFonts w:cstheme="minorHAnsi"/>
        </w:rPr>
        <w:t xml:space="preserve"> </w:t>
      </w:r>
      <w:r w:rsidR="00641F76">
        <w:rPr>
          <w:rFonts w:cstheme="minorHAnsi"/>
        </w:rPr>
        <w:t>represent raw calculated values</w:t>
      </w:r>
      <w:r w:rsidR="00B74A89">
        <w:rPr>
          <w:rFonts w:cstheme="minorHAnsi"/>
        </w:rPr>
        <w:t>. Colours correspond to fecundity or size categories, where the small</w:t>
      </w:r>
      <w:r w:rsidR="00FB3EEE">
        <w:rPr>
          <w:rFonts w:cstheme="minorHAnsi"/>
        </w:rPr>
        <w:t>/low category</w:t>
      </w:r>
      <w:r w:rsidR="00B74A89">
        <w:rPr>
          <w:rFonts w:cstheme="minorHAnsi"/>
        </w:rPr>
        <w:t xml:space="preserve"> is </w:t>
      </w:r>
      <w:r w:rsidR="00FB3EEE">
        <w:rPr>
          <w:rFonts w:cstheme="minorHAnsi"/>
        </w:rPr>
        <w:t xml:space="preserve">dark purple, the medium category is light purple, and the large/high category is orange. </w:t>
      </w:r>
    </w:p>
    <w:p w14:paraId="76E6CFDA" w14:textId="77777777" w:rsidR="00F364CE" w:rsidRDefault="00F364CE" w:rsidP="00F364CE">
      <w:pPr>
        <w:spacing w:line="360" w:lineRule="auto"/>
        <w:ind w:firstLine="720"/>
        <w:rPr>
          <w:rFonts w:cstheme="minorHAnsi"/>
        </w:rPr>
      </w:pPr>
    </w:p>
    <w:p w14:paraId="0FC0E7B1" w14:textId="4EEBB0E5" w:rsidR="00F364CE" w:rsidRDefault="007C562C" w:rsidP="00F364CE">
      <w:pPr>
        <w:spacing w:line="360" w:lineRule="auto"/>
        <w:rPr>
          <w:rFonts w:cstheme="minorHAnsi"/>
        </w:rPr>
      </w:pPr>
      <w:r>
        <w:rPr>
          <w:rFonts w:cstheme="minorHAnsi"/>
          <w:noProof/>
          <w14:ligatures w14:val="standardContextual"/>
        </w:rPr>
        <w:lastRenderedPageBreak/>
        <w:drawing>
          <wp:inline distT="0" distB="0" distL="0" distR="0" wp14:anchorId="47BD9774" wp14:editId="19FC0792">
            <wp:extent cx="5731510" cy="5731510"/>
            <wp:effectExtent l="0" t="0" r="0" b="0"/>
            <wp:docPr id="19560233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23328" name="Picture 1956023328"/>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68530C3" w14:textId="54C360F1" w:rsidR="00F364CE" w:rsidRDefault="00F364CE" w:rsidP="00F364CE">
      <w:pPr>
        <w:spacing w:line="360" w:lineRule="auto"/>
        <w:rPr>
          <w:rFonts w:cstheme="minorHAnsi"/>
          <w:i/>
          <w:iCs/>
        </w:rPr>
      </w:pPr>
      <w:r>
        <w:rPr>
          <w:rFonts w:cstheme="minorHAnsi"/>
          <w:b/>
          <w:bCs/>
          <w:i/>
          <w:iCs/>
        </w:rPr>
        <w:t xml:space="preserve">Supplementary Figure </w:t>
      </w:r>
      <w:r w:rsidR="00A52769">
        <w:rPr>
          <w:rFonts w:cstheme="minorHAnsi"/>
          <w:b/>
          <w:bCs/>
          <w:i/>
          <w:iCs/>
        </w:rPr>
        <w:t>3</w:t>
      </w:r>
      <w:r w:rsidRPr="004D531D">
        <w:rPr>
          <w:rFonts w:cstheme="minorHAnsi"/>
          <w:b/>
          <w:bCs/>
          <w:i/>
          <w:iCs/>
        </w:rPr>
        <w:t>.</w:t>
      </w:r>
      <w:r>
        <w:rPr>
          <w:rFonts w:cstheme="minorHAnsi"/>
          <w:i/>
          <w:iCs/>
        </w:rPr>
        <w:t xml:space="preserve"> P</w:t>
      </w:r>
      <w:r w:rsidRPr="004D531D">
        <w:rPr>
          <w:rFonts w:cstheme="minorHAnsi"/>
          <w:i/>
          <w:iCs/>
        </w:rPr>
        <w:t>roportion</w:t>
      </w:r>
      <w:r>
        <w:rPr>
          <w:rFonts w:cstheme="minorHAnsi"/>
          <w:i/>
          <w:iCs/>
        </w:rPr>
        <w:t xml:space="preserve"> of total fish biomass comprised </w:t>
      </w:r>
      <w:r w:rsidRPr="004D531D">
        <w:rPr>
          <w:rFonts w:cstheme="minorHAnsi"/>
          <w:i/>
          <w:iCs/>
        </w:rPr>
        <w:t xml:space="preserve">of </w:t>
      </w:r>
      <w:r>
        <w:rPr>
          <w:rFonts w:cstheme="minorHAnsi"/>
          <w:i/>
          <w:iCs/>
        </w:rPr>
        <w:t xml:space="preserve">mature fish (fish &gt;= length at maturity) across fished, restricted, and unfished sites (conditional effect of protection). Points indicate median values and lines indicate 95% UI. </w:t>
      </w:r>
      <w:r w:rsidRPr="004D531D">
        <w:rPr>
          <w:rFonts w:cstheme="minorHAnsi"/>
          <w:i/>
          <w:iCs/>
        </w:rPr>
        <w:t xml:space="preserve"> </w:t>
      </w:r>
      <w:r w:rsidR="00641F76">
        <w:rPr>
          <w:rFonts w:cstheme="minorHAnsi"/>
        </w:rPr>
        <w:t>Points</w:t>
      </w:r>
      <w:r w:rsidR="00C34C29">
        <w:rPr>
          <w:rFonts w:cstheme="minorHAnsi"/>
        </w:rPr>
        <w:t xml:space="preserve"> (n=1</w:t>
      </w:r>
      <w:r w:rsidR="001E7321">
        <w:rPr>
          <w:rFonts w:cstheme="minorHAnsi"/>
        </w:rPr>
        <w:t>633</w:t>
      </w:r>
      <w:r w:rsidR="00C34C29">
        <w:rPr>
          <w:rFonts w:cstheme="minorHAnsi"/>
        </w:rPr>
        <w:t>)</w:t>
      </w:r>
      <w:r w:rsidR="00641F76">
        <w:rPr>
          <w:rFonts w:cstheme="minorHAnsi"/>
        </w:rPr>
        <w:t xml:space="preserve"> represent raw calculated values.</w:t>
      </w:r>
    </w:p>
    <w:p w14:paraId="6EACA345" w14:textId="77777777" w:rsidR="00F364CE" w:rsidRDefault="00F364CE" w:rsidP="00F364CE">
      <w:pPr>
        <w:spacing w:line="360" w:lineRule="auto"/>
        <w:rPr>
          <w:rFonts w:cstheme="minorHAnsi"/>
          <w:i/>
          <w:iCs/>
        </w:rPr>
      </w:pPr>
    </w:p>
    <w:p w14:paraId="010847DA" w14:textId="77777777" w:rsidR="00075393" w:rsidRDefault="00075393" w:rsidP="00A52769">
      <w:pPr>
        <w:spacing w:line="360" w:lineRule="auto"/>
        <w:rPr>
          <w:rFonts w:cstheme="minorHAnsi"/>
        </w:rPr>
      </w:pPr>
    </w:p>
    <w:p w14:paraId="78F3F7D7" w14:textId="5FE8A134" w:rsidR="004D7DE8" w:rsidRDefault="00435742" w:rsidP="00A52769">
      <w:pPr>
        <w:spacing w:line="360" w:lineRule="auto"/>
        <w:rPr>
          <w:rFonts w:cstheme="minorHAnsi"/>
        </w:rPr>
      </w:pPr>
      <w:r>
        <w:rPr>
          <w:rFonts w:cstheme="minorHAnsi"/>
          <w:noProof/>
          <w14:ligatures w14:val="standardContextual"/>
        </w:rPr>
        <w:lastRenderedPageBreak/>
        <w:drawing>
          <wp:inline distT="0" distB="0" distL="0" distR="0" wp14:anchorId="7A7D2C4B" wp14:editId="73B2AD22">
            <wp:extent cx="5731510" cy="2865755"/>
            <wp:effectExtent l="0" t="0" r="0" b="4445"/>
            <wp:docPr id="1038493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93010" name="Picture 1038493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6B408FDC" w14:textId="28C33772" w:rsidR="00BC7044" w:rsidRPr="00046083" w:rsidRDefault="004D7DE8" w:rsidP="00BC7044">
      <w:pPr>
        <w:spacing w:line="360" w:lineRule="auto"/>
        <w:rPr>
          <w:rFonts w:cstheme="minorHAnsi"/>
          <w:i/>
          <w:iCs/>
          <w:color w:val="000000" w:themeColor="text1"/>
        </w:rPr>
      </w:pPr>
      <w:r w:rsidRPr="00BC6D9D">
        <w:rPr>
          <w:rFonts w:cstheme="minorHAnsi"/>
          <w:b/>
          <w:bCs/>
          <w:i/>
          <w:iCs/>
        </w:rPr>
        <w:t xml:space="preserve">Supplementary Figure </w:t>
      </w:r>
      <w:r w:rsidR="00B16657" w:rsidRPr="00BC6D9D">
        <w:rPr>
          <w:rFonts w:cstheme="minorHAnsi"/>
          <w:b/>
          <w:bCs/>
          <w:i/>
          <w:iCs/>
        </w:rPr>
        <w:t>4</w:t>
      </w:r>
      <w:r w:rsidRPr="00BC6D9D">
        <w:rPr>
          <w:rFonts w:cstheme="minorHAnsi"/>
          <w:b/>
          <w:bCs/>
          <w:i/>
          <w:iCs/>
        </w:rPr>
        <w:t>.</w:t>
      </w:r>
      <w:r>
        <w:rPr>
          <w:rFonts w:cstheme="minorHAnsi"/>
        </w:rPr>
        <w:t xml:space="preserve"> </w:t>
      </w:r>
      <w:r w:rsidR="00BC7044" w:rsidRPr="00893929">
        <w:rPr>
          <w:rFonts w:cstheme="minorHAnsi"/>
          <w:i/>
          <w:iCs/>
        </w:rPr>
        <w:t xml:space="preserve">Standardised effect </w:t>
      </w:r>
      <w:r w:rsidR="00BC7044" w:rsidRPr="00EE5E41">
        <w:rPr>
          <w:rFonts w:cstheme="minorHAnsi"/>
          <w:i/>
          <w:iCs/>
          <w:color w:val="000000" w:themeColor="text1"/>
        </w:rPr>
        <w:t xml:space="preserve">size and 95% UI of predictors </w:t>
      </w:r>
      <w:r w:rsidR="00B4554C">
        <w:rPr>
          <w:rFonts w:cstheme="minorHAnsi"/>
          <w:i/>
          <w:iCs/>
          <w:color w:val="000000" w:themeColor="text1"/>
        </w:rPr>
        <w:t>(n = 4,000 posterior draws)</w:t>
      </w:r>
      <w:r w:rsidR="00B4554C" w:rsidRPr="00D423D8">
        <w:rPr>
          <w:rFonts w:cstheme="minorHAnsi"/>
          <w:i/>
          <w:iCs/>
          <w:color w:val="000000" w:themeColor="text1"/>
        </w:rPr>
        <w:t xml:space="preserve"> </w:t>
      </w:r>
      <w:r w:rsidR="00BC7044" w:rsidRPr="00EE5E41">
        <w:rPr>
          <w:rFonts w:cstheme="minorHAnsi"/>
          <w:i/>
          <w:iCs/>
          <w:color w:val="000000" w:themeColor="text1"/>
        </w:rPr>
        <w:t xml:space="preserve">on A) </w:t>
      </w:r>
      <w:proofErr w:type="spellStart"/>
      <w:r w:rsidR="00BC7044" w:rsidRPr="00EE5E41">
        <w:rPr>
          <w:rFonts w:cstheme="minorHAnsi"/>
          <w:i/>
          <w:iCs/>
          <w:color w:val="000000" w:themeColor="text1"/>
        </w:rPr>
        <w:t>Lutjanidae</w:t>
      </w:r>
      <w:proofErr w:type="spellEnd"/>
      <w:r w:rsidR="00BC7044" w:rsidRPr="00EE5E41">
        <w:rPr>
          <w:rFonts w:cstheme="minorHAnsi"/>
          <w:i/>
          <w:iCs/>
          <w:color w:val="000000" w:themeColor="text1"/>
        </w:rPr>
        <w:t xml:space="preserve">, </w:t>
      </w:r>
      <w:r w:rsidR="00BC7044">
        <w:rPr>
          <w:rFonts w:cstheme="minorHAnsi"/>
          <w:i/>
          <w:iCs/>
          <w:color w:val="000000" w:themeColor="text1"/>
        </w:rPr>
        <w:t>B</w:t>
      </w:r>
      <w:r w:rsidR="00BC7044" w:rsidRPr="00EE5E41">
        <w:rPr>
          <w:rFonts w:cstheme="minorHAnsi"/>
          <w:i/>
          <w:iCs/>
          <w:color w:val="000000" w:themeColor="text1"/>
        </w:rPr>
        <w:t xml:space="preserve">) </w:t>
      </w:r>
      <w:proofErr w:type="spellStart"/>
      <w:r w:rsidR="00BC7044" w:rsidRPr="00EE5E41">
        <w:rPr>
          <w:rFonts w:cstheme="minorHAnsi"/>
          <w:i/>
          <w:iCs/>
          <w:color w:val="000000" w:themeColor="text1"/>
        </w:rPr>
        <w:t>Labridae</w:t>
      </w:r>
      <w:proofErr w:type="spellEnd"/>
      <w:r w:rsidR="00BC7044" w:rsidRPr="00EE5E41">
        <w:rPr>
          <w:rFonts w:cstheme="minorHAnsi"/>
          <w:i/>
          <w:iCs/>
          <w:color w:val="000000" w:themeColor="text1"/>
        </w:rPr>
        <w:t xml:space="preserve"> (</w:t>
      </w:r>
      <w:proofErr w:type="spellStart"/>
      <w:r w:rsidR="00BC7044" w:rsidRPr="00EE5E41">
        <w:rPr>
          <w:rFonts w:cstheme="minorHAnsi"/>
          <w:i/>
          <w:iCs/>
          <w:color w:val="000000" w:themeColor="text1"/>
        </w:rPr>
        <w:t>Scarini</w:t>
      </w:r>
      <w:proofErr w:type="spellEnd"/>
      <w:r w:rsidR="00BC7044" w:rsidRPr="00EE5E41">
        <w:rPr>
          <w:rFonts w:cstheme="minorHAnsi"/>
          <w:i/>
          <w:iCs/>
          <w:color w:val="000000" w:themeColor="text1"/>
        </w:rPr>
        <w:t xml:space="preserve">), and </w:t>
      </w:r>
      <w:r w:rsidR="00BC7044">
        <w:rPr>
          <w:rFonts w:cstheme="minorHAnsi"/>
          <w:i/>
          <w:iCs/>
          <w:color w:val="000000" w:themeColor="text1"/>
        </w:rPr>
        <w:t>C</w:t>
      </w:r>
      <w:r w:rsidR="00BC7044" w:rsidRPr="00EE5E41">
        <w:rPr>
          <w:rFonts w:cstheme="minorHAnsi"/>
          <w:i/>
          <w:iCs/>
          <w:color w:val="000000" w:themeColor="text1"/>
        </w:rPr>
        <w:t>) Serranidae.</w:t>
      </w:r>
      <w:r w:rsidR="00BC7044" w:rsidRPr="00EE5E41">
        <w:rPr>
          <w:rFonts w:cstheme="minorHAnsi"/>
          <w:color w:val="000000" w:themeColor="text1"/>
        </w:rPr>
        <w:t xml:space="preserve"> </w:t>
      </w:r>
      <w:r w:rsidR="00BC7044" w:rsidRPr="00046083">
        <w:rPr>
          <w:rFonts w:cstheme="minorHAnsi"/>
          <w:i/>
          <w:iCs/>
          <w:color w:val="000000" w:themeColor="text1"/>
        </w:rPr>
        <w:t xml:space="preserve">Points are coloured black for a negative effect size, grey for a positive effect size, and blank for an effect size that overlaps with 0. </w:t>
      </w:r>
      <w:r w:rsidR="008B2CFB">
        <w:rPr>
          <w:rFonts w:cstheme="minorHAnsi"/>
          <w:i/>
          <w:iCs/>
          <w:color w:val="000000" w:themeColor="text1"/>
        </w:rPr>
        <w:t xml:space="preserve">Model incorporates zeros </w:t>
      </w:r>
      <w:r w:rsidR="0033059F">
        <w:rPr>
          <w:rFonts w:cstheme="minorHAnsi"/>
          <w:i/>
          <w:iCs/>
          <w:color w:val="000000" w:themeColor="text1"/>
        </w:rPr>
        <w:t xml:space="preserve">(in addition to non-zero data used in models for Figure 2) </w:t>
      </w:r>
      <w:r w:rsidR="008B2CFB">
        <w:rPr>
          <w:rFonts w:cstheme="minorHAnsi"/>
          <w:i/>
          <w:iCs/>
          <w:color w:val="000000" w:themeColor="text1"/>
        </w:rPr>
        <w:t xml:space="preserve">and uses a hurdle log-normal distribution. </w:t>
      </w:r>
      <w:r w:rsidR="00594B30">
        <w:rPr>
          <w:rFonts w:cstheme="minorHAnsi"/>
          <w:i/>
          <w:iCs/>
          <w:color w:val="000000" w:themeColor="text1"/>
        </w:rPr>
        <w:t xml:space="preserve">No measurement error is incorporated in these models. </w:t>
      </w:r>
    </w:p>
    <w:p w14:paraId="79096408" w14:textId="77777777" w:rsidR="0025133A" w:rsidRDefault="0025133A" w:rsidP="00A52769">
      <w:pPr>
        <w:spacing w:line="360" w:lineRule="auto"/>
        <w:rPr>
          <w:rFonts w:cstheme="minorHAnsi"/>
        </w:rPr>
      </w:pPr>
    </w:p>
    <w:p w14:paraId="6C5B24C9" w14:textId="1E27D01A" w:rsidR="0025133A" w:rsidRPr="00893929" w:rsidRDefault="0025133A" w:rsidP="00A52769">
      <w:pPr>
        <w:spacing w:line="360" w:lineRule="auto"/>
        <w:rPr>
          <w:rFonts w:cstheme="minorHAnsi"/>
        </w:rPr>
      </w:pPr>
    </w:p>
    <w:p w14:paraId="60A0E844" w14:textId="77777777" w:rsidR="001A2A7C" w:rsidRDefault="001A2A7C"/>
    <w:p w14:paraId="444E5134" w14:textId="26BEFA1A" w:rsidR="001E588C" w:rsidRPr="0074060B" w:rsidRDefault="00D31F5F" w:rsidP="0074060B">
      <w:pPr>
        <w:spacing w:after="0" w:line="240" w:lineRule="auto"/>
        <w:rPr>
          <w:b/>
          <w:bCs/>
          <w:i/>
          <w:iCs/>
        </w:rPr>
      </w:pPr>
      <w:r>
        <w:rPr>
          <w:b/>
          <w:bCs/>
          <w:i/>
          <w:iCs/>
        </w:rPr>
        <w:br w:type="page"/>
      </w:r>
    </w:p>
    <w:p w14:paraId="4112FAB3" w14:textId="2B3737E3" w:rsidR="002E0077" w:rsidRDefault="00FE35A8">
      <w:r>
        <w:rPr>
          <w:noProof/>
          <w14:ligatures w14:val="standardContextual"/>
        </w:rPr>
        <w:lastRenderedPageBreak/>
        <w:drawing>
          <wp:inline distT="0" distB="0" distL="0" distR="0" wp14:anchorId="0067C980" wp14:editId="2B2E6734">
            <wp:extent cx="5731510" cy="5731510"/>
            <wp:effectExtent l="0" t="0" r="0" b="0"/>
            <wp:docPr id="1002098347" name="Picture 1" descr="A graph of 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8347" name="Picture 1" descr="A graph of a graph of a function&#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78D8753" w14:textId="77777777" w:rsidR="0074060B" w:rsidRPr="00BC6D9D" w:rsidRDefault="0074060B" w:rsidP="0074060B">
      <w:pPr>
        <w:rPr>
          <w:b/>
          <w:bCs/>
          <w:i/>
          <w:iCs/>
        </w:rPr>
      </w:pPr>
      <w:r w:rsidRPr="00BC6D9D">
        <w:rPr>
          <w:rFonts w:cstheme="minorHAnsi"/>
          <w:b/>
          <w:bCs/>
          <w:i/>
          <w:iCs/>
        </w:rPr>
        <w:t xml:space="preserve">Supplementary Figure 5. </w:t>
      </w:r>
      <w:r w:rsidRPr="00BC6D9D">
        <w:rPr>
          <w:i/>
          <w:iCs/>
        </w:rPr>
        <w:t>Model validation for length at maturity model showing a) trace plots and b) posterior predictive checks</w:t>
      </w:r>
    </w:p>
    <w:p w14:paraId="5192896D" w14:textId="77777777" w:rsidR="007120D3" w:rsidRDefault="007120D3"/>
    <w:p w14:paraId="3FC458A5" w14:textId="77777777" w:rsidR="00551D7B" w:rsidRDefault="00551D7B" w:rsidP="00551D7B">
      <w:pPr>
        <w:rPr>
          <w:i/>
          <w:iCs/>
        </w:rPr>
      </w:pPr>
    </w:p>
    <w:p w14:paraId="44C3B5CB" w14:textId="77777777" w:rsidR="00551D7B" w:rsidRDefault="00551D7B" w:rsidP="00551D7B">
      <w:pPr>
        <w:rPr>
          <w:i/>
          <w:iCs/>
        </w:rPr>
      </w:pPr>
    </w:p>
    <w:p w14:paraId="6C942C74" w14:textId="7F6A343D" w:rsidR="00551D7B" w:rsidRPr="00D31F5F" w:rsidRDefault="0074060B" w:rsidP="00551D7B">
      <w:pPr>
        <w:rPr>
          <w:b/>
          <w:bCs/>
          <w:i/>
          <w:iCs/>
        </w:rPr>
      </w:pPr>
      <w:r>
        <w:rPr>
          <w:b/>
          <w:bCs/>
          <w:i/>
          <w:iCs/>
          <w:noProof/>
          <w14:ligatures w14:val="standardContextual"/>
        </w:rPr>
        <w:lastRenderedPageBreak/>
        <w:drawing>
          <wp:inline distT="0" distB="0" distL="0" distR="0" wp14:anchorId="28631720" wp14:editId="3F9347D5">
            <wp:extent cx="5731510" cy="5731510"/>
            <wp:effectExtent l="0" t="0" r="0" b="0"/>
            <wp:docPr id="1993311473"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11473" name="Picture 2" descr="A screenshot of a graph&#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9B02A3C" w14:textId="77777777" w:rsidR="00551D7B" w:rsidRPr="00ED5151" w:rsidRDefault="00551D7B" w:rsidP="00551D7B">
      <w:pPr>
        <w:rPr>
          <w:b/>
          <w:bCs/>
          <w:i/>
          <w:iCs/>
        </w:rPr>
      </w:pPr>
    </w:p>
    <w:p w14:paraId="7D9A4F07" w14:textId="4B699C7A" w:rsidR="0074060B" w:rsidRPr="00BC6D9D" w:rsidRDefault="0074060B" w:rsidP="0074060B">
      <w:pPr>
        <w:rPr>
          <w:b/>
          <w:bCs/>
          <w:i/>
          <w:iCs/>
        </w:rPr>
      </w:pPr>
      <w:r w:rsidRPr="00BC6D9D">
        <w:rPr>
          <w:rFonts w:cstheme="minorHAnsi"/>
          <w:b/>
          <w:bCs/>
          <w:i/>
          <w:iCs/>
        </w:rPr>
        <w:t xml:space="preserve">Supplementary Figure 6. </w:t>
      </w:r>
      <w:r w:rsidRPr="00BC6D9D">
        <w:rPr>
          <w:i/>
          <w:iCs/>
        </w:rPr>
        <w:t>Model validation for sex ratio model showing a) trace plots and b) posterior predictive checks</w:t>
      </w:r>
    </w:p>
    <w:p w14:paraId="77E4A4D9" w14:textId="77777777" w:rsidR="007120D3" w:rsidRDefault="007120D3"/>
    <w:p w14:paraId="51E23AFB" w14:textId="77777777" w:rsidR="00404301" w:rsidRDefault="00404301">
      <w:r>
        <w:rPr>
          <w:noProof/>
          <w14:ligatures w14:val="standardContextual"/>
        </w:rPr>
        <w:lastRenderedPageBreak/>
        <w:drawing>
          <wp:inline distT="0" distB="0" distL="0" distR="0" wp14:anchorId="1CDCBF8E" wp14:editId="658E7246">
            <wp:extent cx="5731510" cy="5731510"/>
            <wp:effectExtent l="0" t="0" r="0" b="0"/>
            <wp:docPr id="1523964250" name="Picture 3"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64250" name="Picture 3" descr="A graph of a graph of a graph&#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0923FF9" w14:textId="50D39ECC" w:rsidR="00404301" w:rsidRPr="00BC6D9D" w:rsidRDefault="00404301" w:rsidP="00404301">
      <w:pPr>
        <w:rPr>
          <w:i/>
          <w:iCs/>
        </w:rPr>
      </w:pPr>
      <w:r w:rsidRPr="00BC6D9D">
        <w:rPr>
          <w:rFonts w:cstheme="minorHAnsi"/>
          <w:b/>
          <w:bCs/>
          <w:i/>
          <w:iCs/>
        </w:rPr>
        <w:t xml:space="preserve">Supplementary Figure </w:t>
      </w:r>
      <w:r w:rsidR="00745875">
        <w:rPr>
          <w:rFonts w:cstheme="minorHAnsi"/>
          <w:b/>
          <w:bCs/>
          <w:i/>
          <w:iCs/>
        </w:rPr>
        <w:t>7</w:t>
      </w:r>
      <w:r w:rsidRPr="00BC6D9D">
        <w:rPr>
          <w:rFonts w:cstheme="minorHAnsi"/>
          <w:b/>
          <w:bCs/>
          <w:i/>
          <w:iCs/>
        </w:rPr>
        <w:t xml:space="preserve">. </w:t>
      </w:r>
      <w:r w:rsidRPr="00BC6D9D">
        <w:rPr>
          <w:i/>
          <w:iCs/>
        </w:rPr>
        <w:t>Model validation for fecundity model showing a) trace plots and b) posterior predictive checks</w:t>
      </w:r>
    </w:p>
    <w:p w14:paraId="4EC6957E" w14:textId="7F1F41E9" w:rsidR="007457B8" w:rsidRDefault="00B14FD4" w:rsidP="00404301">
      <w:r>
        <w:rPr>
          <w:noProof/>
          <w14:ligatures w14:val="standardContextual"/>
        </w:rPr>
        <w:lastRenderedPageBreak/>
        <w:drawing>
          <wp:inline distT="0" distB="0" distL="0" distR="0" wp14:anchorId="6D30818D" wp14:editId="3331F9F1">
            <wp:extent cx="5731510" cy="5731510"/>
            <wp:effectExtent l="0" t="0" r="0" b="0"/>
            <wp:docPr id="1576927939"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27939" name="Picture 4" descr="A screenshot of a grap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FC4DAE4" w14:textId="0C513CA0" w:rsidR="007457B8" w:rsidRPr="00BC6D9D" w:rsidRDefault="007457B8" w:rsidP="007457B8">
      <w:pPr>
        <w:rPr>
          <w:b/>
          <w:bCs/>
          <w:i/>
          <w:iCs/>
        </w:rPr>
      </w:pPr>
      <w:r w:rsidRPr="00BC6D9D">
        <w:rPr>
          <w:rFonts w:cstheme="minorHAnsi"/>
          <w:b/>
          <w:bCs/>
          <w:i/>
          <w:iCs/>
        </w:rPr>
        <w:t xml:space="preserve">Supplementary Figure </w:t>
      </w:r>
      <w:r w:rsidR="001D6FA4">
        <w:rPr>
          <w:rFonts w:cstheme="minorHAnsi"/>
          <w:b/>
          <w:bCs/>
          <w:i/>
          <w:iCs/>
        </w:rPr>
        <w:t>8</w:t>
      </w:r>
      <w:r w:rsidRPr="00BC6D9D">
        <w:rPr>
          <w:rFonts w:cstheme="minorHAnsi"/>
          <w:b/>
          <w:bCs/>
          <w:i/>
          <w:iCs/>
        </w:rPr>
        <w:t xml:space="preserve">. </w:t>
      </w:r>
      <w:r w:rsidRPr="00BC6D9D">
        <w:rPr>
          <w:i/>
          <w:iCs/>
        </w:rPr>
        <w:t>Model validation for</w:t>
      </w:r>
      <w:r w:rsidR="00B14FD4" w:rsidRPr="00BC6D9D">
        <w:rPr>
          <w:i/>
          <w:iCs/>
        </w:rPr>
        <w:t xml:space="preserve"> the</w:t>
      </w:r>
      <w:r w:rsidRPr="00BC6D9D">
        <w:rPr>
          <w:i/>
          <w:iCs/>
        </w:rPr>
        <w:t xml:space="preserve"> site-level fecundity model showing a) trace plots and b) posterior predictive checks</w:t>
      </w:r>
    </w:p>
    <w:p w14:paraId="6FCB929F" w14:textId="149F0E07" w:rsidR="007457B8" w:rsidRDefault="00DE7620" w:rsidP="00404301">
      <w:pPr>
        <w:rPr>
          <w:b/>
          <w:bCs/>
        </w:rPr>
      </w:pPr>
      <w:r>
        <w:rPr>
          <w:b/>
          <w:bCs/>
          <w:noProof/>
          <w14:ligatures w14:val="standardContextual"/>
        </w:rPr>
        <w:lastRenderedPageBreak/>
        <w:drawing>
          <wp:inline distT="0" distB="0" distL="0" distR="0" wp14:anchorId="34E9E0E2" wp14:editId="37E6D522">
            <wp:extent cx="5731510" cy="5731510"/>
            <wp:effectExtent l="0" t="0" r="0" b="0"/>
            <wp:docPr id="912774730"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74730" name="Picture 5" descr="A screenshot of a graph&#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EB05D58" w14:textId="1EAE38CF" w:rsidR="00B14FD4" w:rsidRPr="00BC6D9D" w:rsidRDefault="00B14FD4" w:rsidP="00B14FD4">
      <w:pPr>
        <w:rPr>
          <w:b/>
          <w:bCs/>
          <w:i/>
          <w:iCs/>
        </w:rPr>
      </w:pPr>
      <w:r w:rsidRPr="00BC6D9D">
        <w:rPr>
          <w:rFonts w:cstheme="minorHAnsi"/>
          <w:b/>
          <w:bCs/>
          <w:i/>
          <w:iCs/>
        </w:rPr>
        <w:t xml:space="preserve">Supplementary Figure </w:t>
      </w:r>
      <w:r w:rsidR="00E02015">
        <w:rPr>
          <w:rFonts w:cstheme="minorHAnsi"/>
          <w:b/>
          <w:bCs/>
          <w:i/>
          <w:iCs/>
        </w:rPr>
        <w:t>9</w:t>
      </w:r>
      <w:r w:rsidRPr="00BC6D9D">
        <w:rPr>
          <w:rFonts w:cstheme="minorHAnsi"/>
          <w:b/>
          <w:bCs/>
          <w:i/>
          <w:iCs/>
        </w:rPr>
        <w:t xml:space="preserve">. </w:t>
      </w:r>
      <w:r w:rsidRPr="00BC6D9D">
        <w:rPr>
          <w:i/>
          <w:iCs/>
        </w:rPr>
        <w:t>Model validation for the global drivers - biomass &gt; 20cm model showing a) trace plots and b) posterior predictive checks</w:t>
      </w:r>
    </w:p>
    <w:p w14:paraId="28C52886" w14:textId="2FC4795A" w:rsidR="00B14FD4" w:rsidRDefault="007F3D11" w:rsidP="00404301">
      <w:pPr>
        <w:rPr>
          <w:b/>
          <w:bCs/>
        </w:rPr>
      </w:pPr>
      <w:r>
        <w:rPr>
          <w:b/>
          <w:bCs/>
          <w:noProof/>
          <w14:ligatures w14:val="standardContextual"/>
        </w:rPr>
        <w:lastRenderedPageBreak/>
        <w:drawing>
          <wp:inline distT="0" distB="0" distL="0" distR="0" wp14:anchorId="1F704E3C" wp14:editId="3441BE30">
            <wp:extent cx="5731510" cy="5731510"/>
            <wp:effectExtent l="0" t="0" r="0" b="0"/>
            <wp:docPr id="807361110"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61110" name="Picture 6" descr="A screenshot of a grap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7840076" w14:textId="4D276017" w:rsidR="00AE7BF4" w:rsidRPr="00BC6D9D" w:rsidRDefault="00AE7BF4" w:rsidP="00AE7BF4">
      <w:pPr>
        <w:rPr>
          <w:i/>
          <w:iCs/>
        </w:rPr>
      </w:pPr>
      <w:r w:rsidRPr="00BC6D9D">
        <w:rPr>
          <w:rFonts w:cstheme="minorHAnsi"/>
          <w:b/>
          <w:bCs/>
          <w:i/>
          <w:iCs/>
        </w:rPr>
        <w:t xml:space="preserve">Supplementary Figure </w:t>
      </w:r>
      <w:r w:rsidR="004200F2">
        <w:rPr>
          <w:rFonts w:cstheme="minorHAnsi"/>
          <w:b/>
          <w:bCs/>
          <w:i/>
          <w:iCs/>
        </w:rPr>
        <w:t>10</w:t>
      </w:r>
      <w:r w:rsidRPr="00BC6D9D">
        <w:rPr>
          <w:rFonts w:cstheme="minorHAnsi"/>
          <w:b/>
          <w:bCs/>
          <w:i/>
          <w:iCs/>
        </w:rPr>
        <w:t xml:space="preserve">. </w:t>
      </w:r>
      <w:r w:rsidRPr="00BC6D9D">
        <w:rPr>
          <w:i/>
          <w:iCs/>
        </w:rPr>
        <w:t xml:space="preserve">Model validation for the </w:t>
      </w:r>
      <w:r w:rsidR="00120EBD" w:rsidRPr="00BC6D9D">
        <w:rPr>
          <w:i/>
          <w:iCs/>
        </w:rPr>
        <w:t>global drivers – fecundity model</w:t>
      </w:r>
      <w:r w:rsidRPr="00BC6D9D">
        <w:rPr>
          <w:i/>
          <w:iCs/>
        </w:rPr>
        <w:t xml:space="preserve"> showing a) trace plots and b) posterior predictive checks</w:t>
      </w:r>
    </w:p>
    <w:p w14:paraId="24F5D540" w14:textId="60C23F70" w:rsidR="007F3D11" w:rsidRDefault="001A4730" w:rsidP="00AE7BF4">
      <w:pPr>
        <w:rPr>
          <w:i/>
          <w:iCs/>
        </w:rPr>
      </w:pPr>
      <w:r>
        <w:rPr>
          <w:i/>
          <w:iCs/>
          <w:noProof/>
          <w14:ligatures w14:val="standardContextual"/>
        </w:rPr>
        <w:lastRenderedPageBreak/>
        <w:drawing>
          <wp:inline distT="0" distB="0" distL="0" distR="0" wp14:anchorId="17089497" wp14:editId="6E93A179">
            <wp:extent cx="5731510" cy="5731510"/>
            <wp:effectExtent l="0" t="0" r="0" b="0"/>
            <wp:docPr id="32206733"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6733" name="Picture 7" descr="A screenshot of a graph&#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060F3D2" w14:textId="3933CEDD" w:rsidR="007F3D11" w:rsidRDefault="007F3D11" w:rsidP="007F3D11">
      <w:pPr>
        <w:rPr>
          <w:i/>
          <w:iCs/>
        </w:rPr>
      </w:pPr>
      <w:r w:rsidRPr="00BC6D9D">
        <w:rPr>
          <w:rFonts w:cstheme="minorHAnsi"/>
          <w:b/>
          <w:bCs/>
          <w:i/>
          <w:iCs/>
        </w:rPr>
        <w:t xml:space="preserve">Supplementary Figure </w:t>
      </w:r>
      <w:r w:rsidR="00BC6D9D">
        <w:rPr>
          <w:rFonts w:cstheme="minorHAnsi"/>
          <w:b/>
          <w:bCs/>
          <w:i/>
          <w:iCs/>
        </w:rPr>
        <w:t>1</w:t>
      </w:r>
      <w:r w:rsidR="00C4674A">
        <w:rPr>
          <w:rFonts w:cstheme="minorHAnsi"/>
          <w:b/>
          <w:bCs/>
          <w:i/>
          <w:iCs/>
        </w:rPr>
        <w:t>1</w:t>
      </w:r>
      <w:r w:rsidRPr="00BC6D9D">
        <w:rPr>
          <w:rFonts w:cstheme="minorHAnsi"/>
          <w:b/>
          <w:bCs/>
          <w:i/>
          <w:iCs/>
        </w:rPr>
        <w:t xml:space="preserve">. </w:t>
      </w:r>
      <w:r w:rsidRPr="00BC6D9D">
        <w:rPr>
          <w:i/>
          <w:iCs/>
        </w:rPr>
        <w:t xml:space="preserve">Model validation for the </w:t>
      </w:r>
      <w:r w:rsidR="00BC6D9D">
        <w:rPr>
          <w:i/>
          <w:iCs/>
        </w:rPr>
        <w:t>g</w:t>
      </w:r>
      <w:r w:rsidR="00BC6D9D" w:rsidRPr="00237CE1">
        <w:rPr>
          <w:i/>
          <w:iCs/>
        </w:rPr>
        <w:t>lobal drivers – mature female biomass model</w:t>
      </w:r>
      <w:r w:rsidR="00BC6D9D" w:rsidRPr="00BC6D9D">
        <w:rPr>
          <w:i/>
          <w:iCs/>
        </w:rPr>
        <w:t xml:space="preserve"> </w:t>
      </w:r>
      <w:r w:rsidRPr="00BC6D9D">
        <w:rPr>
          <w:i/>
          <w:iCs/>
        </w:rPr>
        <w:t>a) trace plots and b) posterior predictive checks</w:t>
      </w:r>
    </w:p>
    <w:p w14:paraId="2255B483" w14:textId="77777777" w:rsidR="00D459EB" w:rsidRDefault="00D459EB" w:rsidP="007F3D11">
      <w:pPr>
        <w:rPr>
          <w:i/>
          <w:iCs/>
        </w:rPr>
      </w:pPr>
    </w:p>
    <w:p w14:paraId="157A6536" w14:textId="1D6D2AC1" w:rsidR="00D459EB" w:rsidRPr="00BC6D9D" w:rsidRDefault="00D459EB" w:rsidP="007F3D11">
      <w:pPr>
        <w:rPr>
          <w:b/>
          <w:bCs/>
          <w:i/>
          <w:iCs/>
        </w:rPr>
      </w:pPr>
      <w:r>
        <w:rPr>
          <w:b/>
          <w:bCs/>
          <w:i/>
          <w:iCs/>
          <w:noProof/>
          <w14:ligatures w14:val="standardContextual"/>
        </w:rPr>
        <w:lastRenderedPageBreak/>
        <w:drawing>
          <wp:inline distT="0" distB="0" distL="0" distR="0" wp14:anchorId="000DEDE2" wp14:editId="2D77DE3A">
            <wp:extent cx="5731510" cy="5704840"/>
            <wp:effectExtent l="0" t="0" r="0" b="0"/>
            <wp:docPr id="44028268"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8268" name="Picture 8" descr="A screenshot of a graph&#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5704840"/>
                    </a:xfrm>
                    <a:prstGeom prst="rect">
                      <a:avLst/>
                    </a:prstGeom>
                  </pic:spPr>
                </pic:pic>
              </a:graphicData>
            </a:graphic>
          </wp:inline>
        </w:drawing>
      </w:r>
    </w:p>
    <w:p w14:paraId="15331B06" w14:textId="5A183053" w:rsidR="001A4730" w:rsidRPr="00BC6D9D" w:rsidRDefault="001A4730" w:rsidP="001A4730">
      <w:pPr>
        <w:rPr>
          <w:b/>
          <w:bCs/>
          <w:i/>
          <w:iCs/>
        </w:rPr>
      </w:pPr>
      <w:r w:rsidRPr="00BC6D9D">
        <w:rPr>
          <w:rFonts w:cstheme="minorHAnsi"/>
          <w:b/>
          <w:bCs/>
          <w:i/>
          <w:iCs/>
        </w:rPr>
        <w:t xml:space="preserve">Supplementary Figure </w:t>
      </w:r>
      <w:r>
        <w:rPr>
          <w:rFonts w:cstheme="minorHAnsi"/>
          <w:b/>
          <w:bCs/>
          <w:i/>
          <w:iCs/>
        </w:rPr>
        <w:t>1</w:t>
      </w:r>
      <w:r w:rsidR="001863E5">
        <w:rPr>
          <w:rFonts w:cstheme="minorHAnsi"/>
          <w:b/>
          <w:bCs/>
          <w:i/>
          <w:iCs/>
        </w:rPr>
        <w:t>2</w:t>
      </w:r>
      <w:r w:rsidRPr="00BC6D9D">
        <w:rPr>
          <w:rFonts w:cstheme="minorHAnsi"/>
          <w:b/>
          <w:bCs/>
          <w:i/>
          <w:iCs/>
        </w:rPr>
        <w:t xml:space="preserve">. </w:t>
      </w:r>
      <w:r w:rsidRPr="00BC6D9D">
        <w:rPr>
          <w:i/>
          <w:iCs/>
        </w:rPr>
        <w:t xml:space="preserve">Model validation for the </w:t>
      </w:r>
      <w:r w:rsidR="003B22E6">
        <w:rPr>
          <w:i/>
          <w:iCs/>
        </w:rPr>
        <w:t>g</w:t>
      </w:r>
      <w:r w:rsidR="003B22E6" w:rsidRPr="00237CE1">
        <w:rPr>
          <w:i/>
          <w:iCs/>
        </w:rPr>
        <w:t xml:space="preserve">lobal drivers – Serranidae </w:t>
      </w:r>
      <w:proofErr w:type="spellStart"/>
      <w:r w:rsidR="003B22E6" w:rsidRPr="00237CE1">
        <w:rPr>
          <w:i/>
          <w:iCs/>
        </w:rPr>
        <w:t>hurdlelog</w:t>
      </w:r>
      <w:proofErr w:type="spellEnd"/>
      <w:r w:rsidR="003B22E6" w:rsidRPr="00237CE1">
        <w:rPr>
          <w:i/>
          <w:iCs/>
        </w:rPr>
        <w:t xml:space="preserve"> model</w:t>
      </w:r>
      <w:r w:rsidR="003B22E6" w:rsidRPr="00BC6D9D">
        <w:rPr>
          <w:i/>
          <w:iCs/>
        </w:rPr>
        <w:t xml:space="preserve"> </w:t>
      </w:r>
      <w:r w:rsidRPr="00BC6D9D">
        <w:rPr>
          <w:i/>
          <w:iCs/>
        </w:rPr>
        <w:t>a) trace plots and b) posterior predictive checks</w:t>
      </w:r>
    </w:p>
    <w:p w14:paraId="33D57E74" w14:textId="37B9D898" w:rsidR="007F3D11" w:rsidRDefault="00EB3213" w:rsidP="00AE7BF4">
      <w:pPr>
        <w:rPr>
          <w:b/>
          <w:bCs/>
        </w:rPr>
      </w:pPr>
      <w:r>
        <w:rPr>
          <w:b/>
          <w:bCs/>
          <w:noProof/>
          <w14:ligatures w14:val="standardContextual"/>
        </w:rPr>
        <w:lastRenderedPageBreak/>
        <w:drawing>
          <wp:inline distT="0" distB="0" distL="0" distR="0" wp14:anchorId="6FB711A3" wp14:editId="3F7632CA">
            <wp:extent cx="5731510" cy="5731510"/>
            <wp:effectExtent l="0" t="0" r="0" b="0"/>
            <wp:docPr id="1241333591" name="Picture 1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33591" name="Picture 12" descr="A screenshot of a graph&#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01BAA7E" w14:textId="753826ED" w:rsidR="00D459EB" w:rsidRDefault="00D459EB" w:rsidP="00D459EB">
      <w:pPr>
        <w:rPr>
          <w:i/>
          <w:iCs/>
        </w:rPr>
      </w:pPr>
      <w:r w:rsidRPr="00BC6D9D">
        <w:rPr>
          <w:rFonts w:cstheme="minorHAnsi"/>
          <w:b/>
          <w:bCs/>
          <w:i/>
          <w:iCs/>
        </w:rPr>
        <w:t xml:space="preserve">Supplementary Figure </w:t>
      </w:r>
      <w:r>
        <w:rPr>
          <w:rFonts w:cstheme="minorHAnsi"/>
          <w:b/>
          <w:bCs/>
          <w:i/>
          <w:iCs/>
        </w:rPr>
        <w:t>1</w:t>
      </w:r>
      <w:r w:rsidR="007A0D6D">
        <w:rPr>
          <w:rFonts w:cstheme="minorHAnsi"/>
          <w:b/>
          <w:bCs/>
          <w:i/>
          <w:iCs/>
        </w:rPr>
        <w:t>3</w:t>
      </w:r>
      <w:r w:rsidRPr="00BC6D9D">
        <w:rPr>
          <w:rFonts w:cstheme="minorHAnsi"/>
          <w:b/>
          <w:bCs/>
          <w:i/>
          <w:iCs/>
        </w:rPr>
        <w:t xml:space="preserve">. </w:t>
      </w:r>
      <w:r w:rsidRPr="00BC6D9D">
        <w:rPr>
          <w:i/>
          <w:iCs/>
        </w:rPr>
        <w:t xml:space="preserve">Model validation for the </w:t>
      </w:r>
      <w:r w:rsidR="009A6CB6">
        <w:rPr>
          <w:i/>
          <w:iCs/>
        </w:rPr>
        <w:t>g</w:t>
      </w:r>
      <w:r w:rsidR="009A6CB6" w:rsidRPr="00237CE1">
        <w:rPr>
          <w:i/>
          <w:iCs/>
        </w:rPr>
        <w:t>lobal drivers – Serranidae no zeros model</w:t>
      </w:r>
      <w:r w:rsidR="009A6CB6" w:rsidRPr="00BC6D9D">
        <w:rPr>
          <w:i/>
          <w:iCs/>
        </w:rPr>
        <w:t xml:space="preserve"> </w:t>
      </w:r>
      <w:r w:rsidRPr="00BC6D9D">
        <w:rPr>
          <w:i/>
          <w:iCs/>
        </w:rPr>
        <w:t>a) trace plots and b) posterior predictive checks</w:t>
      </w:r>
    </w:p>
    <w:p w14:paraId="66E61CAF" w14:textId="202A6548" w:rsidR="00372520" w:rsidRPr="00BC6D9D" w:rsidRDefault="00403049" w:rsidP="00D459EB">
      <w:pPr>
        <w:rPr>
          <w:b/>
          <w:bCs/>
          <w:i/>
          <w:iCs/>
        </w:rPr>
      </w:pPr>
      <w:r>
        <w:rPr>
          <w:b/>
          <w:bCs/>
          <w:i/>
          <w:iCs/>
          <w:noProof/>
          <w14:ligatures w14:val="standardContextual"/>
        </w:rPr>
        <w:lastRenderedPageBreak/>
        <w:drawing>
          <wp:inline distT="0" distB="0" distL="0" distR="0" wp14:anchorId="157C2E56" wp14:editId="10AE3574">
            <wp:extent cx="5731510" cy="5704840"/>
            <wp:effectExtent l="0" t="0" r="0" b="0"/>
            <wp:docPr id="1069707804" name="Picture 1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07804" name="Picture 10" descr="A screenshot of a graph&#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5704840"/>
                    </a:xfrm>
                    <a:prstGeom prst="rect">
                      <a:avLst/>
                    </a:prstGeom>
                  </pic:spPr>
                </pic:pic>
              </a:graphicData>
            </a:graphic>
          </wp:inline>
        </w:drawing>
      </w:r>
    </w:p>
    <w:p w14:paraId="66EB9DC6" w14:textId="6F59AC65" w:rsidR="004A198F" w:rsidRDefault="004A198F" w:rsidP="004A198F">
      <w:pPr>
        <w:rPr>
          <w:i/>
          <w:iCs/>
        </w:rPr>
      </w:pPr>
      <w:r w:rsidRPr="00BC6D9D">
        <w:rPr>
          <w:rFonts w:cstheme="minorHAnsi"/>
          <w:b/>
          <w:bCs/>
          <w:i/>
          <w:iCs/>
        </w:rPr>
        <w:t xml:space="preserve">Supplementary Figure </w:t>
      </w:r>
      <w:r>
        <w:rPr>
          <w:rFonts w:cstheme="minorHAnsi"/>
          <w:b/>
          <w:bCs/>
          <w:i/>
          <w:iCs/>
        </w:rPr>
        <w:t>1</w:t>
      </w:r>
      <w:r w:rsidR="00264D26">
        <w:rPr>
          <w:rFonts w:cstheme="minorHAnsi"/>
          <w:b/>
          <w:bCs/>
          <w:i/>
          <w:iCs/>
        </w:rPr>
        <w:t>4</w:t>
      </w:r>
      <w:r w:rsidRPr="00BC6D9D">
        <w:rPr>
          <w:rFonts w:cstheme="minorHAnsi"/>
          <w:b/>
          <w:bCs/>
          <w:i/>
          <w:iCs/>
        </w:rPr>
        <w:t xml:space="preserve">. </w:t>
      </w:r>
      <w:r w:rsidRPr="00BC6D9D">
        <w:rPr>
          <w:i/>
          <w:iCs/>
        </w:rPr>
        <w:t xml:space="preserve">Model validation for the </w:t>
      </w:r>
      <w:r w:rsidR="00372520">
        <w:rPr>
          <w:i/>
          <w:iCs/>
        </w:rPr>
        <w:t>g</w:t>
      </w:r>
      <w:r w:rsidR="00372520" w:rsidRPr="00237CE1">
        <w:rPr>
          <w:i/>
          <w:iCs/>
        </w:rPr>
        <w:t xml:space="preserve">lobal drivers – </w:t>
      </w:r>
      <w:proofErr w:type="spellStart"/>
      <w:r w:rsidR="00372520" w:rsidRPr="00237CE1">
        <w:rPr>
          <w:i/>
          <w:iCs/>
        </w:rPr>
        <w:t>Scarini</w:t>
      </w:r>
      <w:proofErr w:type="spellEnd"/>
      <w:r w:rsidR="00372520" w:rsidRPr="00237CE1">
        <w:rPr>
          <w:i/>
          <w:iCs/>
        </w:rPr>
        <w:t xml:space="preserve"> </w:t>
      </w:r>
      <w:proofErr w:type="spellStart"/>
      <w:r w:rsidR="00372520" w:rsidRPr="00237CE1">
        <w:rPr>
          <w:i/>
          <w:iCs/>
        </w:rPr>
        <w:t>hurdlelog</w:t>
      </w:r>
      <w:proofErr w:type="spellEnd"/>
      <w:r w:rsidR="00372520" w:rsidRPr="00237CE1">
        <w:rPr>
          <w:i/>
          <w:iCs/>
        </w:rPr>
        <w:t xml:space="preserve"> model</w:t>
      </w:r>
      <w:r w:rsidR="00372520" w:rsidRPr="00BC6D9D">
        <w:rPr>
          <w:i/>
          <w:iCs/>
        </w:rPr>
        <w:t xml:space="preserve"> </w:t>
      </w:r>
      <w:r w:rsidRPr="00BC6D9D">
        <w:rPr>
          <w:i/>
          <w:iCs/>
        </w:rPr>
        <w:t>a) trace plots and b) posterior predictive checks</w:t>
      </w:r>
    </w:p>
    <w:p w14:paraId="77B041A1" w14:textId="77777777" w:rsidR="0028090C" w:rsidRDefault="0028090C" w:rsidP="004A198F">
      <w:pPr>
        <w:rPr>
          <w:i/>
          <w:iCs/>
        </w:rPr>
      </w:pPr>
    </w:p>
    <w:p w14:paraId="6040DFC7" w14:textId="2CCE21EC" w:rsidR="0028090C" w:rsidRPr="00BC6D9D" w:rsidRDefault="0028090C" w:rsidP="004A198F">
      <w:pPr>
        <w:rPr>
          <w:b/>
          <w:bCs/>
          <w:i/>
          <w:iCs/>
        </w:rPr>
      </w:pPr>
      <w:r>
        <w:rPr>
          <w:b/>
          <w:bCs/>
          <w:i/>
          <w:iCs/>
          <w:noProof/>
          <w14:ligatures w14:val="standardContextual"/>
        </w:rPr>
        <w:lastRenderedPageBreak/>
        <w:drawing>
          <wp:inline distT="0" distB="0" distL="0" distR="0" wp14:anchorId="7AF83099" wp14:editId="587BA9C8">
            <wp:extent cx="5731510" cy="5715635"/>
            <wp:effectExtent l="0" t="0" r="0" b="0"/>
            <wp:docPr id="813078751" name="Picture 1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78751" name="Picture 11" descr="A screenshot of a computer scree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5715635"/>
                    </a:xfrm>
                    <a:prstGeom prst="rect">
                      <a:avLst/>
                    </a:prstGeom>
                  </pic:spPr>
                </pic:pic>
              </a:graphicData>
            </a:graphic>
          </wp:inline>
        </w:drawing>
      </w:r>
    </w:p>
    <w:p w14:paraId="647817E0" w14:textId="03C5FB24" w:rsidR="00403049" w:rsidRPr="00BC6D9D" w:rsidRDefault="00403049" w:rsidP="00403049">
      <w:pPr>
        <w:rPr>
          <w:b/>
          <w:bCs/>
          <w:i/>
          <w:iCs/>
        </w:rPr>
      </w:pPr>
      <w:r w:rsidRPr="00BC6D9D">
        <w:rPr>
          <w:rFonts w:cstheme="minorHAnsi"/>
          <w:b/>
          <w:bCs/>
          <w:i/>
          <w:iCs/>
        </w:rPr>
        <w:t xml:space="preserve">Supplementary Figure </w:t>
      </w:r>
      <w:r>
        <w:rPr>
          <w:rFonts w:cstheme="minorHAnsi"/>
          <w:b/>
          <w:bCs/>
          <w:i/>
          <w:iCs/>
        </w:rPr>
        <w:t>1</w:t>
      </w:r>
      <w:r w:rsidR="00374055">
        <w:rPr>
          <w:rFonts w:cstheme="minorHAnsi"/>
          <w:b/>
          <w:bCs/>
          <w:i/>
          <w:iCs/>
        </w:rPr>
        <w:t>5</w:t>
      </w:r>
      <w:r w:rsidRPr="00BC6D9D">
        <w:rPr>
          <w:rFonts w:cstheme="minorHAnsi"/>
          <w:b/>
          <w:bCs/>
          <w:i/>
          <w:iCs/>
        </w:rPr>
        <w:t xml:space="preserve">. </w:t>
      </w:r>
      <w:r w:rsidRPr="00BC6D9D">
        <w:rPr>
          <w:i/>
          <w:iCs/>
        </w:rPr>
        <w:t xml:space="preserve">Model validation for the </w:t>
      </w:r>
      <w:r w:rsidR="00557D67">
        <w:rPr>
          <w:i/>
          <w:iCs/>
        </w:rPr>
        <w:t>g</w:t>
      </w:r>
      <w:r w:rsidR="00557D67" w:rsidRPr="00237CE1">
        <w:rPr>
          <w:i/>
          <w:iCs/>
        </w:rPr>
        <w:t xml:space="preserve">lobal drivers – </w:t>
      </w:r>
      <w:proofErr w:type="spellStart"/>
      <w:r w:rsidR="00557D67" w:rsidRPr="00237CE1">
        <w:rPr>
          <w:i/>
          <w:iCs/>
        </w:rPr>
        <w:t>Scarini</w:t>
      </w:r>
      <w:proofErr w:type="spellEnd"/>
      <w:r w:rsidR="00557D67" w:rsidRPr="00237CE1">
        <w:rPr>
          <w:i/>
          <w:iCs/>
        </w:rPr>
        <w:t xml:space="preserve"> no zeros model</w:t>
      </w:r>
      <w:r w:rsidR="00557D67" w:rsidRPr="00BC6D9D">
        <w:rPr>
          <w:i/>
          <w:iCs/>
        </w:rPr>
        <w:t xml:space="preserve"> </w:t>
      </w:r>
      <w:r w:rsidRPr="00BC6D9D">
        <w:rPr>
          <w:i/>
          <w:iCs/>
        </w:rPr>
        <w:t>a) trace plots and b) posterior predictive checks</w:t>
      </w:r>
    </w:p>
    <w:p w14:paraId="6C291BC8" w14:textId="77777777" w:rsidR="00D459EB" w:rsidRDefault="00D459EB" w:rsidP="00AE7BF4">
      <w:pPr>
        <w:rPr>
          <w:b/>
          <w:bCs/>
        </w:rPr>
      </w:pPr>
    </w:p>
    <w:p w14:paraId="6105AB97" w14:textId="3ED484FE" w:rsidR="00B76B80" w:rsidRDefault="00B76B80" w:rsidP="00AE7BF4">
      <w:pPr>
        <w:rPr>
          <w:b/>
          <w:bCs/>
        </w:rPr>
      </w:pPr>
      <w:r>
        <w:rPr>
          <w:b/>
          <w:bCs/>
          <w:noProof/>
          <w14:ligatures w14:val="standardContextual"/>
        </w:rPr>
        <w:lastRenderedPageBreak/>
        <w:drawing>
          <wp:inline distT="0" distB="0" distL="0" distR="0" wp14:anchorId="79FECCF3" wp14:editId="18503D14">
            <wp:extent cx="5731510" cy="5704840"/>
            <wp:effectExtent l="0" t="0" r="0" b="0"/>
            <wp:docPr id="121447014" name="Picture 1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7014" name="Picture 13" descr="A screenshot of a graph&#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5704840"/>
                    </a:xfrm>
                    <a:prstGeom prst="rect">
                      <a:avLst/>
                    </a:prstGeom>
                  </pic:spPr>
                </pic:pic>
              </a:graphicData>
            </a:graphic>
          </wp:inline>
        </w:drawing>
      </w:r>
    </w:p>
    <w:p w14:paraId="382ADC42" w14:textId="308B3842" w:rsidR="0028090C" w:rsidRPr="00BC6D9D" w:rsidRDefault="0028090C" w:rsidP="0028090C">
      <w:pPr>
        <w:rPr>
          <w:b/>
          <w:bCs/>
          <w:i/>
          <w:iCs/>
        </w:rPr>
      </w:pPr>
      <w:r w:rsidRPr="00BC6D9D">
        <w:rPr>
          <w:rFonts w:cstheme="minorHAnsi"/>
          <w:b/>
          <w:bCs/>
          <w:i/>
          <w:iCs/>
        </w:rPr>
        <w:t xml:space="preserve">Supplementary Figure </w:t>
      </w:r>
      <w:r>
        <w:rPr>
          <w:rFonts w:cstheme="minorHAnsi"/>
          <w:b/>
          <w:bCs/>
          <w:i/>
          <w:iCs/>
        </w:rPr>
        <w:t>1</w:t>
      </w:r>
      <w:r w:rsidR="00C478F8">
        <w:rPr>
          <w:rFonts w:cstheme="minorHAnsi"/>
          <w:b/>
          <w:bCs/>
          <w:i/>
          <w:iCs/>
        </w:rPr>
        <w:t>6</w:t>
      </w:r>
      <w:r w:rsidRPr="00BC6D9D">
        <w:rPr>
          <w:rFonts w:cstheme="minorHAnsi"/>
          <w:b/>
          <w:bCs/>
          <w:i/>
          <w:iCs/>
        </w:rPr>
        <w:t xml:space="preserve">. </w:t>
      </w:r>
      <w:r w:rsidRPr="00BC6D9D">
        <w:rPr>
          <w:i/>
          <w:iCs/>
        </w:rPr>
        <w:t xml:space="preserve">Model validation for the </w:t>
      </w:r>
      <w:r w:rsidR="00E10BA1">
        <w:rPr>
          <w:i/>
          <w:iCs/>
        </w:rPr>
        <w:t>g</w:t>
      </w:r>
      <w:r w:rsidR="00E10BA1" w:rsidRPr="00237CE1">
        <w:rPr>
          <w:i/>
          <w:iCs/>
        </w:rPr>
        <w:t xml:space="preserve">lobal drivers – </w:t>
      </w:r>
      <w:proofErr w:type="spellStart"/>
      <w:r w:rsidR="00E10BA1" w:rsidRPr="00237CE1">
        <w:rPr>
          <w:i/>
          <w:iCs/>
        </w:rPr>
        <w:t>Lutjanidae</w:t>
      </w:r>
      <w:proofErr w:type="spellEnd"/>
      <w:r w:rsidR="00E10BA1" w:rsidRPr="00237CE1">
        <w:rPr>
          <w:i/>
          <w:iCs/>
        </w:rPr>
        <w:t xml:space="preserve"> </w:t>
      </w:r>
      <w:proofErr w:type="spellStart"/>
      <w:r w:rsidR="00E10BA1" w:rsidRPr="00237CE1">
        <w:rPr>
          <w:i/>
          <w:iCs/>
        </w:rPr>
        <w:t>hurdlelog</w:t>
      </w:r>
      <w:proofErr w:type="spellEnd"/>
      <w:r w:rsidR="00E10BA1" w:rsidRPr="00237CE1">
        <w:rPr>
          <w:i/>
          <w:iCs/>
        </w:rPr>
        <w:t xml:space="preserve"> model</w:t>
      </w:r>
      <w:r w:rsidR="00E10BA1" w:rsidRPr="00BC6D9D">
        <w:rPr>
          <w:i/>
          <w:iCs/>
        </w:rPr>
        <w:t xml:space="preserve"> </w:t>
      </w:r>
      <w:r w:rsidRPr="00BC6D9D">
        <w:rPr>
          <w:i/>
          <w:iCs/>
        </w:rPr>
        <w:t>a) trace plots and b) posterior predictive checks</w:t>
      </w:r>
    </w:p>
    <w:p w14:paraId="2D5BDC9A" w14:textId="77777777" w:rsidR="0028090C" w:rsidRDefault="0028090C" w:rsidP="00AE7BF4">
      <w:pPr>
        <w:rPr>
          <w:b/>
          <w:bCs/>
        </w:rPr>
      </w:pPr>
    </w:p>
    <w:p w14:paraId="1DCD1D1E" w14:textId="74C9537C" w:rsidR="00B76B80" w:rsidRDefault="00AD1C6B" w:rsidP="00AE7BF4">
      <w:pPr>
        <w:rPr>
          <w:b/>
          <w:bCs/>
        </w:rPr>
      </w:pPr>
      <w:r>
        <w:rPr>
          <w:b/>
          <w:bCs/>
          <w:noProof/>
          <w14:ligatures w14:val="standardContextual"/>
        </w:rPr>
        <w:lastRenderedPageBreak/>
        <w:drawing>
          <wp:inline distT="0" distB="0" distL="0" distR="0" wp14:anchorId="6A94B50E" wp14:editId="5B2B9E93">
            <wp:extent cx="5731510" cy="5731510"/>
            <wp:effectExtent l="0" t="0" r="0" b="0"/>
            <wp:docPr id="334527038" name="Picture 14"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27038" name="Picture 14" descr="A graph of a graph of a graph&#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3520A80" w14:textId="5C0D8040" w:rsidR="00E10BA1" w:rsidRPr="00BC6D9D" w:rsidRDefault="00E10BA1" w:rsidP="00E10BA1">
      <w:pPr>
        <w:rPr>
          <w:b/>
          <w:bCs/>
          <w:i/>
          <w:iCs/>
        </w:rPr>
      </w:pPr>
      <w:r w:rsidRPr="00BC6D9D">
        <w:rPr>
          <w:rFonts w:cstheme="minorHAnsi"/>
          <w:b/>
          <w:bCs/>
          <w:i/>
          <w:iCs/>
        </w:rPr>
        <w:t xml:space="preserve">Supplementary Figure </w:t>
      </w:r>
      <w:r>
        <w:rPr>
          <w:rFonts w:cstheme="minorHAnsi"/>
          <w:b/>
          <w:bCs/>
          <w:i/>
          <w:iCs/>
        </w:rPr>
        <w:t>1</w:t>
      </w:r>
      <w:r w:rsidR="004569BA">
        <w:rPr>
          <w:rFonts w:cstheme="minorHAnsi"/>
          <w:b/>
          <w:bCs/>
          <w:i/>
          <w:iCs/>
        </w:rPr>
        <w:t>7</w:t>
      </w:r>
      <w:r w:rsidRPr="00BC6D9D">
        <w:rPr>
          <w:rFonts w:cstheme="minorHAnsi"/>
          <w:b/>
          <w:bCs/>
          <w:i/>
          <w:iCs/>
        </w:rPr>
        <w:t xml:space="preserve">. </w:t>
      </w:r>
      <w:r w:rsidRPr="00BC6D9D">
        <w:rPr>
          <w:i/>
          <w:iCs/>
        </w:rPr>
        <w:t xml:space="preserve">Model validation for the </w:t>
      </w:r>
      <w:r>
        <w:rPr>
          <w:i/>
          <w:iCs/>
        </w:rPr>
        <w:t>g</w:t>
      </w:r>
      <w:r w:rsidRPr="00237CE1">
        <w:rPr>
          <w:i/>
          <w:iCs/>
        </w:rPr>
        <w:t xml:space="preserve">lobal drivers – </w:t>
      </w:r>
      <w:proofErr w:type="spellStart"/>
      <w:r w:rsidRPr="00237CE1">
        <w:rPr>
          <w:i/>
          <w:iCs/>
        </w:rPr>
        <w:t>Lutjanidae</w:t>
      </w:r>
      <w:proofErr w:type="spellEnd"/>
      <w:r w:rsidRPr="00237CE1">
        <w:rPr>
          <w:i/>
          <w:iCs/>
        </w:rPr>
        <w:t xml:space="preserve"> no zeros model </w:t>
      </w:r>
      <w:r w:rsidRPr="00BC6D9D">
        <w:rPr>
          <w:i/>
          <w:iCs/>
        </w:rPr>
        <w:t>a) trace plots and b) posterior predictive checks</w:t>
      </w:r>
    </w:p>
    <w:p w14:paraId="6900EB5C" w14:textId="77777777" w:rsidR="00E10BA1" w:rsidRPr="0074060B" w:rsidRDefault="00E10BA1" w:rsidP="00AE7BF4">
      <w:pPr>
        <w:rPr>
          <w:b/>
          <w:bCs/>
        </w:rPr>
      </w:pPr>
    </w:p>
    <w:p w14:paraId="1DD2B297" w14:textId="35347816" w:rsidR="00B91FCC" w:rsidRDefault="00B91FCC"/>
    <w:p w14:paraId="5A60E910" w14:textId="77777777" w:rsidR="009848A5" w:rsidRDefault="009848A5"/>
    <w:p w14:paraId="109AD900" w14:textId="77777777" w:rsidR="009848A5" w:rsidRDefault="009848A5"/>
    <w:p w14:paraId="160E8B5D" w14:textId="77777777" w:rsidR="009848A5" w:rsidRDefault="009848A5"/>
    <w:p w14:paraId="2C170978" w14:textId="77777777" w:rsidR="009848A5" w:rsidRDefault="009848A5"/>
    <w:p w14:paraId="5D2EA293" w14:textId="77777777" w:rsidR="009848A5" w:rsidRDefault="009848A5"/>
    <w:p w14:paraId="1D8F3AF6" w14:textId="77777777" w:rsidR="009848A5" w:rsidRDefault="009848A5"/>
    <w:p w14:paraId="105F2F72" w14:textId="77777777" w:rsidR="009848A5" w:rsidRDefault="009848A5"/>
    <w:p w14:paraId="7E07B479" w14:textId="4C765D91" w:rsidR="00B91FCC" w:rsidRPr="009848A5" w:rsidRDefault="009848A5">
      <w:pPr>
        <w:rPr>
          <w:b/>
          <w:bCs/>
        </w:rPr>
      </w:pPr>
      <w:r w:rsidRPr="009848A5">
        <w:rPr>
          <w:b/>
          <w:bCs/>
        </w:rPr>
        <w:lastRenderedPageBreak/>
        <w:t>References</w:t>
      </w:r>
    </w:p>
    <w:p w14:paraId="5D030F95" w14:textId="77777777" w:rsidR="009848A5" w:rsidRPr="009848A5" w:rsidRDefault="009848A5" w:rsidP="009848A5">
      <w:pPr>
        <w:pStyle w:val="Bibliography"/>
        <w:rPr>
          <w:rFonts w:ascii="Calibri" w:cs="Calibri"/>
        </w:rPr>
      </w:pPr>
      <w:r>
        <w:fldChar w:fldCharType="begin"/>
      </w:r>
      <w:r>
        <w:instrText xml:space="preserve"> ADDIN ZOTERO_BIBL {"uncited":[],"omitted":[],"custom":[]} CSL_BIBLIOGRAPHY </w:instrText>
      </w:r>
      <w:r>
        <w:fldChar w:fldCharType="separate"/>
      </w:r>
      <w:r w:rsidRPr="009848A5">
        <w:rPr>
          <w:rFonts w:ascii="Calibri" w:cs="Calibri"/>
        </w:rPr>
        <w:t>1.</w:t>
      </w:r>
      <w:r w:rsidRPr="009848A5">
        <w:rPr>
          <w:rFonts w:ascii="Calibri" w:cs="Calibri"/>
        </w:rPr>
        <w:tab/>
        <w:t xml:space="preserve">Taylor, B. M. &amp; McIlwain, J. L. Beyond abundance and biomass: Effects of marine protected areas on the demography of a highly exploited reef fish. </w:t>
      </w:r>
      <w:r w:rsidRPr="009848A5">
        <w:rPr>
          <w:rFonts w:ascii="Calibri" w:cs="Calibri"/>
          <w:i/>
          <w:iCs/>
        </w:rPr>
        <w:t>Mar. Ecol. Prog. Ser.</w:t>
      </w:r>
      <w:r w:rsidRPr="009848A5">
        <w:rPr>
          <w:rFonts w:ascii="Calibri" w:cs="Calibri"/>
        </w:rPr>
        <w:t xml:space="preserve"> </w:t>
      </w:r>
      <w:r w:rsidRPr="009848A5">
        <w:rPr>
          <w:rFonts w:ascii="Calibri" w:cs="Calibri"/>
          <w:b/>
          <w:bCs/>
        </w:rPr>
        <w:t>411</w:t>
      </w:r>
      <w:r w:rsidRPr="009848A5">
        <w:rPr>
          <w:rFonts w:ascii="Calibri" w:cs="Calibri"/>
        </w:rPr>
        <w:t>, 243–258 (2010).</w:t>
      </w:r>
    </w:p>
    <w:p w14:paraId="5979AF47" w14:textId="77777777" w:rsidR="009848A5" w:rsidRPr="009848A5" w:rsidRDefault="009848A5" w:rsidP="009848A5">
      <w:pPr>
        <w:pStyle w:val="Bibliography"/>
        <w:rPr>
          <w:rFonts w:ascii="Calibri" w:cs="Calibri"/>
        </w:rPr>
      </w:pPr>
      <w:r w:rsidRPr="009848A5">
        <w:rPr>
          <w:rFonts w:ascii="Calibri" w:cs="Calibri"/>
        </w:rPr>
        <w:t>2.</w:t>
      </w:r>
      <w:r w:rsidRPr="009848A5">
        <w:rPr>
          <w:rFonts w:ascii="Calibri" w:cs="Calibri"/>
        </w:rPr>
        <w:tab/>
        <w:t xml:space="preserve">Rhodes, K. L. </w:t>
      </w:r>
      <w:r w:rsidRPr="009848A5">
        <w:rPr>
          <w:rFonts w:ascii="Calibri" w:cs="Calibri"/>
          <w:i/>
          <w:iCs/>
        </w:rPr>
        <w:t>et al.</w:t>
      </w:r>
      <w:r w:rsidRPr="009848A5">
        <w:rPr>
          <w:rFonts w:ascii="Calibri" w:cs="Calibri"/>
        </w:rPr>
        <w:t xml:space="preserve"> Reproductive biology of squaretail coralgrouper Plectropomus areolatus using age-based techniques. </w:t>
      </w:r>
      <w:r w:rsidRPr="009848A5">
        <w:rPr>
          <w:rFonts w:ascii="Calibri" w:cs="Calibri"/>
          <w:i/>
          <w:iCs/>
        </w:rPr>
        <w:t>J. Fish Biol.</w:t>
      </w:r>
      <w:r w:rsidRPr="009848A5">
        <w:rPr>
          <w:rFonts w:ascii="Calibri" w:cs="Calibri"/>
        </w:rPr>
        <w:t xml:space="preserve"> </w:t>
      </w:r>
      <w:r w:rsidRPr="009848A5">
        <w:rPr>
          <w:rFonts w:ascii="Calibri" w:cs="Calibri"/>
          <w:b/>
          <w:bCs/>
        </w:rPr>
        <w:t>82</w:t>
      </w:r>
      <w:r w:rsidRPr="009848A5">
        <w:rPr>
          <w:rFonts w:ascii="Calibri" w:cs="Calibri"/>
        </w:rPr>
        <w:t>, 1333–1350 (2013).</w:t>
      </w:r>
    </w:p>
    <w:p w14:paraId="2C462311" w14:textId="77777777" w:rsidR="009848A5" w:rsidRPr="009848A5" w:rsidRDefault="009848A5" w:rsidP="009848A5">
      <w:pPr>
        <w:pStyle w:val="Bibliography"/>
        <w:rPr>
          <w:rFonts w:ascii="Calibri" w:cs="Calibri"/>
        </w:rPr>
      </w:pPr>
      <w:r w:rsidRPr="009848A5">
        <w:rPr>
          <w:rFonts w:ascii="Calibri" w:cs="Calibri"/>
        </w:rPr>
        <w:t>3.</w:t>
      </w:r>
      <w:r w:rsidRPr="009848A5">
        <w:rPr>
          <w:rFonts w:ascii="Calibri" w:cs="Calibri"/>
        </w:rPr>
        <w:tab/>
        <w:t xml:space="preserve">Taylor, B. M. Drivers of protogynous sex change differ across spatial scales. </w:t>
      </w:r>
      <w:r w:rsidRPr="009848A5">
        <w:rPr>
          <w:rFonts w:ascii="Calibri" w:cs="Calibri"/>
          <w:i/>
          <w:iCs/>
        </w:rPr>
        <w:t>Proc. Biol. Sci.</w:t>
      </w:r>
      <w:r w:rsidRPr="009848A5">
        <w:rPr>
          <w:rFonts w:ascii="Calibri" w:cs="Calibri"/>
        </w:rPr>
        <w:t xml:space="preserve"> </w:t>
      </w:r>
      <w:r w:rsidRPr="009848A5">
        <w:rPr>
          <w:rFonts w:ascii="Calibri" w:cs="Calibri"/>
          <w:b/>
          <w:bCs/>
        </w:rPr>
        <w:t>281</w:t>
      </w:r>
      <w:r w:rsidRPr="009848A5">
        <w:rPr>
          <w:rFonts w:ascii="Calibri" w:cs="Calibri"/>
        </w:rPr>
        <w:t>, 20132423 (2014).</w:t>
      </w:r>
    </w:p>
    <w:p w14:paraId="19BC08B6" w14:textId="77777777" w:rsidR="009848A5" w:rsidRPr="009848A5" w:rsidRDefault="009848A5" w:rsidP="009848A5">
      <w:pPr>
        <w:pStyle w:val="Bibliography"/>
        <w:rPr>
          <w:rFonts w:ascii="Calibri" w:cs="Calibri"/>
        </w:rPr>
      </w:pPr>
      <w:r w:rsidRPr="009848A5">
        <w:rPr>
          <w:rFonts w:ascii="Calibri" w:cs="Calibri"/>
        </w:rPr>
        <w:t>4.</w:t>
      </w:r>
      <w:r w:rsidRPr="009848A5">
        <w:rPr>
          <w:rFonts w:ascii="Calibri" w:cs="Calibri"/>
        </w:rPr>
        <w:tab/>
        <w:t>Growth and reproduction of the highfin grouper Epinephelus maculatus - Rhodes - 2016 - Journal of Fish Biology - Wiley Online Library. https://onlinelibrary.wiley.com/doi/full/10.1111/jfb.12953?casa_token=SjfEsPVCdQ8AAAAA%3A52-fe-fojV4x_oE4kpwBwX96ZljGw3ozEFgAu0_snpo7jSmL83vRLVuxutjTWfN727E0jzIjd9Os.</w:t>
      </w:r>
    </w:p>
    <w:p w14:paraId="5DA6F72C" w14:textId="77777777" w:rsidR="009848A5" w:rsidRPr="009848A5" w:rsidRDefault="009848A5" w:rsidP="009848A5">
      <w:pPr>
        <w:pStyle w:val="Bibliography"/>
        <w:rPr>
          <w:rFonts w:ascii="Calibri" w:cs="Calibri"/>
        </w:rPr>
      </w:pPr>
      <w:r w:rsidRPr="009848A5">
        <w:rPr>
          <w:rFonts w:ascii="Calibri" w:cs="Calibri"/>
        </w:rPr>
        <w:t>5.</w:t>
      </w:r>
      <w:r w:rsidRPr="009848A5">
        <w:rPr>
          <w:rFonts w:ascii="Calibri" w:cs="Calibri"/>
        </w:rPr>
        <w:tab/>
        <w:t xml:space="preserve">Taylor, B. M., Oyafuso, Z. S. &amp; Trianni, M. S. Life history of the orange-striped emperor Lethrinus obsoletus from the Mariana Islands. </w:t>
      </w:r>
      <w:r w:rsidRPr="009848A5">
        <w:rPr>
          <w:rFonts w:ascii="Calibri" w:cs="Calibri"/>
          <w:i/>
          <w:iCs/>
        </w:rPr>
        <w:t>Ichthyol. Res.</w:t>
      </w:r>
      <w:r w:rsidRPr="009848A5">
        <w:rPr>
          <w:rFonts w:ascii="Calibri" w:cs="Calibri"/>
        </w:rPr>
        <w:t xml:space="preserve"> </w:t>
      </w:r>
      <w:r w:rsidRPr="009848A5">
        <w:rPr>
          <w:rFonts w:ascii="Calibri" w:cs="Calibri"/>
          <w:b/>
          <w:bCs/>
        </w:rPr>
        <w:t>64</w:t>
      </w:r>
      <w:r w:rsidRPr="009848A5">
        <w:rPr>
          <w:rFonts w:ascii="Calibri" w:cs="Calibri"/>
        </w:rPr>
        <w:t>, 423–432 (2017).</w:t>
      </w:r>
    </w:p>
    <w:p w14:paraId="696530A4" w14:textId="77777777" w:rsidR="009848A5" w:rsidRPr="009848A5" w:rsidRDefault="009848A5" w:rsidP="009848A5">
      <w:pPr>
        <w:pStyle w:val="Bibliography"/>
        <w:rPr>
          <w:rFonts w:ascii="Calibri" w:cs="Calibri"/>
        </w:rPr>
      </w:pPr>
      <w:r w:rsidRPr="009848A5">
        <w:rPr>
          <w:rFonts w:ascii="Calibri" w:cs="Calibri"/>
        </w:rPr>
        <w:t>6.</w:t>
      </w:r>
      <w:r w:rsidRPr="009848A5">
        <w:rPr>
          <w:rFonts w:ascii="Calibri" w:cs="Calibri"/>
        </w:rPr>
        <w:tab/>
        <w:t>Growth and maturation of the redlip parrotfish Scarus rubroviolaceus - Taylor - 2017 - Journal of Fish Biology - Wiley Online Library. https://onlinelibrary.wiley.com/doi/full/10.1111/jfb.13309?casa_token=vs6QkkNjgzQAAAAA%3AHnCNnXlSHkdgToAmSS4r3OFNefsR7z5K9LpYJMjBJCTmhzlqSycnqKhrRWT6OrEb-oZYoTVLQbGO.</w:t>
      </w:r>
    </w:p>
    <w:p w14:paraId="6A0805BA" w14:textId="77777777" w:rsidR="009848A5" w:rsidRPr="009848A5" w:rsidRDefault="009848A5" w:rsidP="009848A5">
      <w:pPr>
        <w:pStyle w:val="Bibliography"/>
        <w:rPr>
          <w:rFonts w:ascii="Calibri" w:cs="Calibri"/>
        </w:rPr>
      </w:pPr>
      <w:r w:rsidRPr="009848A5">
        <w:rPr>
          <w:rFonts w:ascii="Calibri" w:cs="Calibri"/>
        </w:rPr>
        <w:t>7.</w:t>
      </w:r>
      <w:r w:rsidRPr="009848A5">
        <w:rPr>
          <w:rFonts w:ascii="Calibri" w:cs="Calibri"/>
        </w:rPr>
        <w:tab/>
        <w:t xml:space="preserve">Taylor, B. M. &amp; Cruz, E. Age-based and reproductive biology of the Pacific Longnose Parrotfish Hipposcarus longiceps from Guam. </w:t>
      </w:r>
      <w:r w:rsidRPr="009848A5">
        <w:rPr>
          <w:rFonts w:ascii="Calibri" w:cs="Calibri"/>
          <w:i/>
          <w:iCs/>
        </w:rPr>
        <w:t>PeerJ</w:t>
      </w:r>
      <w:r w:rsidRPr="009848A5">
        <w:rPr>
          <w:rFonts w:ascii="Calibri" w:cs="Calibri"/>
        </w:rPr>
        <w:t xml:space="preserve"> </w:t>
      </w:r>
      <w:r w:rsidRPr="009848A5">
        <w:rPr>
          <w:rFonts w:ascii="Calibri" w:cs="Calibri"/>
          <w:b/>
          <w:bCs/>
        </w:rPr>
        <w:t>5</w:t>
      </w:r>
      <w:r w:rsidRPr="009848A5">
        <w:rPr>
          <w:rFonts w:ascii="Calibri" w:cs="Calibri"/>
        </w:rPr>
        <w:t>, e4079 (2017).</w:t>
      </w:r>
    </w:p>
    <w:p w14:paraId="50D09DF7" w14:textId="77777777" w:rsidR="009848A5" w:rsidRPr="009848A5" w:rsidRDefault="009848A5" w:rsidP="009848A5">
      <w:pPr>
        <w:pStyle w:val="Bibliography"/>
        <w:rPr>
          <w:rFonts w:ascii="Calibri" w:cs="Calibri"/>
        </w:rPr>
      </w:pPr>
      <w:r w:rsidRPr="009848A5">
        <w:rPr>
          <w:rFonts w:ascii="Calibri" w:cs="Calibri"/>
        </w:rPr>
        <w:t>8.</w:t>
      </w:r>
      <w:r w:rsidRPr="009848A5">
        <w:rPr>
          <w:rFonts w:ascii="Calibri" w:cs="Calibri"/>
        </w:rPr>
        <w:tab/>
        <w:t xml:space="preserve">DeMartini, E. E. </w:t>
      </w:r>
      <w:r w:rsidRPr="009848A5">
        <w:rPr>
          <w:rFonts w:ascii="Calibri" w:cs="Calibri"/>
          <w:i/>
          <w:iCs/>
        </w:rPr>
        <w:t>et al.</w:t>
      </w:r>
      <w:r w:rsidRPr="009848A5">
        <w:rPr>
          <w:rFonts w:ascii="Calibri" w:cs="Calibri"/>
        </w:rPr>
        <w:t xml:space="preserve"> Comparative growth, age at maturity and sex change, and longevity of Hawaiian parrotfishes, with bomb radiocarbon validation. </w:t>
      </w:r>
      <w:r w:rsidRPr="009848A5">
        <w:rPr>
          <w:rFonts w:ascii="Calibri" w:cs="Calibri"/>
          <w:i/>
          <w:iCs/>
        </w:rPr>
        <w:t>Can. J. Fish. Aquat. Sci.</w:t>
      </w:r>
      <w:r w:rsidRPr="009848A5">
        <w:rPr>
          <w:rFonts w:ascii="Calibri" w:cs="Calibri"/>
        </w:rPr>
        <w:t xml:space="preserve"> </w:t>
      </w:r>
      <w:r w:rsidRPr="009848A5">
        <w:rPr>
          <w:rFonts w:ascii="Calibri" w:cs="Calibri"/>
          <w:b/>
          <w:bCs/>
        </w:rPr>
        <w:t>75</w:t>
      </w:r>
      <w:r w:rsidRPr="009848A5">
        <w:rPr>
          <w:rFonts w:ascii="Calibri" w:cs="Calibri"/>
        </w:rPr>
        <w:t>, 580–589 (2018).</w:t>
      </w:r>
    </w:p>
    <w:p w14:paraId="6E48EE0F" w14:textId="77777777" w:rsidR="009848A5" w:rsidRPr="009848A5" w:rsidRDefault="009848A5" w:rsidP="009848A5">
      <w:pPr>
        <w:pStyle w:val="Bibliography"/>
        <w:rPr>
          <w:rFonts w:ascii="Calibri" w:cs="Calibri"/>
        </w:rPr>
      </w:pPr>
      <w:r w:rsidRPr="009848A5">
        <w:rPr>
          <w:rFonts w:ascii="Calibri" w:cs="Calibri"/>
        </w:rPr>
        <w:t>9.</w:t>
      </w:r>
      <w:r w:rsidRPr="009848A5">
        <w:rPr>
          <w:rFonts w:ascii="Calibri" w:cs="Calibri"/>
        </w:rPr>
        <w:tab/>
        <w:t xml:space="preserve">Taylor, B. M., Oyafuso, Z. S., Pardee, C. B., Ochavillo, D. &amp; Newman, S. J. Comparative demography of commercially-harvested snappers and an emperor from American Samoa. </w:t>
      </w:r>
      <w:r w:rsidRPr="009848A5">
        <w:rPr>
          <w:rFonts w:ascii="Calibri" w:cs="Calibri"/>
          <w:i/>
          <w:iCs/>
        </w:rPr>
        <w:t>PeerJ</w:t>
      </w:r>
      <w:r w:rsidRPr="009848A5">
        <w:rPr>
          <w:rFonts w:ascii="Calibri" w:cs="Calibri"/>
        </w:rPr>
        <w:t xml:space="preserve"> </w:t>
      </w:r>
      <w:r w:rsidRPr="009848A5">
        <w:rPr>
          <w:rFonts w:ascii="Calibri" w:cs="Calibri"/>
          <w:b/>
          <w:bCs/>
        </w:rPr>
        <w:t>6</w:t>
      </w:r>
      <w:r w:rsidRPr="009848A5">
        <w:rPr>
          <w:rFonts w:ascii="Calibri" w:cs="Calibri"/>
        </w:rPr>
        <w:t>, e5069 (2018).</w:t>
      </w:r>
    </w:p>
    <w:p w14:paraId="7EE1B3C6" w14:textId="77777777" w:rsidR="009848A5" w:rsidRPr="009848A5" w:rsidRDefault="009848A5" w:rsidP="009848A5">
      <w:pPr>
        <w:pStyle w:val="Bibliography"/>
        <w:rPr>
          <w:rFonts w:ascii="Calibri" w:cs="Calibri"/>
        </w:rPr>
      </w:pPr>
      <w:r w:rsidRPr="009848A5">
        <w:rPr>
          <w:rFonts w:ascii="Calibri" w:cs="Calibri"/>
        </w:rPr>
        <w:lastRenderedPageBreak/>
        <w:t>10.</w:t>
      </w:r>
      <w:r w:rsidRPr="009848A5">
        <w:rPr>
          <w:rFonts w:ascii="Calibri" w:cs="Calibri"/>
        </w:rPr>
        <w:tab/>
        <w:t xml:space="preserve">Rhodes, K. L., Baremore, I. E., Taylor, B. M., Cuetos-Bueno, J. &amp; Hernandez, D. Aligning fisheries management with life history in two commercially important groupers in Chuuk, Federated States of Micronesia. </w:t>
      </w:r>
      <w:r w:rsidRPr="009848A5">
        <w:rPr>
          <w:rFonts w:ascii="Calibri" w:cs="Calibri"/>
          <w:i/>
          <w:iCs/>
        </w:rPr>
        <w:t>Aquat. Conserv. Mar. Freshw. Ecosyst.</w:t>
      </w:r>
      <w:r w:rsidRPr="009848A5">
        <w:rPr>
          <w:rFonts w:ascii="Calibri" w:cs="Calibri"/>
        </w:rPr>
        <w:t xml:space="preserve"> </w:t>
      </w:r>
      <w:r w:rsidRPr="009848A5">
        <w:rPr>
          <w:rFonts w:ascii="Calibri" w:cs="Calibri"/>
          <w:b/>
          <w:bCs/>
        </w:rPr>
        <w:t>31</w:t>
      </w:r>
      <w:r w:rsidRPr="009848A5">
        <w:rPr>
          <w:rFonts w:ascii="Calibri" w:cs="Calibri"/>
        </w:rPr>
        <w:t>, 605–619 (2021).</w:t>
      </w:r>
    </w:p>
    <w:p w14:paraId="33BABC93" w14:textId="77777777" w:rsidR="009848A5" w:rsidRPr="009848A5" w:rsidRDefault="009848A5" w:rsidP="009848A5">
      <w:pPr>
        <w:pStyle w:val="Bibliography"/>
        <w:rPr>
          <w:rFonts w:ascii="Calibri" w:cs="Calibri"/>
        </w:rPr>
      </w:pPr>
      <w:r w:rsidRPr="009848A5">
        <w:rPr>
          <w:rFonts w:ascii="Calibri" w:cs="Calibri"/>
        </w:rPr>
        <w:t>11.</w:t>
      </w:r>
      <w:r w:rsidRPr="009848A5">
        <w:rPr>
          <w:rFonts w:ascii="Calibri" w:cs="Calibri"/>
        </w:rPr>
        <w:tab/>
        <w:t xml:space="preserve">Pardee, C., Taylor, B. M., Felise, S., Ochavillo, D. &amp; Cuetos-Bueno, J. Growth and maturation of three commercially important coral reef species from American Samoa. </w:t>
      </w:r>
      <w:r w:rsidRPr="009848A5">
        <w:rPr>
          <w:rFonts w:ascii="Calibri" w:cs="Calibri"/>
          <w:i/>
          <w:iCs/>
        </w:rPr>
        <w:t>Fish. Sci.</w:t>
      </w:r>
      <w:r w:rsidRPr="009848A5">
        <w:rPr>
          <w:rFonts w:ascii="Calibri" w:cs="Calibri"/>
        </w:rPr>
        <w:t xml:space="preserve"> </w:t>
      </w:r>
      <w:r w:rsidRPr="009848A5">
        <w:rPr>
          <w:rFonts w:ascii="Calibri" w:cs="Calibri"/>
          <w:b/>
          <w:bCs/>
        </w:rPr>
        <w:t>86</w:t>
      </w:r>
      <w:r w:rsidRPr="009848A5">
        <w:rPr>
          <w:rFonts w:ascii="Calibri" w:cs="Calibri"/>
        </w:rPr>
        <w:t>, 985–993 (2020).</w:t>
      </w:r>
    </w:p>
    <w:p w14:paraId="1DE120CE" w14:textId="77777777" w:rsidR="009848A5" w:rsidRPr="009848A5" w:rsidRDefault="009848A5" w:rsidP="009848A5">
      <w:pPr>
        <w:pStyle w:val="Bibliography"/>
        <w:rPr>
          <w:rFonts w:ascii="Calibri" w:cs="Calibri"/>
        </w:rPr>
      </w:pPr>
      <w:r w:rsidRPr="009848A5">
        <w:rPr>
          <w:rFonts w:ascii="Calibri" w:cs="Calibri"/>
        </w:rPr>
        <w:t>12.</w:t>
      </w:r>
      <w:r w:rsidRPr="009848A5">
        <w:rPr>
          <w:rFonts w:ascii="Calibri" w:cs="Calibri"/>
        </w:rPr>
        <w:tab/>
        <w:t xml:space="preserve">Shimose, T. Age, growth, and reproductive traits of two large emperor fishes, Lethrinus olivaceus and L. xanthochilus, around Yaeyama Islands, Okinawa, southern Japan. </w:t>
      </w:r>
      <w:r w:rsidRPr="009848A5">
        <w:rPr>
          <w:rFonts w:ascii="Calibri" w:cs="Calibri"/>
          <w:i/>
          <w:iCs/>
        </w:rPr>
        <w:t>Environ. Biol. Fishes</w:t>
      </w:r>
      <w:r w:rsidRPr="009848A5">
        <w:rPr>
          <w:rFonts w:ascii="Calibri" w:cs="Calibri"/>
        </w:rPr>
        <w:t xml:space="preserve"> </w:t>
      </w:r>
      <w:r w:rsidRPr="009848A5">
        <w:rPr>
          <w:rFonts w:ascii="Calibri" w:cs="Calibri"/>
          <w:b/>
          <w:bCs/>
        </w:rPr>
        <w:t>104</w:t>
      </w:r>
      <w:r w:rsidRPr="009848A5">
        <w:rPr>
          <w:rFonts w:ascii="Calibri" w:cs="Calibri"/>
        </w:rPr>
        <w:t>, 181–194 (2021).</w:t>
      </w:r>
    </w:p>
    <w:p w14:paraId="60B44AA9" w14:textId="77777777" w:rsidR="009848A5" w:rsidRPr="009848A5" w:rsidRDefault="009848A5" w:rsidP="009848A5">
      <w:pPr>
        <w:pStyle w:val="Bibliography"/>
        <w:rPr>
          <w:rFonts w:ascii="Calibri" w:cs="Calibri"/>
        </w:rPr>
      </w:pPr>
      <w:r w:rsidRPr="009848A5">
        <w:rPr>
          <w:rFonts w:ascii="Calibri" w:cs="Calibri"/>
        </w:rPr>
        <w:t>13.</w:t>
      </w:r>
      <w:r w:rsidRPr="009848A5">
        <w:rPr>
          <w:rFonts w:ascii="Calibri" w:cs="Calibri"/>
        </w:rPr>
        <w:tab/>
        <w:t xml:space="preserve">Ebisawa, A. &amp; Ozawa, T. Life-history traits of eight Lethrinus species from two local populations in waters off the Ryukyu Islands. </w:t>
      </w:r>
      <w:r w:rsidRPr="009848A5">
        <w:rPr>
          <w:rFonts w:ascii="Calibri" w:cs="Calibri"/>
          <w:i/>
          <w:iCs/>
        </w:rPr>
        <w:t>Fish. Sci.</w:t>
      </w:r>
      <w:r w:rsidRPr="009848A5">
        <w:rPr>
          <w:rFonts w:ascii="Calibri" w:cs="Calibri"/>
        </w:rPr>
        <w:t xml:space="preserve"> </w:t>
      </w:r>
      <w:r w:rsidRPr="009848A5">
        <w:rPr>
          <w:rFonts w:ascii="Calibri" w:cs="Calibri"/>
          <w:b/>
          <w:bCs/>
        </w:rPr>
        <w:t>75</w:t>
      </w:r>
      <w:r w:rsidRPr="009848A5">
        <w:rPr>
          <w:rFonts w:ascii="Calibri" w:cs="Calibri"/>
        </w:rPr>
        <w:t>, 553–566 (2009).</w:t>
      </w:r>
    </w:p>
    <w:p w14:paraId="7FA12EB3" w14:textId="77777777" w:rsidR="009848A5" w:rsidRPr="009848A5" w:rsidRDefault="009848A5" w:rsidP="009848A5">
      <w:pPr>
        <w:pStyle w:val="Bibliography"/>
        <w:rPr>
          <w:rFonts w:ascii="Calibri" w:cs="Calibri"/>
        </w:rPr>
      </w:pPr>
      <w:r w:rsidRPr="009848A5">
        <w:rPr>
          <w:rFonts w:ascii="Calibri" w:cs="Calibri"/>
        </w:rPr>
        <w:t>14.</w:t>
      </w:r>
      <w:r w:rsidRPr="009848A5">
        <w:rPr>
          <w:rFonts w:ascii="Calibri" w:cs="Calibri"/>
        </w:rPr>
        <w:tab/>
        <w:t>Longenecker, K., Langston, R., Kondio, U., Bolick, H. &amp; Mulrooney, M. Rapid reproductive analysis and length&amp;#8211;weight relations of three reef fishes (Actinopterygii: Perciformes and Tetraodontiformes) from a remote site in Papua New Guinea. (2016).</w:t>
      </w:r>
    </w:p>
    <w:p w14:paraId="65898C26" w14:textId="77777777" w:rsidR="009848A5" w:rsidRPr="009848A5" w:rsidRDefault="009848A5" w:rsidP="009848A5">
      <w:pPr>
        <w:pStyle w:val="Bibliography"/>
        <w:rPr>
          <w:rFonts w:ascii="Calibri" w:cs="Calibri"/>
        </w:rPr>
      </w:pPr>
      <w:r w:rsidRPr="009848A5">
        <w:rPr>
          <w:rFonts w:ascii="Calibri" w:cs="Calibri"/>
        </w:rPr>
        <w:t>15.</w:t>
      </w:r>
      <w:r w:rsidRPr="009848A5">
        <w:rPr>
          <w:rFonts w:ascii="Calibri" w:cs="Calibri"/>
        </w:rPr>
        <w:tab/>
        <w:t xml:space="preserve">Grandcourt, E. M. Demographic characteristics of a selection of exploited reef fish from the Seychelles: preliminary study. </w:t>
      </w:r>
      <w:r w:rsidRPr="009848A5">
        <w:rPr>
          <w:rFonts w:ascii="Calibri" w:cs="Calibri"/>
          <w:i/>
          <w:iCs/>
        </w:rPr>
        <w:t>Mar. Freshw. Res.</w:t>
      </w:r>
      <w:r w:rsidRPr="009848A5">
        <w:rPr>
          <w:rFonts w:ascii="Calibri" w:cs="Calibri"/>
        </w:rPr>
        <w:t xml:space="preserve"> </w:t>
      </w:r>
      <w:r w:rsidRPr="009848A5">
        <w:rPr>
          <w:rFonts w:ascii="Calibri" w:cs="Calibri"/>
          <w:b/>
          <w:bCs/>
        </w:rPr>
        <w:t>53</w:t>
      </w:r>
      <w:r w:rsidRPr="009848A5">
        <w:rPr>
          <w:rFonts w:ascii="Calibri" w:cs="Calibri"/>
        </w:rPr>
        <w:t>, 123–130 (2002).</w:t>
      </w:r>
    </w:p>
    <w:p w14:paraId="68D2890F" w14:textId="77777777" w:rsidR="009848A5" w:rsidRPr="009848A5" w:rsidRDefault="009848A5" w:rsidP="009848A5">
      <w:pPr>
        <w:pStyle w:val="Bibliography"/>
        <w:rPr>
          <w:rFonts w:ascii="Calibri" w:cs="Calibri"/>
        </w:rPr>
      </w:pPr>
      <w:r w:rsidRPr="009848A5">
        <w:rPr>
          <w:rFonts w:ascii="Calibri" w:cs="Calibri"/>
        </w:rPr>
        <w:t>16.</w:t>
      </w:r>
      <w:r w:rsidRPr="009848A5">
        <w:rPr>
          <w:rFonts w:ascii="Calibri" w:cs="Calibri"/>
        </w:rPr>
        <w:tab/>
        <w:t xml:space="preserve">Ebisawa, A. </w:t>
      </w:r>
      <w:r w:rsidRPr="009848A5">
        <w:rPr>
          <w:rFonts w:ascii="Calibri" w:cs="Calibri"/>
          <w:i/>
          <w:iCs/>
        </w:rPr>
        <w:t>et al.</w:t>
      </w:r>
      <w:r w:rsidRPr="009848A5">
        <w:rPr>
          <w:rFonts w:ascii="Calibri" w:cs="Calibri"/>
        </w:rPr>
        <w:t xml:space="preserve"> Life history variables, annual change in sex ratios with age, and total mortality observed on commercial catch on Pacific steephead parrotfish, </w:t>
      </w:r>
      <w:r w:rsidRPr="009848A5">
        <w:rPr>
          <w:rFonts w:ascii="Calibri" w:cs="Calibri"/>
          <w:i/>
          <w:iCs/>
        </w:rPr>
        <w:t>Chlorurus microrhinos</w:t>
      </w:r>
      <w:r w:rsidRPr="009848A5">
        <w:rPr>
          <w:rFonts w:ascii="Calibri" w:cs="Calibri"/>
        </w:rPr>
        <w:t xml:space="preserve"> in waters off the Okinawa Island, southwestern Japan. </w:t>
      </w:r>
      <w:r w:rsidRPr="009848A5">
        <w:rPr>
          <w:rFonts w:ascii="Calibri" w:cs="Calibri"/>
          <w:i/>
          <w:iCs/>
        </w:rPr>
        <w:t>Reg. Stud. Mar. Sci.</w:t>
      </w:r>
      <w:r w:rsidRPr="009848A5">
        <w:rPr>
          <w:rFonts w:ascii="Calibri" w:cs="Calibri"/>
        </w:rPr>
        <w:t xml:space="preserve"> </w:t>
      </w:r>
      <w:r w:rsidRPr="009848A5">
        <w:rPr>
          <w:rFonts w:ascii="Calibri" w:cs="Calibri"/>
          <w:b/>
          <w:bCs/>
        </w:rPr>
        <w:t>8</w:t>
      </w:r>
      <w:r w:rsidRPr="009848A5">
        <w:rPr>
          <w:rFonts w:ascii="Calibri" w:cs="Calibri"/>
        </w:rPr>
        <w:t>, 65–76 (2016).</w:t>
      </w:r>
    </w:p>
    <w:p w14:paraId="6FE0FCEE" w14:textId="77777777" w:rsidR="009848A5" w:rsidRPr="009848A5" w:rsidRDefault="009848A5" w:rsidP="009848A5">
      <w:pPr>
        <w:pStyle w:val="Bibliography"/>
        <w:rPr>
          <w:rFonts w:ascii="Calibri" w:cs="Calibri"/>
        </w:rPr>
      </w:pPr>
      <w:r w:rsidRPr="009848A5">
        <w:rPr>
          <w:rFonts w:ascii="Calibri" w:cs="Calibri"/>
        </w:rPr>
        <w:t>17.</w:t>
      </w:r>
      <w:r w:rsidRPr="009848A5">
        <w:rPr>
          <w:rFonts w:ascii="Calibri" w:cs="Calibri"/>
        </w:rPr>
        <w:tab/>
        <w:t xml:space="preserve">Gust, N. Variation in the population biology of protogynous coral reef fishes over tens of kilometres. </w:t>
      </w:r>
      <w:r w:rsidRPr="009848A5">
        <w:rPr>
          <w:rFonts w:ascii="Calibri" w:cs="Calibri"/>
          <w:i/>
          <w:iCs/>
        </w:rPr>
        <w:t>Can. J. Fish. Aquat. Sci.</w:t>
      </w:r>
      <w:r w:rsidRPr="009848A5">
        <w:rPr>
          <w:rFonts w:ascii="Calibri" w:cs="Calibri"/>
        </w:rPr>
        <w:t xml:space="preserve"> </w:t>
      </w:r>
      <w:r w:rsidRPr="009848A5">
        <w:rPr>
          <w:rFonts w:ascii="Calibri" w:cs="Calibri"/>
          <w:b/>
          <w:bCs/>
        </w:rPr>
        <w:t>61</w:t>
      </w:r>
      <w:r w:rsidRPr="009848A5">
        <w:rPr>
          <w:rFonts w:ascii="Calibri" w:cs="Calibri"/>
        </w:rPr>
        <w:t>, 205–218 (2004).</w:t>
      </w:r>
    </w:p>
    <w:p w14:paraId="255439AA" w14:textId="77777777" w:rsidR="009848A5" w:rsidRPr="009848A5" w:rsidRDefault="009848A5" w:rsidP="009848A5">
      <w:pPr>
        <w:pStyle w:val="Bibliography"/>
        <w:rPr>
          <w:rFonts w:ascii="Calibri" w:cs="Calibri"/>
        </w:rPr>
      </w:pPr>
      <w:r w:rsidRPr="009848A5">
        <w:rPr>
          <w:rFonts w:ascii="Calibri" w:cs="Calibri"/>
        </w:rPr>
        <w:t>18.</w:t>
      </w:r>
      <w:r w:rsidRPr="009848A5">
        <w:rPr>
          <w:rFonts w:ascii="Calibri" w:cs="Calibri"/>
        </w:rPr>
        <w:tab/>
        <w:t xml:space="preserve">Adams, S. Morphological ontogeny of the gonad of three plectropomid species through sex differentiation and transition. </w:t>
      </w:r>
      <w:r w:rsidRPr="009848A5">
        <w:rPr>
          <w:rFonts w:ascii="Calibri" w:cs="Calibri"/>
          <w:i/>
          <w:iCs/>
        </w:rPr>
        <w:t>J. Fish Biol.</w:t>
      </w:r>
      <w:r w:rsidRPr="009848A5">
        <w:rPr>
          <w:rFonts w:ascii="Calibri" w:cs="Calibri"/>
        </w:rPr>
        <w:t xml:space="preserve"> </w:t>
      </w:r>
      <w:r w:rsidRPr="009848A5">
        <w:rPr>
          <w:rFonts w:ascii="Calibri" w:cs="Calibri"/>
          <w:b/>
          <w:bCs/>
        </w:rPr>
        <w:t>63</w:t>
      </w:r>
      <w:r w:rsidRPr="009848A5">
        <w:rPr>
          <w:rFonts w:ascii="Calibri" w:cs="Calibri"/>
        </w:rPr>
        <w:t>, 22–36 (2003).</w:t>
      </w:r>
    </w:p>
    <w:p w14:paraId="2B34E455" w14:textId="77777777" w:rsidR="009848A5" w:rsidRPr="009848A5" w:rsidRDefault="009848A5" w:rsidP="009848A5">
      <w:pPr>
        <w:pStyle w:val="Bibliography"/>
        <w:rPr>
          <w:rFonts w:ascii="Calibri" w:cs="Calibri"/>
        </w:rPr>
      </w:pPr>
      <w:r w:rsidRPr="009848A5">
        <w:rPr>
          <w:rFonts w:ascii="Calibri" w:cs="Calibri"/>
        </w:rPr>
        <w:t>19.</w:t>
      </w:r>
      <w:r w:rsidRPr="009848A5">
        <w:rPr>
          <w:rFonts w:ascii="Calibri" w:cs="Calibri"/>
        </w:rPr>
        <w:tab/>
        <w:t xml:space="preserve">Schemmel, E. M., Donovan, M. K., Wiggins, C., Anzivino, M. &amp; Friedlander, A. M. Reproductive life history of the introduced peacock grouper Cephalopholis argus in Hawaii. </w:t>
      </w:r>
      <w:r w:rsidRPr="009848A5">
        <w:rPr>
          <w:rFonts w:ascii="Calibri" w:cs="Calibri"/>
          <w:i/>
          <w:iCs/>
        </w:rPr>
        <w:t>J. Fish Biol.</w:t>
      </w:r>
      <w:r w:rsidRPr="009848A5">
        <w:rPr>
          <w:rFonts w:ascii="Calibri" w:cs="Calibri"/>
        </w:rPr>
        <w:t xml:space="preserve"> </w:t>
      </w:r>
      <w:r w:rsidRPr="009848A5">
        <w:rPr>
          <w:rFonts w:ascii="Calibri" w:cs="Calibri"/>
          <w:b/>
          <w:bCs/>
        </w:rPr>
        <w:t>89</w:t>
      </w:r>
      <w:r w:rsidRPr="009848A5">
        <w:rPr>
          <w:rFonts w:ascii="Calibri" w:cs="Calibri"/>
        </w:rPr>
        <w:t>, 1271–1284 (2016).</w:t>
      </w:r>
    </w:p>
    <w:p w14:paraId="272865D9" w14:textId="77777777" w:rsidR="009848A5" w:rsidRPr="009848A5" w:rsidRDefault="009848A5" w:rsidP="009848A5">
      <w:pPr>
        <w:pStyle w:val="Bibliography"/>
        <w:rPr>
          <w:rFonts w:ascii="Calibri" w:cs="Calibri"/>
        </w:rPr>
      </w:pPr>
      <w:r w:rsidRPr="009848A5">
        <w:rPr>
          <w:rFonts w:ascii="Calibri" w:cs="Calibri"/>
        </w:rPr>
        <w:lastRenderedPageBreak/>
        <w:t>20.</w:t>
      </w:r>
      <w:r w:rsidRPr="009848A5">
        <w:rPr>
          <w:rFonts w:ascii="Calibri" w:cs="Calibri"/>
        </w:rPr>
        <w:tab/>
        <w:t xml:space="preserve">Ebisawa, A. Life history traits of leopard coralgrouper Plectropomus leopardus in the Okinawa Islands, southwestern Japan. </w:t>
      </w:r>
      <w:r w:rsidRPr="009848A5">
        <w:rPr>
          <w:rFonts w:ascii="Calibri" w:cs="Calibri"/>
          <w:i/>
          <w:iCs/>
        </w:rPr>
        <w:t>Fish. Sci.</w:t>
      </w:r>
      <w:r w:rsidRPr="009848A5">
        <w:rPr>
          <w:rFonts w:ascii="Calibri" w:cs="Calibri"/>
        </w:rPr>
        <w:t xml:space="preserve"> </w:t>
      </w:r>
      <w:r w:rsidRPr="009848A5">
        <w:rPr>
          <w:rFonts w:ascii="Calibri" w:cs="Calibri"/>
          <w:b/>
          <w:bCs/>
        </w:rPr>
        <w:t>79</w:t>
      </w:r>
      <w:r w:rsidRPr="009848A5">
        <w:rPr>
          <w:rFonts w:ascii="Calibri" w:cs="Calibri"/>
        </w:rPr>
        <w:t>, 911–921 (2013).</w:t>
      </w:r>
    </w:p>
    <w:p w14:paraId="53D80EEC" w14:textId="77777777" w:rsidR="009848A5" w:rsidRPr="009848A5" w:rsidRDefault="009848A5" w:rsidP="009848A5">
      <w:pPr>
        <w:pStyle w:val="Bibliography"/>
        <w:rPr>
          <w:rFonts w:ascii="Calibri" w:cs="Calibri"/>
        </w:rPr>
      </w:pPr>
      <w:r w:rsidRPr="009848A5">
        <w:rPr>
          <w:rFonts w:ascii="Calibri" w:cs="Calibri"/>
        </w:rPr>
        <w:t>21.</w:t>
      </w:r>
      <w:r w:rsidRPr="009848A5">
        <w:rPr>
          <w:rFonts w:ascii="Calibri" w:cs="Calibri"/>
        </w:rPr>
        <w:tab/>
        <w:t xml:space="preserve">Grandcourt, E. M., Al Abdessalaam, T. Z., Francis, F. &amp; Al Shamsi, A. T. Biology and stock assessment of the Sparids, </w:t>
      </w:r>
      <w:r w:rsidRPr="009848A5">
        <w:rPr>
          <w:rFonts w:ascii="Calibri" w:cs="Calibri"/>
          <w:i/>
          <w:iCs/>
        </w:rPr>
        <w:t>Acanthopagrus bifasciatus</w:t>
      </w:r>
      <w:r w:rsidRPr="009848A5">
        <w:rPr>
          <w:rFonts w:ascii="Calibri" w:cs="Calibri"/>
        </w:rPr>
        <w:t xml:space="preserve"> and </w:t>
      </w:r>
      <w:r w:rsidRPr="009848A5">
        <w:rPr>
          <w:rFonts w:ascii="Calibri" w:cs="Calibri"/>
          <w:i/>
          <w:iCs/>
        </w:rPr>
        <w:t>Argyrops spinifer</w:t>
      </w:r>
      <w:r w:rsidRPr="009848A5">
        <w:rPr>
          <w:rFonts w:ascii="Calibri" w:cs="Calibri"/>
        </w:rPr>
        <w:t xml:space="preserve"> (Forsskål, 1775), in the Southern Arabian Gulf. </w:t>
      </w:r>
      <w:r w:rsidRPr="009848A5">
        <w:rPr>
          <w:rFonts w:ascii="Calibri" w:cs="Calibri"/>
          <w:i/>
          <w:iCs/>
        </w:rPr>
        <w:t>Fish. Res.</w:t>
      </w:r>
      <w:r w:rsidRPr="009848A5">
        <w:rPr>
          <w:rFonts w:ascii="Calibri" w:cs="Calibri"/>
        </w:rPr>
        <w:t xml:space="preserve"> </w:t>
      </w:r>
      <w:r w:rsidRPr="009848A5">
        <w:rPr>
          <w:rFonts w:ascii="Calibri" w:cs="Calibri"/>
          <w:b/>
          <w:bCs/>
        </w:rPr>
        <w:t>69</w:t>
      </w:r>
      <w:r w:rsidRPr="009848A5">
        <w:rPr>
          <w:rFonts w:ascii="Calibri" w:cs="Calibri"/>
        </w:rPr>
        <w:t>, 7–20 (2004).</w:t>
      </w:r>
    </w:p>
    <w:p w14:paraId="22C14C74" w14:textId="77777777" w:rsidR="009848A5" w:rsidRPr="009848A5" w:rsidRDefault="009848A5" w:rsidP="009848A5">
      <w:pPr>
        <w:pStyle w:val="Bibliography"/>
        <w:rPr>
          <w:rFonts w:ascii="Calibri" w:cs="Calibri"/>
        </w:rPr>
      </w:pPr>
      <w:r w:rsidRPr="009848A5">
        <w:rPr>
          <w:rFonts w:ascii="Calibri" w:cs="Calibri"/>
        </w:rPr>
        <w:t>22.</w:t>
      </w:r>
      <w:r w:rsidRPr="009848A5">
        <w:rPr>
          <w:rFonts w:ascii="Calibri" w:cs="Calibri"/>
        </w:rPr>
        <w:tab/>
        <w:t xml:space="preserve">Akita, Y. &amp; Tachihara, K. Age, growth, maturity, and sex changes of monogrammed monocle bream Scolopsis monogramma in the waters around Okinawa-jima Island, Japan. </w:t>
      </w:r>
      <w:r w:rsidRPr="009848A5">
        <w:rPr>
          <w:rFonts w:ascii="Calibri" w:cs="Calibri"/>
          <w:i/>
          <w:iCs/>
        </w:rPr>
        <w:t>Fish. Sci.</w:t>
      </w:r>
      <w:r w:rsidRPr="009848A5">
        <w:rPr>
          <w:rFonts w:ascii="Calibri" w:cs="Calibri"/>
        </w:rPr>
        <w:t xml:space="preserve"> </w:t>
      </w:r>
      <w:r w:rsidRPr="009848A5">
        <w:rPr>
          <w:rFonts w:ascii="Calibri" w:cs="Calibri"/>
          <w:b/>
          <w:bCs/>
        </w:rPr>
        <w:t>80</w:t>
      </w:r>
      <w:r w:rsidRPr="009848A5">
        <w:rPr>
          <w:rFonts w:ascii="Calibri" w:cs="Calibri"/>
        </w:rPr>
        <w:t>, 679–685 (2014).</w:t>
      </w:r>
    </w:p>
    <w:p w14:paraId="6C9EB403" w14:textId="77777777" w:rsidR="009848A5" w:rsidRPr="009848A5" w:rsidRDefault="009848A5" w:rsidP="009848A5">
      <w:pPr>
        <w:pStyle w:val="Bibliography"/>
        <w:rPr>
          <w:rFonts w:ascii="Calibri" w:cs="Calibri"/>
        </w:rPr>
      </w:pPr>
      <w:r w:rsidRPr="009848A5">
        <w:rPr>
          <w:rFonts w:ascii="Calibri" w:cs="Calibri"/>
        </w:rPr>
        <w:t>23.</w:t>
      </w:r>
      <w:r w:rsidRPr="009848A5">
        <w:rPr>
          <w:rFonts w:ascii="Calibri" w:cs="Calibri"/>
        </w:rPr>
        <w:tab/>
        <w:t xml:space="preserve">Ruiz-Ramírez, S. </w:t>
      </w:r>
      <w:r w:rsidRPr="009848A5">
        <w:rPr>
          <w:rFonts w:ascii="Calibri" w:cs="Calibri"/>
          <w:i/>
          <w:iCs/>
        </w:rPr>
        <w:t>et al.</w:t>
      </w:r>
      <w:r w:rsidRPr="009848A5">
        <w:rPr>
          <w:rFonts w:ascii="Calibri" w:cs="Calibri"/>
        </w:rPr>
        <w:t xml:space="preserve"> Reproducción de la cabrilla pinta Epinephelus labriformis en la Bahía de Navidad, Jalisco, México. </w:t>
      </w:r>
      <w:r w:rsidRPr="009848A5">
        <w:rPr>
          <w:rFonts w:ascii="Calibri" w:cs="Calibri"/>
          <w:i/>
          <w:iCs/>
        </w:rPr>
        <w:t>Rev. Biol. Mar. Oceanogr.</w:t>
      </w:r>
      <w:r w:rsidRPr="009848A5">
        <w:rPr>
          <w:rFonts w:ascii="Calibri" w:cs="Calibri"/>
        </w:rPr>
        <w:t xml:space="preserve"> </w:t>
      </w:r>
      <w:r w:rsidRPr="009848A5">
        <w:rPr>
          <w:rFonts w:ascii="Calibri" w:cs="Calibri"/>
          <w:b/>
          <w:bCs/>
        </w:rPr>
        <w:t>53</w:t>
      </w:r>
      <w:r w:rsidRPr="009848A5">
        <w:rPr>
          <w:rFonts w:ascii="Calibri" w:cs="Calibri"/>
        </w:rPr>
        <w:t>, 335–347 (2018).</w:t>
      </w:r>
    </w:p>
    <w:p w14:paraId="1F6CC7EF" w14:textId="77777777" w:rsidR="009848A5" w:rsidRPr="009848A5" w:rsidRDefault="009848A5" w:rsidP="009848A5">
      <w:pPr>
        <w:pStyle w:val="Bibliography"/>
        <w:rPr>
          <w:rFonts w:ascii="Calibri" w:cs="Calibri"/>
        </w:rPr>
      </w:pPr>
      <w:r w:rsidRPr="009848A5">
        <w:rPr>
          <w:rFonts w:ascii="Calibri" w:cs="Calibri"/>
        </w:rPr>
        <w:t>24.</w:t>
      </w:r>
      <w:r w:rsidRPr="009848A5">
        <w:rPr>
          <w:rFonts w:ascii="Calibri" w:cs="Calibri"/>
        </w:rPr>
        <w:tab/>
        <w:t xml:space="preserve">Freitas, M. O. </w:t>
      </w:r>
      <w:r w:rsidRPr="009848A5">
        <w:rPr>
          <w:rFonts w:ascii="Calibri" w:cs="Calibri"/>
          <w:i/>
          <w:iCs/>
        </w:rPr>
        <w:t>et al.</w:t>
      </w:r>
      <w:r w:rsidRPr="009848A5">
        <w:rPr>
          <w:rFonts w:ascii="Calibri" w:cs="Calibri"/>
        </w:rPr>
        <w:t xml:space="preserve"> Diet and reproduction of the goliath grouper, Epinephelus itajara (Actinopterygii: Perciformes: Serranidae), in eastern Brazil. (2015).</w:t>
      </w:r>
    </w:p>
    <w:p w14:paraId="2B3EE46E" w14:textId="77777777" w:rsidR="009848A5" w:rsidRPr="009848A5" w:rsidRDefault="009848A5" w:rsidP="009848A5">
      <w:pPr>
        <w:pStyle w:val="Bibliography"/>
        <w:rPr>
          <w:rFonts w:ascii="Calibri" w:cs="Calibri"/>
        </w:rPr>
      </w:pPr>
      <w:r w:rsidRPr="009848A5">
        <w:rPr>
          <w:rFonts w:ascii="Calibri" w:cs="Calibri"/>
        </w:rPr>
        <w:t>25.</w:t>
      </w:r>
      <w:r w:rsidRPr="009848A5">
        <w:rPr>
          <w:rFonts w:ascii="Calibri" w:cs="Calibri"/>
        </w:rPr>
        <w:tab/>
        <w:t xml:space="preserve">Cossington, S., Hesp, S. A., Hall, N. G. &amp; Potter, I. C. Growth and reproductive biology of the foxfish Bodianus frenchii, a very long-lived and monandric protogynous hermaphroditic labrid. </w:t>
      </w:r>
      <w:r w:rsidRPr="009848A5">
        <w:rPr>
          <w:rFonts w:ascii="Calibri" w:cs="Calibri"/>
          <w:i/>
          <w:iCs/>
        </w:rPr>
        <w:t>J. Fish Biol.</w:t>
      </w:r>
      <w:r w:rsidRPr="009848A5">
        <w:rPr>
          <w:rFonts w:ascii="Calibri" w:cs="Calibri"/>
        </w:rPr>
        <w:t xml:space="preserve"> </w:t>
      </w:r>
      <w:r w:rsidRPr="009848A5">
        <w:rPr>
          <w:rFonts w:ascii="Calibri" w:cs="Calibri"/>
          <w:b/>
          <w:bCs/>
        </w:rPr>
        <w:t>77</w:t>
      </w:r>
      <w:r w:rsidRPr="009848A5">
        <w:rPr>
          <w:rFonts w:ascii="Calibri" w:cs="Calibri"/>
        </w:rPr>
        <w:t>, 600–626 (2010).</w:t>
      </w:r>
    </w:p>
    <w:p w14:paraId="26CE2A2D" w14:textId="77777777" w:rsidR="009848A5" w:rsidRPr="009848A5" w:rsidRDefault="009848A5" w:rsidP="009848A5">
      <w:pPr>
        <w:pStyle w:val="Bibliography"/>
        <w:rPr>
          <w:rFonts w:ascii="Calibri" w:cs="Calibri"/>
        </w:rPr>
      </w:pPr>
      <w:r w:rsidRPr="009848A5">
        <w:rPr>
          <w:rFonts w:ascii="Calibri" w:cs="Calibri"/>
        </w:rPr>
        <w:t>26.</w:t>
      </w:r>
      <w:r w:rsidRPr="009848A5">
        <w:rPr>
          <w:rFonts w:ascii="Calibri" w:cs="Calibri"/>
        </w:rPr>
        <w:tab/>
        <w:t xml:space="preserve">Kuwamura, T. </w:t>
      </w:r>
      <w:r w:rsidRPr="009848A5">
        <w:rPr>
          <w:rFonts w:ascii="Calibri" w:cs="Calibri"/>
          <w:i/>
          <w:iCs/>
        </w:rPr>
        <w:t>et al.</w:t>
      </w:r>
      <w:r w:rsidRPr="009848A5">
        <w:rPr>
          <w:rFonts w:ascii="Calibri" w:cs="Calibri"/>
        </w:rPr>
        <w:t xml:space="preserve"> Sex change of primary males in a diandric labrid Halichoeres trimaculatus: coexistence of protandry and protogyny within a species. </w:t>
      </w:r>
      <w:r w:rsidRPr="009848A5">
        <w:rPr>
          <w:rFonts w:ascii="Calibri" w:cs="Calibri"/>
          <w:i/>
          <w:iCs/>
        </w:rPr>
        <w:t>J. Fish Biol.</w:t>
      </w:r>
      <w:r w:rsidRPr="009848A5">
        <w:rPr>
          <w:rFonts w:ascii="Calibri" w:cs="Calibri"/>
        </w:rPr>
        <w:t xml:space="preserve"> </w:t>
      </w:r>
      <w:r w:rsidRPr="009848A5">
        <w:rPr>
          <w:rFonts w:ascii="Calibri" w:cs="Calibri"/>
          <w:b/>
          <w:bCs/>
        </w:rPr>
        <w:t>70</w:t>
      </w:r>
      <w:r w:rsidRPr="009848A5">
        <w:rPr>
          <w:rFonts w:ascii="Calibri" w:cs="Calibri"/>
        </w:rPr>
        <w:t>, 1898–1906 (2007).</w:t>
      </w:r>
    </w:p>
    <w:p w14:paraId="4E34CE7F" w14:textId="77777777" w:rsidR="009848A5" w:rsidRPr="009848A5" w:rsidRDefault="009848A5" w:rsidP="009848A5">
      <w:pPr>
        <w:pStyle w:val="Bibliography"/>
        <w:rPr>
          <w:rFonts w:ascii="Calibri" w:cs="Calibri"/>
        </w:rPr>
      </w:pPr>
      <w:r w:rsidRPr="009848A5">
        <w:rPr>
          <w:rFonts w:ascii="Calibri" w:cs="Calibri"/>
        </w:rPr>
        <w:t>27.</w:t>
      </w:r>
      <w:r w:rsidRPr="009848A5">
        <w:rPr>
          <w:rFonts w:ascii="Calibri" w:cs="Calibri"/>
        </w:rPr>
        <w:tab/>
        <w:t>Brulé, T., Nóh-Quiñones, V. E., Torres-Villegas, J. R. &amp; Colás-Marrufo, T. Is hogfish Lachnolaimus maximus (Labridae) a diandric species? Preprint at https://doi.org/10.26028/CYBIUM/2019-431-004 (2019).</w:t>
      </w:r>
    </w:p>
    <w:p w14:paraId="5AE2C948" w14:textId="77777777" w:rsidR="009848A5" w:rsidRPr="009848A5" w:rsidRDefault="009848A5" w:rsidP="009848A5">
      <w:pPr>
        <w:pStyle w:val="Bibliography"/>
        <w:rPr>
          <w:rFonts w:ascii="Calibri" w:cs="Calibri"/>
        </w:rPr>
      </w:pPr>
      <w:r w:rsidRPr="009848A5">
        <w:rPr>
          <w:rFonts w:ascii="Calibri" w:cs="Calibri"/>
        </w:rPr>
        <w:t>28.</w:t>
      </w:r>
      <w:r w:rsidRPr="009848A5">
        <w:rPr>
          <w:rFonts w:ascii="Calibri" w:cs="Calibri"/>
        </w:rPr>
        <w:tab/>
        <w:t xml:space="preserve">Colin, P. L. Aggregation and spawning of the humphead wrasse Cheilinus undulatus (Pisces: Labridae): general aspects of spawning behaviour. </w:t>
      </w:r>
      <w:r w:rsidRPr="009848A5">
        <w:rPr>
          <w:rFonts w:ascii="Calibri" w:cs="Calibri"/>
          <w:i/>
          <w:iCs/>
        </w:rPr>
        <w:t>J. Fish Biol.</w:t>
      </w:r>
      <w:r w:rsidRPr="009848A5">
        <w:rPr>
          <w:rFonts w:ascii="Calibri" w:cs="Calibri"/>
        </w:rPr>
        <w:t xml:space="preserve"> </w:t>
      </w:r>
      <w:r w:rsidRPr="009848A5">
        <w:rPr>
          <w:rFonts w:ascii="Calibri" w:cs="Calibri"/>
          <w:b/>
          <w:bCs/>
        </w:rPr>
        <w:t>76</w:t>
      </w:r>
      <w:r w:rsidRPr="009848A5">
        <w:rPr>
          <w:rFonts w:ascii="Calibri" w:cs="Calibri"/>
        </w:rPr>
        <w:t>, 987–1007 (2010).</w:t>
      </w:r>
    </w:p>
    <w:p w14:paraId="4950C59E" w14:textId="77777777" w:rsidR="009848A5" w:rsidRPr="009848A5" w:rsidRDefault="009848A5" w:rsidP="009848A5">
      <w:pPr>
        <w:pStyle w:val="Bibliography"/>
        <w:rPr>
          <w:rFonts w:ascii="Calibri" w:cs="Calibri"/>
        </w:rPr>
      </w:pPr>
      <w:r w:rsidRPr="009848A5">
        <w:rPr>
          <w:rFonts w:ascii="Calibri" w:cs="Calibri"/>
        </w:rPr>
        <w:t>29.</w:t>
      </w:r>
      <w:r w:rsidRPr="009848A5">
        <w:rPr>
          <w:rFonts w:ascii="Calibri" w:cs="Calibri"/>
        </w:rPr>
        <w:tab/>
        <w:t xml:space="preserve">Sadovy, Y. &amp; Donaldson, T. J. Sexual pattern ofNeocirrhites armatus (Cirrhitidae) with notes on other hawkish species. </w:t>
      </w:r>
      <w:r w:rsidRPr="009848A5">
        <w:rPr>
          <w:rFonts w:ascii="Calibri" w:cs="Calibri"/>
          <w:i/>
          <w:iCs/>
        </w:rPr>
        <w:t>Environ. Biol. Fishes</w:t>
      </w:r>
      <w:r w:rsidRPr="009848A5">
        <w:rPr>
          <w:rFonts w:ascii="Calibri" w:cs="Calibri"/>
        </w:rPr>
        <w:t xml:space="preserve"> </w:t>
      </w:r>
      <w:r w:rsidRPr="009848A5">
        <w:rPr>
          <w:rFonts w:ascii="Calibri" w:cs="Calibri"/>
          <w:b/>
          <w:bCs/>
        </w:rPr>
        <w:t>42</w:t>
      </w:r>
      <w:r w:rsidRPr="009848A5">
        <w:rPr>
          <w:rFonts w:ascii="Calibri" w:cs="Calibri"/>
        </w:rPr>
        <w:t>, 143–150 (1995).</w:t>
      </w:r>
    </w:p>
    <w:p w14:paraId="3ABA1EE8" w14:textId="77777777" w:rsidR="009848A5" w:rsidRPr="009848A5" w:rsidRDefault="009848A5" w:rsidP="009848A5">
      <w:pPr>
        <w:pStyle w:val="Bibliography"/>
        <w:rPr>
          <w:rFonts w:ascii="Calibri" w:cs="Calibri"/>
        </w:rPr>
      </w:pPr>
      <w:r w:rsidRPr="009848A5">
        <w:rPr>
          <w:rFonts w:ascii="Calibri" w:cs="Calibri"/>
        </w:rPr>
        <w:lastRenderedPageBreak/>
        <w:t>30.</w:t>
      </w:r>
      <w:r w:rsidRPr="009848A5">
        <w:rPr>
          <w:rFonts w:ascii="Calibri" w:cs="Calibri"/>
        </w:rPr>
        <w:tab/>
        <w:t xml:space="preserve">Walker, S. P. W. &amp; McCormick, M. I. Otolith-check formation and accelerated growth associated with sex change in an annual protogynous tropical fish. </w:t>
      </w:r>
      <w:r w:rsidRPr="009848A5">
        <w:rPr>
          <w:rFonts w:ascii="Calibri" w:cs="Calibri"/>
          <w:i/>
          <w:iCs/>
        </w:rPr>
        <w:t>Mar. Ecol. Prog. Ser.</w:t>
      </w:r>
      <w:r w:rsidRPr="009848A5">
        <w:rPr>
          <w:rFonts w:ascii="Calibri" w:cs="Calibri"/>
        </w:rPr>
        <w:t xml:space="preserve"> </w:t>
      </w:r>
      <w:r w:rsidRPr="009848A5">
        <w:rPr>
          <w:rFonts w:ascii="Calibri" w:cs="Calibri"/>
          <w:b/>
          <w:bCs/>
        </w:rPr>
        <w:t>266</w:t>
      </w:r>
      <w:r w:rsidRPr="009848A5">
        <w:rPr>
          <w:rFonts w:ascii="Calibri" w:cs="Calibri"/>
        </w:rPr>
        <w:t>, 201–212 (2004).</w:t>
      </w:r>
    </w:p>
    <w:p w14:paraId="11408253" w14:textId="77777777" w:rsidR="009848A5" w:rsidRPr="009848A5" w:rsidRDefault="009848A5" w:rsidP="009848A5">
      <w:pPr>
        <w:pStyle w:val="Bibliography"/>
        <w:rPr>
          <w:rFonts w:ascii="Calibri" w:cs="Calibri"/>
        </w:rPr>
      </w:pPr>
      <w:r w:rsidRPr="009848A5">
        <w:rPr>
          <w:rFonts w:ascii="Calibri" w:cs="Calibri"/>
        </w:rPr>
        <w:t>31.</w:t>
      </w:r>
      <w:r w:rsidRPr="009848A5">
        <w:rPr>
          <w:rFonts w:ascii="Calibri" w:cs="Calibri"/>
        </w:rPr>
        <w:tab/>
        <w:t xml:space="preserve">Madathampady Thomas, S. </w:t>
      </w:r>
      <w:r w:rsidRPr="009848A5">
        <w:rPr>
          <w:rFonts w:ascii="Calibri" w:cs="Calibri"/>
          <w:i/>
          <w:iCs/>
        </w:rPr>
        <w:t>et al.</w:t>
      </w:r>
      <w:r w:rsidRPr="009848A5">
        <w:rPr>
          <w:rFonts w:ascii="Calibri" w:cs="Calibri"/>
        </w:rPr>
        <w:t xml:space="preserve"> The annual reproductive cycle and sex inversion of the Picnic seabream, Acanthopagrus berda (Forsskål 1775) from Indian waters: Histological and morphometric description. </w:t>
      </w:r>
      <w:r w:rsidRPr="009848A5">
        <w:rPr>
          <w:rFonts w:ascii="Calibri" w:cs="Calibri"/>
          <w:i/>
          <w:iCs/>
        </w:rPr>
        <w:t>Aquac. Res.</w:t>
      </w:r>
      <w:r w:rsidRPr="009848A5">
        <w:rPr>
          <w:rFonts w:ascii="Calibri" w:cs="Calibri"/>
        </w:rPr>
        <w:t xml:space="preserve"> </w:t>
      </w:r>
      <w:r w:rsidRPr="009848A5">
        <w:rPr>
          <w:rFonts w:ascii="Calibri" w:cs="Calibri"/>
          <w:b/>
          <w:bCs/>
        </w:rPr>
        <w:t>50</w:t>
      </w:r>
      <w:r w:rsidRPr="009848A5">
        <w:rPr>
          <w:rFonts w:ascii="Calibri" w:cs="Calibri"/>
        </w:rPr>
        <w:t>, 2917–2931 (2019).</w:t>
      </w:r>
    </w:p>
    <w:p w14:paraId="72D46E09" w14:textId="77777777" w:rsidR="009848A5" w:rsidRPr="009848A5" w:rsidRDefault="009848A5" w:rsidP="009848A5">
      <w:pPr>
        <w:pStyle w:val="Bibliography"/>
        <w:rPr>
          <w:rFonts w:ascii="Calibri" w:cs="Calibri"/>
        </w:rPr>
      </w:pPr>
      <w:r w:rsidRPr="009848A5">
        <w:rPr>
          <w:rFonts w:ascii="Calibri" w:cs="Calibri"/>
        </w:rPr>
        <w:t>32.</w:t>
      </w:r>
      <w:r w:rsidRPr="009848A5">
        <w:rPr>
          <w:rFonts w:ascii="Calibri" w:cs="Calibri"/>
        </w:rPr>
        <w:tab/>
        <w:t xml:space="preserve">Mouine, N., Francour, P., Ktari, M. H. &amp; Chakroun-Marzouk, N. Reproductive biology of four Diplodus species Diplodus vulgaris, D. annularis, D. sargus sargus and D. puntazzo (Sparidae) in the Gulf of Tunis (central Mediterranean). </w:t>
      </w:r>
      <w:r w:rsidRPr="009848A5">
        <w:rPr>
          <w:rFonts w:ascii="Calibri" w:cs="Calibri"/>
          <w:i/>
          <w:iCs/>
        </w:rPr>
        <w:t>J. Mar. Biol. Assoc. U. K.</w:t>
      </w:r>
      <w:r w:rsidRPr="009848A5">
        <w:rPr>
          <w:rFonts w:ascii="Calibri" w:cs="Calibri"/>
        </w:rPr>
        <w:t xml:space="preserve"> </w:t>
      </w:r>
      <w:r w:rsidRPr="009848A5">
        <w:rPr>
          <w:rFonts w:ascii="Calibri" w:cs="Calibri"/>
          <w:b/>
          <w:bCs/>
        </w:rPr>
        <w:t>92</w:t>
      </w:r>
      <w:r w:rsidRPr="009848A5">
        <w:rPr>
          <w:rFonts w:ascii="Calibri" w:cs="Calibri"/>
        </w:rPr>
        <w:t>, 623–631 (2012).</w:t>
      </w:r>
    </w:p>
    <w:p w14:paraId="67E15B61" w14:textId="15F19F73" w:rsidR="009848A5" w:rsidRDefault="009848A5">
      <w:r>
        <w:fldChar w:fldCharType="end"/>
      </w:r>
    </w:p>
    <w:p w14:paraId="737FAFB0" w14:textId="77777777" w:rsidR="00107324" w:rsidRDefault="00107324"/>
    <w:p w14:paraId="52DA576E" w14:textId="77777777" w:rsidR="00107324" w:rsidRDefault="00107324"/>
    <w:sectPr w:rsidR="00107324" w:rsidSect="00075540">
      <w:pgSz w:w="11906" w:h="16838"/>
      <w:pgMar w:top="118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6D998" w14:textId="77777777" w:rsidR="00FE032C" w:rsidRDefault="00FE032C" w:rsidP="004A263D">
      <w:pPr>
        <w:spacing w:after="0" w:line="240" w:lineRule="auto"/>
      </w:pPr>
      <w:r>
        <w:separator/>
      </w:r>
    </w:p>
  </w:endnote>
  <w:endnote w:type="continuationSeparator" w:id="0">
    <w:p w14:paraId="5AE4F028" w14:textId="77777777" w:rsidR="00FE032C" w:rsidRDefault="00FE032C" w:rsidP="004A263D">
      <w:pPr>
        <w:spacing w:after="0" w:line="240" w:lineRule="auto"/>
      </w:pPr>
      <w:r>
        <w:continuationSeparator/>
      </w:r>
    </w:p>
  </w:endnote>
  <w:endnote w:type="continuationNotice" w:id="1">
    <w:p w14:paraId="2F13C046" w14:textId="77777777" w:rsidR="00FE032C" w:rsidRDefault="00FE03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E23E9" w14:textId="77777777" w:rsidR="00FE032C" w:rsidRDefault="00FE032C" w:rsidP="004A263D">
      <w:pPr>
        <w:spacing w:after="0" w:line="240" w:lineRule="auto"/>
      </w:pPr>
      <w:r>
        <w:separator/>
      </w:r>
    </w:p>
  </w:footnote>
  <w:footnote w:type="continuationSeparator" w:id="0">
    <w:p w14:paraId="6527B066" w14:textId="77777777" w:rsidR="00FE032C" w:rsidRDefault="00FE032C" w:rsidP="004A263D">
      <w:pPr>
        <w:spacing w:after="0" w:line="240" w:lineRule="auto"/>
      </w:pPr>
      <w:r>
        <w:continuationSeparator/>
      </w:r>
    </w:p>
  </w:footnote>
  <w:footnote w:type="continuationNotice" w:id="1">
    <w:p w14:paraId="2BDA1DDD" w14:textId="77777777" w:rsidR="00FE032C" w:rsidRDefault="00FE032C">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4CE"/>
    <w:rsid w:val="00002AC9"/>
    <w:rsid w:val="00017843"/>
    <w:rsid w:val="000322FF"/>
    <w:rsid w:val="00046083"/>
    <w:rsid w:val="00055177"/>
    <w:rsid w:val="00057E85"/>
    <w:rsid w:val="000642FB"/>
    <w:rsid w:val="000667F3"/>
    <w:rsid w:val="0007053F"/>
    <w:rsid w:val="00072931"/>
    <w:rsid w:val="00075393"/>
    <w:rsid w:val="00075540"/>
    <w:rsid w:val="000A0FB3"/>
    <w:rsid w:val="000B033E"/>
    <w:rsid w:val="000D2A93"/>
    <w:rsid w:val="00105FF5"/>
    <w:rsid w:val="00107324"/>
    <w:rsid w:val="00112EF8"/>
    <w:rsid w:val="0011556D"/>
    <w:rsid w:val="00120EBD"/>
    <w:rsid w:val="001643D2"/>
    <w:rsid w:val="00183B78"/>
    <w:rsid w:val="001863E5"/>
    <w:rsid w:val="001954CD"/>
    <w:rsid w:val="00196AA7"/>
    <w:rsid w:val="001A2A7C"/>
    <w:rsid w:val="001A4730"/>
    <w:rsid w:val="001B143D"/>
    <w:rsid w:val="001C2280"/>
    <w:rsid w:val="001C4E92"/>
    <w:rsid w:val="001D1C29"/>
    <w:rsid w:val="001D6FA4"/>
    <w:rsid w:val="001E588C"/>
    <w:rsid w:val="001E7321"/>
    <w:rsid w:val="001F0B00"/>
    <w:rsid w:val="001F5D1A"/>
    <w:rsid w:val="001F73A5"/>
    <w:rsid w:val="0020794B"/>
    <w:rsid w:val="00217440"/>
    <w:rsid w:val="00222752"/>
    <w:rsid w:val="002254D9"/>
    <w:rsid w:val="00226FA5"/>
    <w:rsid w:val="00237CE1"/>
    <w:rsid w:val="00240EC0"/>
    <w:rsid w:val="0025133A"/>
    <w:rsid w:val="00254A7D"/>
    <w:rsid w:val="002569A0"/>
    <w:rsid w:val="00264D26"/>
    <w:rsid w:val="00276E8B"/>
    <w:rsid w:val="0028090C"/>
    <w:rsid w:val="00290562"/>
    <w:rsid w:val="002A208A"/>
    <w:rsid w:val="002B5DBE"/>
    <w:rsid w:val="002C3CBA"/>
    <w:rsid w:val="002D4982"/>
    <w:rsid w:val="002D6C17"/>
    <w:rsid w:val="002E0077"/>
    <w:rsid w:val="002E36C8"/>
    <w:rsid w:val="002F453F"/>
    <w:rsid w:val="002F5AD1"/>
    <w:rsid w:val="002F6E04"/>
    <w:rsid w:val="00301D0D"/>
    <w:rsid w:val="0033059F"/>
    <w:rsid w:val="00334C16"/>
    <w:rsid w:val="00343AC4"/>
    <w:rsid w:val="0035234D"/>
    <w:rsid w:val="00372520"/>
    <w:rsid w:val="00374055"/>
    <w:rsid w:val="00386796"/>
    <w:rsid w:val="00387F99"/>
    <w:rsid w:val="003B22E6"/>
    <w:rsid w:val="003B5ED7"/>
    <w:rsid w:val="003B7887"/>
    <w:rsid w:val="003E039C"/>
    <w:rsid w:val="003F73C8"/>
    <w:rsid w:val="004005AE"/>
    <w:rsid w:val="004012EB"/>
    <w:rsid w:val="00403049"/>
    <w:rsid w:val="00404301"/>
    <w:rsid w:val="00410BC6"/>
    <w:rsid w:val="004200F2"/>
    <w:rsid w:val="00426BEF"/>
    <w:rsid w:val="00435421"/>
    <w:rsid w:val="00435742"/>
    <w:rsid w:val="0044440F"/>
    <w:rsid w:val="004569BA"/>
    <w:rsid w:val="00460CB1"/>
    <w:rsid w:val="004805A1"/>
    <w:rsid w:val="00491406"/>
    <w:rsid w:val="004924FB"/>
    <w:rsid w:val="004A198F"/>
    <w:rsid w:val="004A263D"/>
    <w:rsid w:val="004B6882"/>
    <w:rsid w:val="004D7DE8"/>
    <w:rsid w:val="005049D7"/>
    <w:rsid w:val="0053435D"/>
    <w:rsid w:val="005405B5"/>
    <w:rsid w:val="00551D7B"/>
    <w:rsid w:val="00553E09"/>
    <w:rsid w:val="00557D67"/>
    <w:rsid w:val="0056149C"/>
    <w:rsid w:val="00564C7F"/>
    <w:rsid w:val="00582E9F"/>
    <w:rsid w:val="0058568E"/>
    <w:rsid w:val="00594B30"/>
    <w:rsid w:val="005D3E38"/>
    <w:rsid w:val="005E538A"/>
    <w:rsid w:val="005F040C"/>
    <w:rsid w:val="006140DE"/>
    <w:rsid w:val="00616A0D"/>
    <w:rsid w:val="0061789F"/>
    <w:rsid w:val="00633A3A"/>
    <w:rsid w:val="00641F76"/>
    <w:rsid w:val="00680903"/>
    <w:rsid w:val="006847FA"/>
    <w:rsid w:val="006851A5"/>
    <w:rsid w:val="00690813"/>
    <w:rsid w:val="006A55BF"/>
    <w:rsid w:val="006D71C7"/>
    <w:rsid w:val="006E6980"/>
    <w:rsid w:val="00700EFC"/>
    <w:rsid w:val="00704ED1"/>
    <w:rsid w:val="007120D3"/>
    <w:rsid w:val="007375ED"/>
    <w:rsid w:val="0074060B"/>
    <w:rsid w:val="007457B8"/>
    <w:rsid w:val="00745875"/>
    <w:rsid w:val="00754DEA"/>
    <w:rsid w:val="00754E17"/>
    <w:rsid w:val="00785400"/>
    <w:rsid w:val="007A0D6D"/>
    <w:rsid w:val="007A5942"/>
    <w:rsid w:val="007A67CC"/>
    <w:rsid w:val="007C3C84"/>
    <w:rsid w:val="007C562C"/>
    <w:rsid w:val="007C7F0A"/>
    <w:rsid w:val="007F3D11"/>
    <w:rsid w:val="0080365D"/>
    <w:rsid w:val="008065CF"/>
    <w:rsid w:val="00827A9A"/>
    <w:rsid w:val="00843C64"/>
    <w:rsid w:val="008522A0"/>
    <w:rsid w:val="00855AD4"/>
    <w:rsid w:val="008727E8"/>
    <w:rsid w:val="008B087D"/>
    <w:rsid w:val="008B2CFB"/>
    <w:rsid w:val="008B5EBE"/>
    <w:rsid w:val="008F011E"/>
    <w:rsid w:val="008F0804"/>
    <w:rsid w:val="008F597D"/>
    <w:rsid w:val="00904255"/>
    <w:rsid w:val="0091524B"/>
    <w:rsid w:val="009201E8"/>
    <w:rsid w:val="0094465A"/>
    <w:rsid w:val="009504AE"/>
    <w:rsid w:val="009555EC"/>
    <w:rsid w:val="00956F41"/>
    <w:rsid w:val="00960D9C"/>
    <w:rsid w:val="009848A5"/>
    <w:rsid w:val="0099284F"/>
    <w:rsid w:val="00993653"/>
    <w:rsid w:val="009A3560"/>
    <w:rsid w:val="009A6CB6"/>
    <w:rsid w:val="009B5D7B"/>
    <w:rsid w:val="009C2104"/>
    <w:rsid w:val="009C3F2C"/>
    <w:rsid w:val="009F27D0"/>
    <w:rsid w:val="00A46861"/>
    <w:rsid w:val="00A47507"/>
    <w:rsid w:val="00A52769"/>
    <w:rsid w:val="00A54C75"/>
    <w:rsid w:val="00A63C4C"/>
    <w:rsid w:val="00A65B30"/>
    <w:rsid w:val="00A90331"/>
    <w:rsid w:val="00A97670"/>
    <w:rsid w:val="00AA1CE0"/>
    <w:rsid w:val="00AB7B11"/>
    <w:rsid w:val="00AC4EDB"/>
    <w:rsid w:val="00AD1C6B"/>
    <w:rsid w:val="00AD2BB3"/>
    <w:rsid w:val="00AE7BF4"/>
    <w:rsid w:val="00B00E40"/>
    <w:rsid w:val="00B14FD4"/>
    <w:rsid w:val="00B15947"/>
    <w:rsid w:val="00B16657"/>
    <w:rsid w:val="00B16925"/>
    <w:rsid w:val="00B24FF4"/>
    <w:rsid w:val="00B4554C"/>
    <w:rsid w:val="00B62780"/>
    <w:rsid w:val="00B74A89"/>
    <w:rsid w:val="00B76B80"/>
    <w:rsid w:val="00B825E1"/>
    <w:rsid w:val="00B87FA8"/>
    <w:rsid w:val="00B91FCC"/>
    <w:rsid w:val="00BB3DC2"/>
    <w:rsid w:val="00BB5D87"/>
    <w:rsid w:val="00BC6D9D"/>
    <w:rsid w:val="00BC7044"/>
    <w:rsid w:val="00BD3352"/>
    <w:rsid w:val="00BD525F"/>
    <w:rsid w:val="00BE3957"/>
    <w:rsid w:val="00C34C29"/>
    <w:rsid w:val="00C37500"/>
    <w:rsid w:val="00C4674A"/>
    <w:rsid w:val="00C46AF7"/>
    <w:rsid w:val="00C478F8"/>
    <w:rsid w:val="00C70171"/>
    <w:rsid w:val="00C81EC6"/>
    <w:rsid w:val="00C87D2F"/>
    <w:rsid w:val="00C94DAE"/>
    <w:rsid w:val="00CA0DDB"/>
    <w:rsid w:val="00CB1B29"/>
    <w:rsid w:val="00CB7AFE"/>
    <w:rsid w:val="00CB7DC9"/>
    <w:rsid w:val="00CD2712"/>
    <w:rsid w:val="00CE59D9"/>
    <w:rsid w:val="00CF4B0B"/>
    <w:rsid w:val="00D05505"/>
    <w:rsid w:val="00D31F5F"/>
    <w:rsid w:val="00D42FA8"/>
    <w:rsid w:val="00D459EB"/>
    <w:rsid w:val="00D90DBF"/>
    <w:rsid w:val="00D962BC"/>
    <w:rsid w:val="00DB0973"/>
    <w:rsid w:val="00DC1C0D"/>
    <w:rsid w:val="00DC1DB9"/>
    <w:rsid w:val="00DC5391"/>
    <w:rsid w:val="00DC774A"/>
    <w:rsid w:val="00DD0CAA"/>
    <w:rsid w:val="00DD4236"/>
    <w:rsid w:val="00DE7620"/>
    <w:rsid w:val="00DF39BF"/>
    <w:rsid w:val="00DF6F19"/>
    <w:rsid w:val="00E02015"/>
    <w:rsid w:val="00E05624"/>
    <w:rsid w:val="00E1094D"/>
    <w:rsid w:val="00E10BA1"/>
    <w:rsid w:val="00E22AF6"/>
    <w:rsid w:val="00E31226"/>
    <w:rsid w:val="00E35FB0"/>
    <w:rsid w:val="00E445B7"/>
    <w:rsid w:val="00E60924"/>
    <w:rsid w:val="00E64D59"/>
    <w:rsid w:val="00E80ECA"/>
    <w:rsid w:val="00E97A2A"/>
    <w:rsid w:val="00EB3213"/>
    <w:rsid w:val="00ED5151"/>
    <w:rsid w:val="00EF5F00"/>
    <w:rsid w:val="00F034BC"/>
    <w:rsid w:val="00F32A1A"/>
    <w:rsid w:val="00F364CE"/>
    <w:rsid w:val="00F371E9"/>
    <w:rsid w:val="00F44C71"/>
    <w:rsid w:val="00F45099"/>
    <w:rsid w:val="00F6123E"/>
    <w:rsid w:val="00F81620"/>
    <w:rsid w:val="00FB3EEE"/>
    <w:rsid w:val="00FC5B5C"/>
    <w:rsid w:val="00FC66AE"/>
    <w:rsid w:val="00FE032C"/>
    <w:rsid w:val="00FE124E"/>
    <w:rsid w:val="00FE35A8"/>
    <w:rsid w:val="00FE60A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73948"/>
  <w15:chartTrackingRefBased/>
  <w15:docId w15:val="{4295079B-5A84-684D-B754-1F1F1DDAE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CE"/>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F364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364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152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64CE"/>
    <w:rPr>
      <w:rFonts w:asciiTheme="majorHAnsi" w:eastAsiaTheme="majorEastAsia" w:hAnsiTheme="majorHAnsi" w:cstheme="majorBidi"/>
      <w:color w:val="2F5496" w:themeColor="accent1" w:themeShade="BF"/>
      <w:kern w:val="0"/>
      <w:sz w:val="26"/>
      <w:szCs w:val="26"/>
      <w:lang w:val="en-GB"/>
      <w14:ligatures w14:val="none"/>
    </w:rPr>
  </w:style>
  <w:style w:type="character" w:customStyle="1" w:styleId="Heading1Char">
    <w:name w:val="Heading 1 Char"/>
    <w:basedOn w:val="DefaultParagraphFont"/>
    <w:link w:val="Heading1"/>
    <w:uiPriority w:val="9"/>
    <w:rsid w:val="00F364CE"/>
    <w:rPr>
      <w:rFonts w:asciiTheme="majorHAnsi" w:eastAsiaTheme="majorEastAsia" w:hAnsiTheme="majorHAnsi" w:cstheme="majorBidi"/>
      <w:color w:val="2F5496" w:themeColor="accent1" w:themeShade="BF"/>
      <w:kern w:val="0"/>
      <w:sz w:val="32"/>
      <w:szCs w:val="32"/>
      <w:lang w:val="en-GB"/>
      <w14:ligatures w14:val="none"/>
    </w:rPr>
  </w:style>
  <w:style w:type="paragraph" w:styleId="Revision">
    <w:name w:val="Revision"/>
    <w:hidden/>
    <w:uiPriority w:val="99"/>
    <w:semiHidden/>
    <w:rsid w:val="008B087D"/>
    <w:rPr>
      <w:kern w:val="0"/>
      <w:sz w:val="22"/>
      <w:szCs w:val="22"/>
      <w14:ligatures w14:val="none"/>
    </w:rPr>
  </w:style>
  <w:style w:type="character" w:customStyle="1" w:styleId="Heading3Char">
    <w:name w:val="Heading 3 Char"/>
    <w:basedOn w:val="DefaultParagraphFont"/>
    <w:link w:val="Heading3"/>
    <w:uiPriority w:val="9"/>
    <w:semiHidden/>
    <w:rsid w:val="0091524B"/>
    <w:rPr>
      <w:rFonts w:asciiTheme="majorHAnsi" w:eastAsiaTheme="majorEastAsia" w:hAnsiTheme="majorHAnsi" w:cstheme="majorBidi"/>
      <w:color w:val="1F3763" w:themeColor="accent1" w:themeShade="7F"/>
      <w:kern w:val="0"/>
      <w14:ligatures w14:val="none"/>
    </w:rPr>
  </w:style>
  <w:style w:type="paragraph" w:styleId="Header">
    <w:name w:val="header"/>
    <w:basedOn w:val="Normal"/>
    <w:link w:val="HeaderChar"/>
    <w:uiPriority w:val="99"/>
    <w:semiHidden/>
    <w:unhideWhenUsed/>
    <w:rsid w:val="004A263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A263D"/>
    <w:rPr>
      <w:kern w:val="0"/>
      <w:sz w:val="22"/>
      <w:szCs w:val="22"/>
      <w14:ligatures w14:val="none"/>
    </w:rPr>
  </w:style>
  <w:style w:type="paragraph" w:styleId="Footer">
    <w:name w:val="footer"/>
    <w:basedOn w:val="Normal"/>
    <w:link w:val="FooterChar"/>
    <w:uiPriority w:val="99"/>
    <w:semiHidden/>
    <w:unhideWhenUsed/>
    <w:rsid w:val="004A263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A263D"/>
    <w:rPr>
      <w:kern w:val="0"/>
      <w:sz w:val="22"/>
      <w:szCs w:val="22"/>
      <w14:ligatures w14:val="none"/>
    </w:rPr>
  </w:style>
  <w:style w:type="paragraph" w:styleId="Caption">
    <w:name w:val="caption"/>
    <w:basedOn w:val="Normal"/>
    <w:next w:val="Normal"/>
    <w:uiPriority w:val="35"/>
    <w:semiHidden/>
    <w:unhideWhenUsed/>
    <w:qFormat/>
    <w:rsid w:val="001F73A5"/>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9848A5"/>
    <w:pPr>
      <w:tabs>
        <w:tab w:val="left" w:pos="380"/>
      </w:tabs>
      <w:spacing w:after="0"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0632">
      <w:bodyDiv w:val="1"/>
      <w:marLeft w:val="0"/>
      <w:marRight w:val="0"/>
      <w:marTop w:val="0"/>
      <w:marBottom w:val="0"/>
      <w:divBdr>
        <w:top w:val="none" w:sz="0" w:space="0" w:color="auto"/>
        <w:left w:val="none" w:sz="0" w:space="0" w:color="auto"/>
        <w:bottom w:val="none" w:sz="0" w:space="0" w:color="auto"/>
        <w:right w:val="none" w:sz="0" w:space="0" w:color="auto"/>
      </w:divBdr>
    </w:div>
    <w:div w:id="487401514">
      <w:bodyDiv w:val="1"/>
      <w:marLeft w:val="0"/>
      <w:marRight w:val="0"/>
      <w:marTop w:val="0"/>
      <w:marBottom w:val="0"/>
      <w:divBdr>
        <w:top w:val="none" w:sz="0" w:space="0" w:color="auto"/>
        <w:left w:val="none" w:sz="0" w:space="0" w:color="auto"/>
        <w:bottom w:val="none" w:sz="0" w:space="0" w:color="auto"/>
        <w:right w:val="none" w:sz="0" w:space="0" w:color="auto"/>
      </w:divBdr>
    </w:div>
    <w:div w:id="1175533778">
      <w:bodyDiv w:val="1"/>
      <w:marLeft w:val="0"/>
      <w:marRight w:val="0"/>
      <w:marTop w:val="0"/>
      <w:marBottom w:val="0"/>
      <w:divBdr>
        <w:top w:val="none" w:sz="0" w:space="0" w:color="auto"/>
        <w:left w:val="none" w:sz="0" w:space="0" w:color="auto"/>
        <w:bottom w:val="none" w:sz="0" w:space="0" w:color="auto"/>
        <w:right w:val="none" w:sz="0" w:space="0" w:color="auto"/>
      </w:divBdr>
    </w:div>
    <w:div w:id="1376198502">
      <w:bodyDiv w:val="1"/>
      <w:marLeft w:val="0"/>
      <w:marRight w:val="0"/>
      <w:marTop w:val="0"/>
      <w:marBottom w:val="0"/>
      <w:divBdr>
        <w:top w:val="none" w:sz="0" w:space="0" w:color="auto"/>
        <w:left w:val="none" w:sz="0" w:space="0" w:color="auto"/>
        <w:bottom w:val="none" w:sz="0" w:space="0" w:color="auto"/>
        <w:right w:val="none" w:sz="0" w:space="0" w:color="auto"/>
      </w:divBdr>
    </w:div>
    <w:div w:id="160137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11791-82C5-DF4C-9C36-468F90549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21682</Words>
  <Characters>123593</Characters>
  <Application>Microsoft Office Word</Application>
  <DocSecurity>0</DocSecurity>
  <Lines>1029</Lines>
  <Paragraphs>289</Paragraphs>
  <ScaleCrop>false</ScaleCrop>
  <Company/>
  <LinksUpToDate>false</LinksUpToDate>
  <CharactersWithSpaces>144986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Jeneen H.H</dc:creator>
  <cp:keywords/>
  <dc:description/>
  <cp:lastModifiedBy>Jeneen Hadj-Hammou</cp:lastModifiedBy>
  <cp:revision>4</cp:revision>
  <cp:lastPrinted>2024-06-27T09:15:00Z</cp:lastPrinted>
  <dcterms:created xsi:type="dcterms:W3CDTF">2024-07-16T15:05:00Z</dcterms:created>
  <dcterms:modified xsi:type="dcterms:W3CDTF">2024-07-16T15:16:00Z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id="bC9O3PUq"/&gt;&lt;style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