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1540D" w14:textId="77777777" w:rsidR="00BC2F35" w:rsidRDefault="00BC2F35" w:rsidP="00BC2F35">
      <w:pPr>
        <w:jc w:val="both"/>
        <w:rPr>
          <w:rFonts w:ascii="Times New Roman" w:hAnsi="Times New Roman" w:cs="Times New Roman"/>
          <w:b/>
          <w:sz w:val="28"/>
        </w:rPr>
      </w:pPr>
      <w:r w:rsidRPr="00561A60">
        <w:rPr>
          <w:rFonts w:ascii="Times New Roman" w:hAnsi="Times New Roman" w:cs="Times New Roman"/>
          <w:b/>
          <w:sz w:val="28"/>
        </w:rPr>
        <w:t>Rare Earth elements in the North Atlantic, part II</w:t>
      </w:r>
      <w:r>
        <w:rPr>
          <w:rFonts w:ascii="Times New Roman" w:hAnsi="Times New Roman" w:cs="Times New Roman"/>
          <w:b/>
          <w:sz w:val="28"/>
        </w:rPr>
        <w:t>:</w:t>
      </w:r>
      <w:r w:rsidRPr="00561A60">
        <w:rPr>
          <w:rFonts w:ascii="Times New Roman" w:hAnsi="Times New Roman" w:cs="Times New Roman"/>
          <w:b/>
          <w:sz w:val="28"/>
        </w:rPr>
        <w:t xml:space="preserve"> partition coefficients </w:t>
      </w:r>
    </w:p>
    <w:p w14:paraId="5FB40055" w14:textId="77777777" w:rsidR="00F974D2" w:rsidRPr="005D32CD" w:rsidRDefault="00F974D2" w:rsidP="00F974D2">
      <w:pPr>
        <w:jc w:val="both"/>
        <w:rPr>
          <w:rFonts w:ascii="Times New Roman" w:hAnsi="Times New Roman" w:cs="Times New Roman"/>
          <w:sz w:val="24"/>
          <w:szCs w:val="24"/>
        </w:rPr>
      </w:pPr>
      <w:r w:rsidRPr="005D32CD">
        <w:rPr>
          <w:rFonts w:ascii="Times New Roman" w:hAnsi="Times New Roman" w:cs="Times New Roman"/>
          <w:sz w:val="24"/>
          <w:szCs w:val="24"/>
        </w:rPr>
        <w:t>Lagarde Marion</w:t>
      </w:r>
      <w:r w:rsidRPr="005D32CD">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r w:rsidRPr="005D32CD">
        <w:rPr>
          <w:rFonts w:ascii="Times New Roman" w:hAnsi="Times New Roman" w:cs="Times New Roman"/>
          <w:sz w:val="24"/>
          <w:szCs w:val="24"/>
        </w:rPr>
        <w:t>, Pham Viet Quoc</w:t>
      </w:r>
      <w:r>
        <w:rPr>
          <w:rFonts w:ascii="Times New Roman" w:hAnsi="Times New Roman" w:cs="Times New Roman"/>
          <w:sz w:val="24"/>
          <w:szCs w:val="24"/>
          <w:vertAlign w:val="superscript"/>
        </w:rPr>
        <w:t>b,c</w:t>
      </w:r>
      <w:r w:rsidRPr="005D32CD">
        <w:rPr>
          <w:rFonts w:ascii="Times New Roman" w:hAnsi="Times New Roman" w:cs="Times New Roman"/>
          <w:sz w:val="24"/>
          <w:szCs w:val="24"/>
        </w:rPr>
        <w:t>, Lemaitre, Nolwenn</w:t>
      </w:r>
      <w:r>
        <w:rPr>
          <w:rFonts w:ascii="Times New Roman" w:hAnsi="Times New Roman" w:cs="Times New Roman"/>
          <w:sz w:val="24"/>
          <w:szCs w:val="24"/>
          <w:vertAlign w:val="superscript"/>
        </w:rPr>
        <w:t>b,1</w:t>
      </w:r>
      <w:r w:rsidRPr="005D32CD">
        <w:rPr>
          <w:rFonts w:ascii="Times New Roman" w:hAnsi="Times New Roman" w:cs="Times New Roman"/>
          <w:sz w:val="24"/>
          <w:szCs w:val="24"/>
        </w:rPr>
        <w:t>, Belhadj Moustafa</w:t>
      </w:r>
      <w:r>
        <w:rPr>
          <w:rFonts w:ascii="Times New Roman" w:hAnsi="Times New Roman" w:cs="Times New Roman"/>
          <w:sz w:val="24"/>
          <w:szCs w:val="24"/>
          <w:vertAlign w:val="superscript"/>
        </w:rPr>
        <w:t>b,2</w:t>
      </w:r>
      <w:r w:rsidRPr="005D32CD">
        <w:rPr>
          <w:rFonts w:ascii="Times New Roman" w:hAnsi="Times New Roman" w:cs="Times New Roman"/>
          <w:sz w:val="24"/>
          <w:szCs w:val="24"/>
        </w:rPr>
        <w:t xml:space="preserve"> and Jeandel Catherine</w:t>
      </w:r>
      <w:r>
        <w:rPr>
          <w:rFonts w:ascii="Times New Roman" w:hAnsi="Times New Roman" w:cs="Times New Roman"/>
          <w:sz w:val="24"/>
          <w:szCs w:val="24"/>
          <w:vertAlign w:val="superscript"/>
        </w:rPr>
        <w:t>b,3</w:t>
      </w:r>
    </w:p>
    <w:p w14:paraId="177DB0A5" w14:textId="77777777" w:rsidR="00F974D2" w:rsidRPr="008643AD" w:rsidRDefault="00F974D2" w:rsidP="00F974D2">
      <w:pPr>
        <w:spacing w:after="0"/>
        <w:jc w:val="both"/>
        <w:rPr>
          <w:rFonts w:ascii="Times New Roman" w:hAnsi="Times New Roman" w:cs="Times New Roman"/>
          <w:sz w:val="24"/>
          <w:szCs w:val="24"/>
        </w:rPr>
      </w:pPr>
      <w:r w:rsidRPr="004571BD">
        <w:rPr>
          <w:rStyle w:val="Lienhypertexte"/>
          <w:rFonts w:ascii="Times New Roman" w:hAnsi="Times New Roman" w:cs="Times New Roman"/>
          <w:color w:val="000000" w:themeColor="text1"/>
          <w:sz w:val="24"/>
          <w:szCs w:val="24"/>
          <w:u w:val="none"/>
        </w:rPr>
        <w:t xml:space="preserve">a LOCEAN-IPSL, Sorbonne Université/IRD/CNRS/MNHN, Paris, France, </w:t>
      </w:r>
      <w:hyperlink r:id="rId4" w:history="1">
        <w:r w:rsidRPr="008643AD">
          <w:rPr>
            <w:rStyle w:val="Lienhypertexte"/>
            <w:rFonts w:ascii="Times New Roman" w:hAnsi="Times New Roman" w:cs="Times New Roman"/>
            <w:sz w:val="24"/>
            <w:szCs w:val="24"/>
          </w:rPr>
          <w:t>marion.lagarde@locean.ipsl.fr</w:t>
        </w:r>
      </w:hyperlink>
      <w:r w:rsidRPr="008643AD">
        <w:rPr>
          <w:rFonts w:ascii="Times New Roman" w:hAnsi="Times New Roman" w:cs="Times New Roman"/>
          <w:sz w:val="24"/>
          <w:szCs w:val="24"/>
        </w:rPr>
        <w:t xml:space="preserve"> (corresponding author)</w:t>
      </w:r>
    </w:p>
    <w:p w14:paraId="4BEE75C5" w14:textId="77777777" w:rsidR="00F974D2" w:rsidRPr="008643AD" w:rsidRDefault="00F974D2" w:rsidP="00F974D2">
      <w:pPr>
        <w:spacing w:after="0"/>
        <w:jc w:val="both"/>
        <w:rPr>
          <w:rFonts w:ascii="Times New Roman" w:hAnsi="Times New Roman" w:cs="Times New Roman"/>
          <w:sz w:val="24"/>
          <w:szCs w:val="24"/>
        </w:rPr>
      </w:pPr>
      <w:r w:rsidRPr="008643AD">
        <w:rPr>
          <w:rFonts w:ascii="Times New Roman" w:hAnsi="Times New Roman" w:cs="Times New Roman"/>
          <w:sz w:val="24"/>
          <w:szCs w:val="24"/>
        </w:rPr>
        <w:t xml:space="preserve">b LEGOS, CNRS, </w:t>
      </w:r>
      <w:r>
        <w:rPr>
          <w:rFonts w:ascii="Times New Roman" w:hAnsi="Times New Roman" w:cs="Times New Roman"/>
          <w:sz w:val="24"/>
          <w:szCs w:val="24"/>
        </w:rPr>
        <w:t xml:space="preserve">UT3, </w:t>
      </w:r>
      <w:r w:rsidRPr="008643AD">
        <w:rPr>
          <w:rFonts w:ascii="Times New Roman" w:hAnsi="Times New Roman" w:cs="Times New Roman"/>
          <w:sz w:val="24"/>
          <w:szCs w:val="24"/>
        </w:rPr>
        <w:t>CNES, IRD, University of Toulouse, 14 avenue Edouard Belin, Toulouse, 31400, France.</w:t>
      </w:r>
    </w:p>
    <w:p w14:paraId="1628D984" w14:textId="77777777" w:rsidR="00F974D2" w:rsidRPr="008643AD" w:rsidRDefault="00F974D2" w:rsidP="00F974D2">
      <w:pPr>
        <w:spacing w:after="0"/>
        <w:ind w:left="708"/>
        <w:jc w:val="both"/>
        <w:rPr>
          <w:rFonts w:ascii="Times New Roman" w:hAnsi="Times New Roman" w:cs="Times New Roman"/>
          <w:sz w:val="24"/>
          <w:szCs w:val="24"/>
        </w:rPr>
      </w:pPr>
      <w:r w:rsidRPr="008643AD">
        <w:rPr>
          <w:rFonts w:ascii="Times New Roman" w:hAnsi="Times New Roman" w:cs="Times New Roman"/>
          <w:sz w:val="24"/>
          <w:szCs w:val="24"/>
        </w:rPr>
        <w:t>1 nolwenn.lemaitre@univ-tlse3.fr</w:t>
      </w:r>
    </w:p>
    <w:p w14:paraId="382D535A" w14:textId="77777777" w:rsidR="00F974D2" w:rsidRPr="008643AD" w:rsidRDefault="00F974D2" w:rsidP="00F974D2">
      <w:pPr>
        <w:spacing w:after="0"/>
        <w:jc w:val="both"/>
        <w:rPr>
          <w:rFonts w:ascii="Times New Roman" w:hAnsi="Times New Roman" w:cs="Times New Roman"/>
          <w:sz w:val="24"/>
          <w:szCs w:val="24"/>
        </w:rPr>
      </w:pPr>
      <w:r w:rsidRPr="008643AD">
        <w:rPr>
          <w:rFonts w:ascii="Times New Roman" w:hAnsi="Times New Roman" w:cs="Times New Roman"/>
          <w:sz w:val="24"/>
          <w:szCs w:val="24"/>
        </w:rPr>
        <w:t xml:space="preserve">            2 </w:t>
      </w:r>
      <w:hyperlink r:id="rId5" w:history="1">
        <w:r w:rsidRPr="008643AD">
          <w:rPr>
            <w:rStyle w:val="Lienhypertexte"/>
            <w:rFonts w:ascii="Times New Roman" w:hAnsi="Times New Roman" w:cs="Times New Roman"/>
            <w:sz w:val="24"/>
            <w:szCs w:val="24"/>
          </w:rPr>
          <w:t>moustafa.belhadj@univ-tlse</w:t>
        </w:r>
      </w:hyperlink>
      <w:r w:rsidRPr="008643AD">
        <w:rPr>
          <w:rStyle w:val="Lienhypertexte"/>
          <w:rFonts w:ascii="Times New Roman" w:hAnsi="Times New Roman" w:cs="Times New Roman"/>
          <w:sz w:val="24"/>
          <w:szCs w:val="24"/>
        </w:rPr>
        <w:t>3.fr</w:t>
      </w:r>
    </w:p>
    <w:p w14:paraId="3DE37897" w14:textId="77777777" w:rsidR="00F974D2" w:rsidRPr="008643AD" w:rsidRDefault="00F974D2" w:rsidP="00F974D2">
      <w:pPr>
        <w:spacing w:after="0"/>
        <w:ind w:left="708"/>
        <w:jc w:val="both"/>
        <w:rPr>
          <w:rStyle w:val="Lienhypertexte"/>
          <w:rFonts w:ascii="Times New Roman" w:hAnsi="Times New Roman" w:cs="Times New Roman"/>
          <w:sz w:val="24"/>
          <w:szCs w:val="24"/>
        </w:rPr>
      </w:pPr>
      <w:r w:rsidRPr="008643AD">
        <w:rPr>
          <w:rFonts w:ascii="Times New Roman" w:hAnsi="Times New Roman" w:cs="Times New Roman"/>
          <w:sz w:val="24"/>
          <w:szCs w:val="24"/>
        </w:rPr>
        <w:t xml:space="preserve">3 </w:t>
      </w:r>
      <w:r w:rsidRPr="008643AD">
        <w:rPr>
          <w:rStyle w:val="Lienhypertexte"/>
          <w:rFonts w:ascii="Times New Roman" w:hAnsi="Times New Roman" w:cs="Times New Roman"/>
          <w:sz w:val="24"/>
          <w:szCs w:val="24"/>
        </w:rPr>
        <w:t>catherine.jeandel@univ-tlse3.fr</w:t>
      </w:r>
    </w:p>
    <w:p w14:paraId="5A960AFA" w14:textId="77777777" w:rsidR="00F974D2" w:rsidRPr="005D32CD" w:rsidRDefault="00F974D2" w:rsidP="00F974D2">
      <w:pPr>
        <w:spacing w:after="0"/>
        <w:jc w:val="both"/>
        <w:rPr>
          <w:rFonts w:ascii="Times New Roman" w:hAnsi="Times New Roman" w:cs="Times New Roman"/>
          <w:sz w:val="24"/>
          <w:szCs w:val="24"/>
        </w:rPr>
      </w:pPr>
      <w:r>
        <w:rPr>
          <w:rFonts w:ascii="Times New Roman" w:hAnsi="Times New Roman" w:cs="Times New Roman"/>
          <w:sz w:val="24"/>
          <w:szCs w:val="24"/>
        </w:rPr>
        <w:t>c</w:t>
      </w:r>
      <w:r w:rsidRPr="005D32CD">
        <w:rPr>
          <w:rFonts w:ascii="Times New Roman" w:hAnsi="Times New Roman" w:cs="Times New Roman"/>
          <w:sz w:val="24"/>
          <w:szCs w:val="24"/>
        </w:rPr>
        <w:t xml:space="preserve"> Institute of Environmental Technology, 18 Hoàng Quốc Việt street, Cầu Giấy, Hanoi, Vietnam. viet.pham</w:t>
      </w:r>
      <w:r w:rsidRPr="008643AD">
        <w:rPr>
          <w:rStyle w:val="Lienhypertexte"/>
          <w:rFonts w:ascii="Times New Roman" w:hAnsi="Times New Roman" w:cs="Times New Roman"/>
          <w:sz w:val="24"/>
          <w:szCs w:val="24"/>
        </w:rPr>
        <w:t>@univ-tlse3.fr</w:t>
      </w:r>
    </w:p>
    <w:p w14:paraId="7B4CA613" w14:textId="77777777" w:rsidR="00BC2F35" w:rsidRPr="00092DD2" w:rsidRDefault="00BC2F35" w:rsidP="00BC2F35">
      <w:pPr>
        <w:spacing w:after="0"/>
        <w:jc w:val="both"/>
        <w:rPr>
          <w:rFonts w:ascii="Times New Roman" w:hAnsi="Times New Roman" w:cs="Times New Roman"/>
          <w:sz w:val="24"/>
          <w:szCs w:val="24"/>
        </w:rPr>
      </w:pPr>
    </w:p>
    <w:p w14:paraId="468C1845" w14:textId="77777777" w:rsidR="00BC2F35" w:rsidRPr="00586C2D" w:rsidRDefault="00BC2F35" w:rsidP="00BC2F35">
      <w:pPr>
        <w:jc w:val="both"/>
        <w:rPr>
          <w:rFonts w:ascii="Times New Roman" w:hAnsi="Times New Roman" w:cs="Times New Roman"/>
          <w:sz w:val="24"/>
        </w:rPr>
      </w:pPr>
      <w:r w:rsidRPr="00586C2D">
        <w:rPr>
          <w:rFonts w:ascii="Times New Roman" w:hAnsi="Times New Roman" w:cs="Times New Roman"/>
          <w:sz w:val="24"/>
        </w:rPr>
        <w:t>keywords: Rare earth elements; dissolved particulate exchanges; partition coefficients; suspended particle mass; manganese oxides; iron hydroxides; GEOTRACES; GEOVIDE</w:t>
      </w:r>
    </w:p>
    <w:p w14:paraId="078BE22A" w14:textId="77777777" w:rsidR="00533882" w:rsidRPr="00DB213D" w:rsidRDefault="00533882" w:rsidP="00533882">
      <w:pPr>
        <w:pStyle w:val="Titre1"/>
      </w:pPr>
      <w:r w:rsidRPr="00DB213D">
        <w:t xml:space="preserve">APPENDIX A: Supplementary material </w:t>
      </w:r>
    </w:p>
    <w:p w14:paraId="1C702998" w14:textId="77777777" w:rsidR="00A67227" w:rsidRDefault="00A67227"/>
    <w:p w14:paraId="15F878E0" w14:textId="77777777" w:rsidR="00760269" w:rsidRDefault="00760269" w:rsidP="00760269">
      <w:pPr>
        <w:jc w:val="both"/>
      </w:pPr>
      <w:r>
        <w:rPr>
          <w:noProof/>
        </w:rPr>
        <w:drawing>
          <wp:inline distT="0" distB="0" distL="0" distR="0" wp14:anchorId="1618753D" wp14:editId="435661ED">
            <wp:extent cx="7065645" cy="40601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65645" cy="4060190"/>
                    </a:xfrm>
                    <a:prstGeom prst="rect">
                      <a:avLst/>
                    </a:prstGeom>
                    <a:noFill/>
                  </pic:spPr>
                </pic:pic>
              </a:graphicData>
            </a:graphic>
          </wp:inline>
        </w:drawing>
      </w:r>
    </w:p>
    <w:p w14:paraId="7841D5E1" w14:textId="77777777" w:rsidR="00760269" w:rsidRDefault="00760269" w:rsidP="00760269">
      <w:pPr>
        <w:jc w:val="both"/>
        <w:rPr>
          <w:rFonts w:ascii="Times New Roman" w:hAnsi="Times New Roman" w:cs="Times New Roman"/>
        </w:rPr>
      </w:pPr>
      <w:r w:rsidRPr="00E3365F">
        <w:rPr>
          <w:rFonts w:ascii="Times New Roman" w:hAnsi="Times New Roman" w:cs="Times New Roman"/>
        </w:rPr>
        <w:t xml:space="preserve">Figure S1: Relative contributions of the main particulate phases to the SPM: </w:t>
      </w:r>
      <w:r w:rsidRPr="00E3365F">
        <w:rPr>
          <w:rFonts w:ascii="Times New Roman" w:hAnsi="Times New Roman" w:cs="Times New Roman"/>
          <w:b/>
        </w:rPr>
        <w:t>A.</w:t>
      </w:r>
      <w:r w:rsidRPr="00E3365F">
        <w:rPr>
          <w:rFonts w:ascii="Times New Roman" w:hAnsi="Times New Roman" w:cs="Times New Roman"/>
        </w:rPr>
        <w:t xml:space="preserve"> Particulate organic matter (POM) </w:t>
      </w:r>
      <w:r w:rsidRPr="00E3365F">
        <w:rPr>
          <w:rFonts w:ascii="Times New Roman" w:hAnsi="Times New Roman" w:cs="Times New Roman"/>
          <w:b/>
        </w:rPr>
        <w:t>B.</w:t>
      </w:r>
      <w:r w:rsidRPr="00E3365F">
        <w:rPr>
          <w:rFonts w:ascii="Times New Roman" w:hAnsi="Times New Roman" w:cs="Times New Roman"/>
        </w:rPr>
        <w:t xml:space="preserve">  Biogenic silica </w:t>
      </w:r>
      <w:r w:rsidRPr="00E3365F">
        <w:rPr>
          <w:rFonts w:ascii="Times New Roman" w:hAnsi="Times New Roman" w:cs="Times New Roman"/>
          <w:b/>
        </w:rPr>
        <w:t>C.</w:t>
      </w:r>
      <w:r w:rsidRPr="00E3365F">
        <w:rPr>
          <w:rFonts w:ascii="Times New Roman" w:hAnsi="Times New Roman" w:cs="Times New Roman"/>
        </w:rPr>
        <w:t xml:space="preserve"> Lithogenic component </w:t>
      </w:r>
      <w:r w:rsidRPr="00E3365F">
        <w:rPr>
          <w:rFonts w:ascii="Times New Roman" w:hAnsi="Times New Roman" w:cs="Times New Roman"/>
          <w:b/>
        </w:rPr>
        <w:t>D.</w:t>
      </w:r>
      <w:r w:rsidRPr="00E3365F">
        <w:rPr>
          <w:rFonts w:ascii="Times New Roman" w:hAnsi="Times New Roman" w:cs="Times New Roman"/>
        </w:rPr>
        <w:t xml:space="preserve"> Calcium carbonate </w:t>
      </w:r>
      <w:r w:rsidRPr="00E3365F">
        <w:rPr>
          <w:rFonts w:ascii="Times New Roman" w:hAnsi="Times New Roman" w:cs="Times New Roman"/>
          <w:b/>
        </w:rPr>
        <w:t>E.</w:t>
      </w:r>
      <w:r w:rsidRPr="00E3365F">
        <w:rPr>
          <w:rFonts w:ascii="Times New Roman" w:hAnsi="Times New Roman" w:cs="Times New Roman"/>
        </w:rPr>
        <w:t xml:space="preserve"> Fe hydroxides and </w:t>
      </w:r>
      <w:r w:rsidRPr="00E3365F">
        <w:rPr>
          <w:rFonts w:ascii="Times New Roman" w:hAnsi="Times New Roman" w:cs="Times New Roman"/>
          <w:b/>
        </w:rPr>
        <w:t>F.</w:t>
      </w:r>
      <w:r w:rsidRPr="00E3365F">
        <w:rPr>
          <w:rFonts w:ascii="Times New Roman" w:hAnsi="Times New Roman" w:cs="Times New Roman"/>
        </w:rPr>
        <w:t xml:space="preserve"> Mn oxides</w:t>
      </w:r>
    </w:p>
    <w:p w14:paraId="10B714E6" w14:textId="77777777" w:rsidR="00BC2F35" w:rsidRPr="00E3365F" w:rsidRDefault="00BC2F35" w:rsidP="00760269">
      <w:pPr>
        <w:jc w:val="both"/>
        <w:rPr>
          <w:rFonts w:ascii="Times New Roman" w:hAnsi="Times New Roman" w:cs="Times New Roman"/>
        </w:rPr>
      </w:pPr>
    </w:p>
    <w:p w14:paraId="5AA96E48" w14:textId="77777777" w:rsidR="00BC2F35" w:rsidRDefault="00A67227">
      <w:pPr>
        <w:rPr>
          <w:rFonts w:ascii="Times New Roman" w:hAnsi="Times New Roman" w:cs="Times New Roman"/>
        </w:rPr>
      </w:pPr>
      <w:r w:rsidRPr="00E3365F">
        <w:rPr>
          <w:rFonts w:ascii="Times New Roman" w:hAnsi="Times New Roman" w:cs="Times New Roman"/>
        </w:rPr>
        <w:lastRenderedPageBreak/>
        <w:t>Table S1: Suspended particle mass (SPM) values along the GEOVIDE transect (µg.L</w:t>
      </w:r>
      <w:r w:rsidRPr="00E3365F">
        <w:rPr>
          <w:rFonts w:ascii="Times New Roman" w:hAnsi="Times New Roman" w:cs="Times New Roman"/>
          <w:vertAlign w:val="superscript"/>
        </w:rPr>
        <w:t>-1</w:t>
      </w:r>
      <w:r w:rsidRPr="00E3365F">
        <w:rPr>
          <w:rFonts w:ascii="Times New Roman" w:hAnsi="Times New Roman" w:cs="Times New Roman"/>
        </w:rPr>
        <w:t>)</w:t>
      </w:r>
      <w:r w:rsidR="00824447" w:rsidRPr="00824447">
        <w:rPr>
          <w:noProof/>
        </w:rPr>
        <w:drawing>
          <wp:inline distT="0" distB="0" distL="0" distR="0" wp14:anchorId="63F7A6D9" wp14:editId="2EC8C64C">
            <wp:extent cx="3681766" cy="84709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3778" cy="8475529"/>
                    </a:xfrm>
                    <a:prstGeom prst="rect">
                      <a:avLst/>
                    </a:prstGeom>
                    <a:noFill/>
                    <a:ln>
                      <a:noFill/>
                    </a:ln>
                  </pic:spPr>
                </pic:pic>
              </a:graphicData>
            </a:graphic>
          </wp:inline>
        </w:drawing>
      </w:r>
    </w:p>
    <w:p w14:paraId="30F898DF" w14:textId="77777777" w:rsidR="00BC2F35" w:rsidRDefault="00BC2F35">
      <w:pPr>
        <w:rPr>
          <w:rFonts w:ascii="Times New Roman" w:hAnsi="Times New Roman" w:cs="Times New Roman"/>
        </w:rPr>
      </w:pPr>
      <w:r>
        <w:rPr>
          <w:rFonts w:ascii="Times New Roman" w:hAnsi="Times New Roman" w:cs="Times New Roman"/>
        </w:rPr>
        <w:lastRenderedPageBreak/>
        <w:t>Table S1: end</w:t>
      </w:r>
    </w:p>
    <w:p w14:paraId="4C0D7F3F" w14:textId="77777777" w:rsidR="00BC2F35" w:rsidRDefault="00BC2F35">
      <w:pPr>
        <w:rPr>
          <w:rFonts w:ascii="Times New Roman" w:hAnsi="Times New Roman" w:cs="Times New Roman"/>
        </w:rPr>
      </w:pPr>
      <w:r w:rsidRPr="00824447">
        <w:rPr>
          <w:noProof/>
        </w:rPr>
        <w:drawing>
          <wp:inline distT="0" distB="0" distL="0" distR="0" wp14:anchorId="676C27ED" wp14:editId="3B449287">
            <wp:extent cx="3731757" cy="847080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757" cy="8470800"/>
                    </a:xfrm>
                    <a:prstGeom prst="rect">
                      <a:avLst/>
                    </a:prstGeom>
                    <a:noFill/>
                    <a:ln>
                      <a:noFill/>
                    </a:ln>
                  </pic:spPr>
                </pic:pic>
              </a:graphicData>
            </a:graphic>
          </wp:inline>
        </w:drawing>
      </w:r>
    </w:p>
    <w:p w14:paraId="3CD784BB" w14:textId="77777777" w:rsidR="00A67227" w:rsidRPr="00E3365F" w:rsidRDefault="00A67227">
      <w:pPr>
        <w:rPr>
          <w:rFonts w:ascii="Times New Roman" w:hAnsi="Times New Roman" w:cs="Times New Roman"/>
        </w:rPr>
      </w:pPr>
      <w:r w:rsidRPr="00E3365F">
        <w:rPr>
          <w:rFonts w:ascii="Times New Roman" w:hAnsi="Times New Roman" w:cs="Times New Roman"/>
        </w:rPr>
        <w:lastRenderedPageBreak/>
        <w:t xml:space="preserve">Table S2: Partition coefficient </w:t>
      </w:r>
      <w:proofErr w:type="spellStart"/>
      <w:r w:rsidRPr="00E3365F">
        <w:rPr>
          <w:rFonts w:ascii="Times New Roman" w:hAnsi="Times New Roman" w:cs="Times New Roman"/>
        </w:rPr>
        <w:t>Kd</w:t>
      </w:r>
      <w:proofErr w:type="spellEnd"/>
      <w:r w:rsidRPr="00E3365F">
        <w:rPr>
          <w:rFonts w:ascii="Times New Roman" w:hAnsi="Times New Roman" w:cs="Times New Roman"/>
        </w:rPr>
        <w:t xml:space="preserve"> of REE along the GEOVIDE transect </w:t>
      </w:r>
    </w:p>
    <w:p w14:paraId="330BC28A" w14:textId="77777777" w:rsidR="00F0014B" w:rsidRDefault="00F0014B"/>
    <w:p w14:paraId="65330258" w14:textId="77777777" w:rsidR="00F0014B" w:rsidRDefault="0018479C">
      <w:r>
        <w:rPr>
          <w:noProof/>
        </w:rPr>
        <w:drawing>
          <wp:inline distT="0" distB="0" distL="0" distR="0" wp14:anchorId="50B6204E" wp14:editId="76023350">
            <wp:extent cx="6327628" cy="65074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3272" cy="6513285"/>
                    </a:xfrm>
                    <a:prstGeom prst="rect">
                      <a:avLst/>
                    </a:prstGeom>
                    <a:noFill/>
                  </pic:spPr>
                </pic:pic>
              </a:graphicData>
            </a:graphic>
          </wp:inline>
        </w:drawing>
      </w:r>
    </w:p>
    <w:p w14:paraId="70EDDE7B" w14:textId="77777777" w:rsidR="00F0014B" w:rsidRDefault="00F0014B"/>
    <w:p w14:paraId="707CFFD4" w14:textId="77777777" w:rsidR="00F0014B" w:rsidRDefault="00F0014B"/>
    <w:p w14:paraId="066F5EA2" w14:textId="77777777" w:rsidR="00F0014B" w:rsidRDefault="00F0014B"/>
    <w:p w14:paraId="798E0EA4" w14:textId="77777777" w:rsidR="00F0014B" w:rsidRDefault="00F0014B"/>
    <w:p w14:paraId="59D4A6B5" w14:textId="77777777" w:rsidR="00F0014B" w:rsidRDefault="00F0014B"/>
    <w:p w14:paraId="4E0C54C8" w14:textId="77777777" w:rsidR="00F0014B" w:rsidRDefault="00F0014B"/>
    <w:p w14:paraId="4A1D4D21" w14:textId="71C6C14D" w:rsidR="00372F97" w:rsidRDefault="0095079B" w:rsidP="00372F97">
      <w:pPr>
        <w:keepNext/>
        <w:spacing w:line="312" w:lineRule="auto"/>
        <w:jc w:val="both"/>
      </w:pPr>
      <w:bookmarkStart w:id="0" w:name="_Hlk172211764"/>
      <w:r>
        <w:rPr>
          <w:noProof/>
        </w:rPr>
        <w:lastRenderedPageBreak/>
        <w:drawing>
          <wp:inline distT="0" distB="0" distL="0" distR="0" wp14:anchorId="389D4595" wp14:editId="6BA482B8">
            <wp:extent cx="4980823" cy="301152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7122" cy="3015337"/>
                    </a:xfrm>
                    <a:prstGeom prst="rect">
                      <a:avLst/>
                    </a:prstGeom>
                    <a:noFill/>
                  </pic:spPr>
                </pic:pic>
              </a:graphicData>
            </a:graphic>
          </wp:inline>
        </w:drawing>
      </w:r>
    </w:p>
    <w:p w14:paraId="6124C7F9" w14:textId="37BE9D7F" w:rsidR="00F0014B" w:rsidRDefault="00372F97">
      <w:pPr>
        <w:rPr>
          <w:rFonts w:ascii="Times New Roman" w:hAnsi="Times New Roman" w:cs="Times New Roman"/>
        </w:rPr>
      </w:pPr>
      <w:bookmarkStart w:id="1" w:name="_Toc99720489"/>
      <w:r w:rsidRPr="00372F97">
        <w:rPr>
          <w:rFonts w:ascii="Times New Roman" w:hAnsi="Times New Roman" w:cs="Times New Roman"/>
          <w:sz w:val="24"/>
        </w:rPr>
        <w:t>Fig</w:t>
      </w:r>
      <w:r w:rsidR="006A7819">
        <w:rPr>
          <w:rFonts w:ascii="Times New Roman" w:hAnsi="Times New Roman" w:cs="Times New Roman"/>
          <w:sz w:val="24"/>
        </w:rPr>
        <w:t>ure</w:t>
      </w:r>
      <w:r w:rsidRPr="00372F97">
        <w:rPr>
          <w:rFonts w:ascii="Times New Roman" w:hAnsi="Times New Roman" w:cs="Times New Roman"/>
          <w:sz w:val="24"/>
        </w:rPr>
        <w:t xml:space="preserve"> S2: </w:t>
      </w:r>
      <w:bookmarkEnd w:id="1"/>
      <w:r w:rsidRPr="00372F97">
        <w:rPr>
          <w:rFonts w:ascii="Times New Roman" w:hAnsi="Times New Roman" w:cs="Times New Roman"/>
        </w:rPr>
        <w:t xml:space="preserve">Comparison of the SPM and </w:t>
      </w:r>
      <w:proofErr w:type="spellStart"/>
      <w:r w:rsidRPr="00372F97">
        <w:rPr>
          <w:rFonts w:ascii="Times New Roman" w:hAnsi="Times New Roman" w:cs="Times New Roman"/>
        </w:rPr>
        <w:t>Kd</w:t>
      </w:r>
      <w:proofErr w:type="spellEnd"/>
      <w:r w:rsidRPr="00372F97">
        <w:rPr>
          <w:rFonts w:ascii="Times New Roman" w:hAnsi="Times New Roman" w:cs="Times New Roman"/>
        </w:rPr>
        <w:t xml:space="preserve"> presented in this study (in blue) with those published by Stichel et al. (2020, in red)</w:t>
      </w:r>
      <w:r w:rsidR="0095079B">
        <w:rPr>
          <w:rFonts w:ascii="Times New Roman" w:hAnsi="Times New Roman" w:cs="Times New Roman"/>
        </w:rPr>
        <w:t xml:space="preserve">. The squares represent the two closest stations from each cruise, in the Irminger Sea. </w:t>
      </w:r>
      <w:r w:rsidRPr="00372F97">
        <w:rPr>
          <w:rFonts w:ascii="Times New Roman" w:hAnsi="Times New Roman" w:cs="Times New Roman"/>
        </w:rPr>
        <w:t xml:space="preserve"> </w:t>
      </w:r>
      <w:r w:rsidR="0095079B" w:rsidRPr="005C7E03">
        <w:rPr>
          <w:rFonts w:ascii="Times New Roman" w:hAnsi="Times New Roman" w:cs="Times New Roman"/>
          <w:sz w:val="24"/>
          <w:szCs w:val="20"/>
        </w:rPr>
        <w:t xml:space="preserve">The arrow on </w:t>
      </w:r>
      <w:proofErr w:type="spellStart"/>
      <w:r w:rsidR="0095079B">
        <w:rPr>
          <w:rFonts w:ascii="Times New Roman" w:hAnsi="Times New Roman" w:cs="Times New Roman"/>
          <w:sz w:val="24"/>
          <w:szCs w:val="20"/>
        </w:rPr>
        <w:t>Kd</w:t>
      </w:r>
      <w:proofErr w:type="spellEnd"/>
      <w:r w:rsidR="0095079B">
        <w:rPr>
          <w:rFonts w:ascii="Times New Roman" w:hAnsi="Times New Roman" w:cs="Times New Roman"/>
          <w:sz w:val="24"/>
          <w:szCs w:val="20"/>
        </w:rPr>
        <w:t>(</w:t>
      </w:r>
      <w:r w:rsidR="0095079B" w:rsidRPr="005C7E03">
        <w:rPr>
          <w:rFonts w:ascii="Times New Roman" w:hAnsi="Times New Roman" w:cs="Times New Roman"/>
          <w:sz w:val="24"/>
          <w:szCs w:val="20"/>
        </w:rPr>
        <w:t>Nd</w:t>
      </w:r>
      <w:r w:rsidR="0095079B">
        <w:rPr>
          <w:rFonts w:ascii="Times New Roman" w:hAnsi="Times New Roman" w:cs="Times New Roman"/>
          <w:sz w:val="24"/>
          <w:szCs w:val="20"/>
        </w:rPr>
        <w:t>)</w:t>
      </w:r>
      <w:r w:rsidR="0095079B" w:rsidRPr="005C7E03">
        <w:rPr>
          <w:rFonts w:ascii="Times New Roman" w:hAnsi="Times New Roman" w:cs="Times New Roman"/>
          <w:sz w:val="24"/>
          <w:szCs w:val="20"/>
        </w:rPr>
        <w:t xml:space="preserve"> profiles </w:t>
      </w:r>
      <w:r w:rsidR="0095079B" w:rsidRPr="0095079B">
        <w:rPr>
          <w:rFonts w:ascii="Times New Roman" w:hAnsi="Times New Roman" w:cs="Times New Roman"/>
          <w:sz w:val="24"/>
          <w:szCs w:val="20"/>
        </w:rPr>
        <w:t>represent</w:t>
      </w:r>
      <w:r w:rsidR="0095079B">
        <w:rPr>
          <w:rFonts w:ascii="Times New Roman" w:hAnsi="Times New Roman" w:cs="Times New Roman"/>
          <w:sz w:val="24"/>
          <w:szCs w:val="20"/>
        </w:rPr>
        <w:t>s</w:t>
      </w:r>
      <w:r w:rsidR="0095079B" w:rsidRPr="0095079B">
        <w:rPr>
          <w:rFonts w:ascii="Times New Roman" w:hAnsi="Times New Roman" w:cs="Times New Roman"/>
          <w:sz w:val="24"/>
          <w:szCs w:val="20"/>
        </w:rPr>
        <w:t xml:space="preserve"> </w:t>
      </w:r>
      <w:r w:rsidR="0095079B" w:rsidRPr="005C7E03">
        <w:rPr>
          <w:rFonts w:ascii="Times New Roman" w:hAnsi="Times New Roman" w:cs="Times New Roman"/>
          <w:sz w:val="24"/>
          <w:szCs w:val="20"/>
        </w:rPr>
        <w:t xml:space="preserve">the range of </w:t>
      </w:r>
      <w:proofErr w:type="spellStart"/>
      <w:r w:rsidR="0095079B" w:rsidRPr="005C7E03">
        <w:rPr>
          <w:rFonts w:ascii="Times New Roman" w:hAnsi="Times New Roman" w:cs="Times New Roman"/>
          <w:sz w:val="24"/>
          <w:szCs w:val="20"/>
        </w:rPr>
        <w:t>Kd</w:t>
      </w:r>
      <w:proofErr w:type="spellEnd"/>
      <w:r w:rsidR="0095079B" w:rsidRPr="005C7E03">
        <w:rPr>
          <w:rFonts w:ascii="Times New Roman" w:hAnsi="Times New Roman" w:cs="Times New Roman"/>
          <w:sz w:val="24"/>
          <w:szCs w:val="20"/>
        </w:rPr>
        <w:t xml:space="preserve"> used to model </w:t>
      </w:r>
      <w:r w:rsidR="0095079B">
        <w:rPr>
          <w:rFonts w:ascii="Times New Roman" w:hAnsi="Times New Roman" w:cs="Times New Roman"/>
          <w:sz w:val="24"/>
          <w:szCs w:val="20"/>
        </w:rPr>
        <w:t>d</w:t>
      </w:r>
      <w:r w:rsidR="0095079B" w:rsidRPr="005C7E03">
        <w:rPr>
          <w:rFonts w:ascii="Times New Roman" w:hAnsi="Times New Roman" w:cs="Times New Roman"/>
          <w:sz w:val="24"/>
          <w:szCs w:val="20"/>
        </w:rPr>
        <w:t xml:space="preserve">Nd distribution in </w:t>
      </w:r>
      <w:r w:rsidR="0095079B" w:rsidRPr="005C7E03">
        <w:rPr>
          <w:rFonts w:ascii="Times New Roman" w:hAnsi="Times New Roman" w:cs="Times New Roman"/>
          <w:sz w:val="24"/>
          <w:szCs w:val="20"/>
        </w:rPr>
        <w:fldChar w:fldCharType="begin"/>
      </w:r>
      <w:r w:rsidR="0095079B" w:rsidRPr="005C7E03">
        <w:rPr>
          <w:rFonts w:ascii="Times New Roman" w:hAnsi="Times New Roman" w:cs="Times New Roman"/>
          <w:sz w:val="24"/>
          <w:szCs w:val="20"/>
        </w:rPr>
        <w:instrText xml:space="preserve"> ADDIN ZOTERO_ITEM CSL_CITATION {"citationID":"NWs9kSPg","properties":{"formattedCitation":"(Siddall et al., 2008; Rempfer et al., 2011; Gu et al., 2017)","plainCitation":"(Siddall et al., 2008; Rempfer et al., 2011; Gu et al., 2017)","dontUpdate":true,"noteIndex":0},"citationItems":[{"id":206,"uris":["http://zotero.org/users/3905007/items/9BVEP4B3"],"itemData":{"id":206,"type":"article-journal","abstract":"The isotopic composition of the rare earth element neodymium (Nd) has the potential to serve as water-mass tracer, because it is naturally tagged by continental sources with distinct ages and lithologies. However, in order to understand the limitations of this approach we need to know more about the physical and biogeochemical processes controlling the distribution of Nd in the modern ocean. For example, Nd isotope ratios behave quasi-conservatively, while concentrations in the water column generally increase with depth, showing a broadly nutrient-like behaviour. We deﬁne this decoupling of Nd concentrations and isotopic compositions as the “Nd paradox”. For the ﬁrst time we model Nd concentrations and isotopic compositions simultaneously and address the hypothesis that the Nd paradox can be explained by a combination of lateral advection and reversible scavenging. We impose a reversible-scavenging model of Nd removal from the ocean on the ocean circulation ﬁelds from the MIT general circulation model using the transport matrix method. We conclude that reversible scavenging is an active and important component in the cycling of Nd in the ocean. In the absence of an adequate alternative explanation, reversible scavenging should be considered a necessary component in explaining the Nd paradox.","container-title":"Earth and Planetary Science Letters","DOI":"10.1016/j.epsl.2008.07.044","ISSN":"0012821X","issue":"3-4","language":"en","page":"448-461","source":"Crossref","title":"Towards explaining the Nd paradox using reversible scavenging in an ocean general circulation model","volume":"274","author":[{"family":"Siddall","given":"Mark"},{"family":"Khatiwala","given":"Samar"},{"family":"Flierdt","given":"Tina","non-dropping-particle":"van de"},{"family":"Jones","given":"Kevin"},{"family":"Goldstein","given":"Steven L."},{"family":"Hemming","given":"Sidney"},{"family":"Anderson","given":"Robert F."}],"issued":{"date-parts":[["2008",10]]},"citation-key":"siddallExplainingNdParadox2008"}},{"id":618,"uris":["http://zotero.org/users/3905007/items/UPWBHQRK"],"itemData":{"id":618,"type":"article-journal","abstract":"The neodymium (Nd) isotopic composition ( Nd) of seawater is a quasi-conservative tracer of water mass mixing and is assumed to hold great potential for paleoceanographic studies. Here we present a comprehensive approach for the simulation of the two neodymium isotopes 143Nd, and 144Nd using the Bern3D model, a low resolution ocean model. The high computational eﬃciency of the Bern3D model in conjunction with our comprehensive approach allows us to systematically and extensively explore the sensitivity of Nd concentrations and  Nd to the parametrisation of sources and sinks. Previous studies have been restricted in doing so either by the chosen approach or by computational costs. Our study thus presents the most comprehensive survey of the marine Nd cycle to date.","container-title":"Geochimica et Cosmochimica Acta","DOI":"10.1016/j.gca.2011.07.044","ISSN":"00167037","issue":"20","journalAbbreviation":"Geochimica et Cosmochimica Acta","language":"en","page":"5927-5950","source":"DOI.org (Crossref)","title":"Modelling Nd-isotopes with a coarse resolution ocean circulation model: Sensitivities to model parameters and source/sink distributions","title-short":"Modelling Nd-isotopes with a coarse resolution ocean circulation model","volume":"75","author":[{"family":"Rempfer","given":"Johannes"},{"family":"Stocker","given":"Thomas F."},{"family":"Joos","given":"Fortunat"},{"family":"Dutay","given":"Jean-Claude"},{"family":"Siddall","given":"Mark"}],"issued":{"date-parts":[["2011",10]]},"citation-key":"rempferModellingNdisotopesCoarse2011"}},{"id":567,"uris":["http://zotero.org/users/3905007/items/7TEITUJW"],"itemData":{"id":567,"type":"article-journal","container-title":"Geoscientific Model Development Discussions","DOI":"10.5194/gmd-2017-40","page":"1–41","title":"Neodymium isotopes in the ocean model of the Community Earth System Model (CESM1.3)","volume":"2017","author":[{"family":"Gu","given":"S."},{"family":"Liu","given":"Z."},{"family":"Jahn","given":"A."},{"family":"Rempfer","given":"J."},{"family":"Zhang","given":"J."},{"family":"Joos","given":"F."}],"issued":{"date-parts":[["2017"]]},"citation-key":"guNeodymiumIsotopesOcean2017"}}],"schema":"https://github.com/citation-style-language/schema/raw/master/csl-citation.json"} </w:instrText>
      </w:r>
      <w:r w:rsidR="0095079B" w:rsidRPr="005C7E03">
        <w:rPr>
          <w:rFonts w:ascii="Times New Roman" w:hAnsi="Times New Roman" w:cs="Times New Roman"/>
          <w:sz w:val="24"/>
          <w:szCs w:val="20"/>
        </w:rPr>
        <w:fldChar w:fldCharType="separate"/>
      </w:r>
      <w:r w:rsidR="0095079B" w:rsidRPr="005C7E03">
        <w:rPr>
          <w:rFonts w:ascii="Times New Roman" w:hAnsi="Times New Roman" w:cs="Times New Roman"/>
          <w:sz w:val="24"/>
          <w:szCs w:val="24"/>
        </w:rPr>
        <w:t xml:space="preserve">Siddall et al. (2008); </w:t>
      </w:r>
      <w:proofErr w:type="spellStart"/>
      <w:r w:rsidR="0095079B" w:rsidRPr="005C7E03">
        <w:rPr>
          <w:rFonts w:ascii="Times New Roman" w:hAnsi="Times New Roman" w:cs="Times New Roman"/>
          <w:sz w:val="24"/>
          <w:szCs w:val="24"/>
        </w:rPr>
        <w:t>Rempfer</w:t>
      </w:r>
      <w:proofErr w:type="spellEnd"/>
      <w:r w:rsidR="0095079B" w:rsidRPr="005C7E03">
        <w:rPr>
          <w:rFonts w:ascii="Times New Roman" w:hAnsi="Times New Roman" w:cs="Times New Roman"/>
          <w:sz w:val="24"/>
          <w:szCs w:val="24"/>
        </w:rPr>
        <w:t xml:space="preserve"> et al. (2011); Gu et al. (2017)</w:t>
      </w:r>
      <w:r w:rsidR="0095079B" w:rsidRPr="005C7E03">
        <w:rPr>
          <w:rFonts w:ascii="Times New Roman" w:hAnsi="Times New Roman" w:cs="Times New Roman"/>
          <w:sz w:val="24"/>
          <w:szCs w:val="20"/>
        </w:rPr>
        <w:fldChar w:fldCharType="end"/>
      </w:r>
      <w:r w:rsidR="0095079B" w:rsidRPr="005C7E03">
        <w:rPr>
          <w:rFonts w:ascii="Times New Roman" w:hAnsi="Times New Roman" w:cs="Times New Roman"/>
          <w:sz w:val="24"/>
          <w:szCs w:val="20"/>
        </w:rPr>
        <w:t xml:space="preserve"> for the different particulate phases.</w:t>
      </w:r>
    </w:p>
    <w:bookmarkEnd w:id="0"/>
    <w:p w14:paraId="2E6BFA11" w14:textId="5C82CE7A" w:rsidR="004C33DE" w:rsidRPr="005870D6" w:rsidRDefault="000614D2" w:rsidP="000614D2">
      <w:pPr>
        <w:jc w:val="center"/>
        <w:rPr>
          <w:rFonts w:ascii="Times New Roman" w:hAnsi="Times New Roman" w:cs="Times New Roman"/>
          <w:color w:val="4472C4" w:themeColor="accent1"/>
          <w:sz w:val="24"/>
          <w:szCs w:val="24"/>
        </w:rPr>
      </w:pPr>
      <w:r>
        <w:rPr>
          <w:rFonts w:ascii="Times New Roman" w:hAnsi="Times New Roman" w:cs="Times New Roman"/>
          <w:noProof/>
          <w:color w:val="4472C4" w:themeColor="accent1"/>
          <w:sz w:val="24"/>
          <w:szCs w:val="24"/>
        </w:rPr>
        <w:lastRenderedPageBreak/>
        <w:drawing>
          <wp:inline distT="0" distB="0" distL="0" distR="0" wp14:anchorId="6E385DEF" wp14:editId="4C3E35B9">
            <wp:extent cx="4091567" cy="6249726"/>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4089" cy="6253579"/>
                    </a:xfrm>
                    <a:prstGeom prst="rect">
                      <a:avLst/>
                    </a:prstGeom>
                    <a:noFill/>
                  </pic:spPr>
                </pic:pic>
              </a:graphicData>
            </a:graphic>
          </wp:inline>
        </w:drawing>
      </w:r>
    </w:p>
    <w:p w14:paraId="7F653876" w14:textId="33EDEADB" w:rsidR="004C33DE" w:rsidRPr="00B53A28" w:rsidRDefault="004C33DE" w:rsidP="004C33DE">
      <w:pPr>
        <w:jc w:val="both"/>
        <w:rPr>
          <w:rFonts w:ascii="Times New Roman" w:hAnsi="Times New Roman" w:cs="Times New Roman"/>
          <w:color w:val="000000" w:themeColor="text1"/>
          <w:sz w:val="24"/>
          <w:szCs w:val="24"/>
        </w:rPr>
      </w:pPr>
      <w:r w:rsidRPr="00B53A28">
        <w:rPr>
          <w:rFonts w:ascii="Times New Roman" w:hAnsi="Times New Roman" w:cs="Times New Roman"/>
          <w:color w:val="000000" w:themeColor="text1"/>
          <w:sz w:val="24"/>
          <w:szCs w:val="24"/>
        </w:rPr>
        <w:t xml:space="preserve">Figure S3: Comparison of the </w:t>
      </w:r>
      <w:proofErr w:type="spellStart"/>
      <w:r w:rsidRPr="00B53A28">
        <w:rPr>
          <w:rFonts w:ascii="Times New Roman" w:hAnsi="Times New Roman" w:cs="Times New Roman"/>
          <w:color w:val="000000" w:themeColor="text1"/>
          <w:sz w:val="24"/>
          <w:szCs w:val="24"/>
        </w:rPr>
        <w:t>Kd</w:t>
      </w:r>
      <w:r w:rsidRPr="00B53A28">
        <w:rPr>
          <w:rFonts w:ascii="Times New Roman" w:hAnsi="Times New Roman" w:cs="Times New Roman"/>
          <w:color w:val="000000" w:themeColor="text1"/>
          <w:sz w:val="24"/>
          <w:szCs w:val="24"/>
          <w:vertAlign w:val="subscript"/>
        </w:rPr>
        <w:t>authi</w:t>
      </w:r>
      <w:proofErr w:type="spellEnd"/>
      <w:r w:rsidRPr="00B53A28">
        <w:rPr>
          <w:rFonts w:ascii="Times New Roman" w:hAnsi="Times New Roman" w:cs="Times New Roman"/>
          <w:color w:val="000000" w:themeColor="text1"/>
          <w:sz w:val="24"/>
          <w:szCs w:val="24"/>
        </w:rPr>
        <w:t xml:space="preserve"> and SPM presented in this study (red, green and blue dots) with those published by Tachikawa et al. (1999, purple diamonds, tropical northeast Atlantic) for cerium (Ce), neodymium (Nd) and ytterbium (Yb). E: eutrophic; M: mesotrophic and O: oligotrophic sites of Tachikawa et al. study. NAST: subtropical north Atlantic; NADR: north Atlantic drift; ARCT: arctic, biogeochemical provinces presented in this study. </w:t>
      </w:r>
    </w:p>
    <w:p w14:paraId="728333ED" w14:textId="77777777" w:rsidR="004C33DE" w:rsidRDefault="004C33DE"/>
    <w:p w14:paraId="5B188541" w14:textId="77777777" w:rsidR="00F0014B" w:rsidRDefault="00F0014B"/>
    <w:p w14:paraId="56BCFABC" w14:textId="77777777" w:rsidR="00F0014B" w:rsidRDefault="006F05CB">
      <w:r>
        <w:rPr>
          <w:noProof/>
        </w:rPr>
        <w:lastRenderedPageBreak/>
        <w:drawing>
          <wp:inline distT="0" distB="0" distL="0" distR="0" wp14:anchorId="46A06F37" wp14:editId="13D77B9B">
            <wp:extent cx="6084053" cy="328388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0542" cy="3287391"/>
                    </a:xfrm>
                    <a:prstGeom prst="rect">
                      <a:avLst/>
                    </a:prstGeom>
                    <a:noFill/>
                  </pic:spPr>
                </pic:pic>
              </a:graphicData>
            </a:graphic>
          </wp:inline>
        </w:drawing>
      </w:r>
    </w:p>
    <w:p w14:paraId="2AEBDC42" w14:textId="08E7D0E3" w:rsidR="00F0014B" w:rsidRDefault="00F0014B" w:rsidP="00F0014B">
      <w:pPr>
        <w:ind w:left="360"/>
        <w:jc w:val="both"/>
        <w:rPr>
          <w:rFonts w:ascii="Times New Roman" w:hAnsi="Times New Roman" w:cs="Times New Roman"/>
          <w:noProof/>
        </w:rPr>
      </w:pPr>
      <w:r w:rsidRPr="00372B16">
        <w:rPr>
          <w:rFonts w:ascii="Times New Roman" w:hAnsi="Times New Roman" w:cs="Times New Roman"/>
          <w:sz w:val="24"/>
        </w:rPr>
        <w:t>Figure S</w:t>
      </w:r>
      <w:r w:rsidR="004C33DE">
        <w:rPr>
          <w:rFonts w:ascii="Times New Roman" w:hAnsi="Times New Roman" w:cs="Times New Roman"/>
          <w:sz w:val="24"/>
        </w:rPr>
        <w:t>4</w:t>
      </w:r>
      <w:r w:rsidRPr="00372B16">
        <w:rPr>
          <w:rFonts w:ascii="Times New Roman" w:hAnsi="Times New Roman" w:cs="Times New Roman"/>
          <w:sz w:val="24"/>
        </w:rPr>
        <w:t>:</w:t>
      </w:r>
      <w:r w:rsidRPr="00372B16">
        <w:rPr>
          <w:sz w:val="24"/>
        </w:rPr>
        <w:t xml:space="preserve"> </w:t>
      </w:r>
      <w:r w:rsidRPr="008E040E">
        <w:rPr>
          <w:rFonts w:ascii="Times New Roman" w:hAnsi="Times New Roman" w:cs="Times New Roman"/>
          <w:noProof/>
        </w:rPr>
        <w:t>Partition coefficients Kd of Nd</w:t>
      </w:r>
      <w:r>
        <w:rPr>
          <w:rFonts w:ascii="Times New Roman" w:hAnsi="Times New Roman" w:cs="Times New Roman"/>
          <w:noProof/>
        </w:rPr>
        <w:t>, Ce and Yb</w:t>
      </w:r>
      <w:r w:rsidRPr="008E040E">
        <w:rPr>
          <w:rFonts w:ascii="Times New Roman" w:hAnsi="Times New Roman" w:cs="Times New Roman"/>
          <w:noProof/>
        </w:rPr>
        <w:t xml:space="preserve"> in function of the suspended particle mass (SPM) for the GEOVIDE stations (dots coloured per station). Three types of REE behavior are highlighted : 1) in purple areas with a high REE affinity for particles 2) in blue areas with moderate REE affiinty for particles 3) in orange areas with low REE affinity for particles.</w:t>
      </w:r>
    </w:p>
    <w:p w14:paraId="356DA146" w14:textId="77777777" w:rsidR="006A7819" w:rsidRDefault="006A7819" w:rsidP="00F0014B">
      <w:pPr>
        <w:ind w:left="360"/>
        <w:jc w:val="both"/>
        <w:rPr>
          <w:rFonts w:ascii="Times New Roman" w:hAnsi="Times New Roman" w:cs="Times New Roman"/>
          <w:noProof/>
          <w:sz w:val="24"/>
        </w:rPr>
      </w:pPr>
    </w:p>
    <w:p w14:paraId="49D0D757" w14:textId="4DEA86D1" w:rsidR="006A7819" w:rsidRDefault="006A7819" w:rsidP="00F0014B">
      <w:pPr>
        <w:ind w:left="360"/>
        <w:jc w:val="both"/>
        <w:rPr>
          <w:rFonts w:ascii="Times New Roman" w:hAnsi="Times New Roman" w:cs="Times New Roman"/>
          <w:noProof/>
          <w:sz w:val="24"/>
        </w:rPr>
      </w:pPr>
    </w:p>
    <w:p w14:paraId="3942ED66" w14:textId="579A23FE" w:rsidR="00BE3C9E" w:rsidRDefault="00BE3C9E" w:rsidP="00F0014B">
      <w:pPr>
        <w:ind w:left="360"/>
        <w:jc w:val="both"/>
        <w:rPr>
          <w:rFonts w:ascii="Times New Roman" w:hAnsi="Times New Roman" w:cs="Times New Roman"/>
          <w:noProof/>
          <w:sz w:val="24"/>
        </w:rPr>
      </w:pPr>
    </w:p>
    <w:p w14:paraId="4F639B1E" w14:textId="3B42B18E" w:rsidR="00BE3C9E" w:rsidRDefault="00BE3C9E" w:rsidP="00F0014B">
      <w:pPr>
        <w:ind w:left="360"/>
        <w:jc w:val="both"/>
        <w:rPr>
          <w:rFonts w:ascii="Times New Roman" w:hAnsi="Times New Roman" w:cs="Times New Roman"/>
          <w:noProof/>
          <w:sz w:val="24"/>
        </w:rPr>
      </w:pPr>
    </w:p>
    <w:p w14:paraId="08A25E65" w14:textId="580BF8F2" w:rsidR="00BE3C9E" w:rsidRDefault="00BE3C9E" w:rsidP="00F0014B">
      <w:pPr>
        <w:ind w:left="360"/>
        <w:jc w:val="both"/>
        <w:rPr>
          <w:rFonts w:ascii="Times New Roman" w:hAnsi="Times New Roman" w:cs="Times New Roman"/>
          <w:noProof/>
          <w:sz w:val="24"/>
        </w:rPr>
      </w:pPr>
    </w:p>
    <w:p w14:paraId="5E5A34DA" w14:textId="45AA8056" w:rsidR="00BE3C9E" w:rsidRDefault="00BE3C9E" w:rsidP="00F0014B">
      <w:pPr>
        <w:ind w:left="360"/>
        <w:jc w:val="both"/>
        <w:rPr>
          <w:rFonts w:ascii="Times New Roman" w:hAnsi="Times New Roman" w:cs="Times New Roman"/>
          <w:noProof/>
          <w:sz w:val="24"/>
        </w:rPr>
      </w:pPr>
    </w:p>
    <w:p w14:paraId="390A47B9" w14:textId="5A6E4DEF" w:rsidR="00BE3C9E" w:rsidRDefault="00BE3C9E" w:rsidP="00F0014B">
      <w:pPr>
        <w:ind w:left="360"/>
        <w:jc w:val="both"/>
        <w:rPr>
          <w:rFonts w:ascii="Times New Roman" w:hAnsi="Times New Roman" w:cs="Times New Roman"/>
          <w:noProof/>
          <w:sz w:val="24"/>
        </w:rPr>
      </w:pPr>
    </w:p>
    <w:p w14:paraId="54B0BFD6" w14:textId="1BBC51CE" w:rsidR="00BE3C9E" w:rsidRDefault="00BE3C9E" w:rsidP="00F0014B">
      <w:pPr>
        <w:ind w:left="360"/>
        <w:jc w:val="both"/>
        <w:rPr>
          <w:rFonts w:ascii="Times New Roman" w:hAnsi="Times New Roman" w:cs="Times New Roman"/>
          <w:noProof/>
          <w:sz w:val="24"/>
        </w:rPr>
      </w:pPr>
    </w:p>
    <w:p w14:paraId="229B163E" w14:textId="32B10A29" w:rsidR="00BE3C9E" w:rsidRDefault="00BE3C9E" w:rsidP="00F0014B">
      <w:pPr>
        <w:ind w:left="360"/>
        <w:jc w:val="both"/>
        <w:rPr>
          <w:rFonts w:ascii="Times New Roman" w:hAnsi="Times New Roman" w:cs="Times New Roman"/>
          <w:noProof/>
          <w:sz w:val="24"/>
        </w:rPr>
      </w:pPr>
    </w:p>
    <w:p w14:paraId="4CDFA53B" w14:textId="3AD29636" w:rsidR="00BE3C9E" w:rsidRDefault="00BE3C9E" w:rsidP="00F0014B">
      <w:pPr>
        <w:ind w:left="360"/>
        <w:jc w:val="both"/>
        <w:rPr>
          <w:rFonts w:ascii="Times New Roman" w:hAnsi="Times New Roman" w:cs="Times New Roman"/>
          <w:noProof/>
          <w:sz w:val="24"/>
        </w:rPr>
      </w:pPr>
    </w:p>
    <w:p w14:paraId="3BD95DEC" w14:textId="1CF50B71" w:rsidR="00BE3C9E" w:rsidRDefault="00BE3C9E" w:rsidP="00F0014B">
      <w:pPr>
        <w:ind w:left="360"/>
        <w:jc w:val="both"/>
        <w:rPr>
          <w:rFonts w:ascii="Times New Roman" w:hAnsi="Times New Roman" w:cs="Times New Roman"/>
          <w:noProof/>
          <w:sz w:val="24"/>
        </w:rPr>
      </w:pPr>
    </w:p>
    <w:p w14:paraId="7FC4A652" w14:textId="362D8170" w:rsidR="00BE3C9E" w:rsidRDefault="00BE3C9E" w:rsidP="00F0014B">
      <w:pPr>
        <w:ind w:left="360"/>
        <w:jc w:val="both"/>
        <w:rPr>
          <w:rFonts w:ascii="Times New Roman" w:hAnsi="Times New Roman" w:cs="Times New Roman"/>
          <w:noProof/>
          <w:sz w:val="24"/>
        </w:rPr>
      </w:pPr>
    </w:p>
    <w:p w14:paraId="0ACB8407" w14:textId="3C94A7F5" w:rsidR="00BE3C9E" w:rsidRDefault="00BE3C9E" w:rsidP="00F0014B">
      <w:pPr>
        <w:ind w:left="360"/>
        <w:jc w:val="both"/>
        <w:rPr>
          <w:rFonts w:ascii="Times New Roman" w:hAnsi="Times New Roman" w:cs="Times New Roman"/>
          <w:noProof/>
          <w:sz w:val="24"/>
        </w:rPr>
      </w:pPr>
    </w:p>
    <w:p w14:paraId="2DFC2A50" w14:textId="77777777" w:rsidR="00BE3C9E" w:rsidRDefault="00BE3C9E" w:rsidP="00F0014B">
      <w:pPr>
        <w:ind w:left="360"/>
        <w:jc w:val="both"/>
        <w:rPr>
          <w:rFonts w:ascii="Times New Roman" w:hAnsi="Times New Roman" w:cs="Times New Roman"/>
          <w:noProof/>
          <w:sz w:val="24"/>
        </w:rPr>
      </w:pPr>
    </w:p>
    <w:p w14:paraId="6BE2076F" w14:textId="77777777" w:rsidR="006A7819" w:rsidRDefault="006A7819" w:rsidP="00F0014B">
      <w:pPr>
        <w:ind w:left="360"/>
        <w:jc w:val="both"/>
        <w:rPr>
          <w:rFonts w:ascii="Times New Roman" w:hAnsi="Times New Roman" w:cs="Times New Roman"/>
          <w:noProof/>
          <w:sz w:val="24"/>
        </w:rPr>
      </w:pPr>
    </w:p>
    <w:p w14:paraId="59441D91" w14:textId="77777777" w:rsidR="00753EF1" w:rsidRPr="006A7819" w:rsidRDefault="00753EF1" w:rsidP="00F0014B">
      <w:pPr>
        <w:ind w:left="360"/>
        <w:jc w:val="both"/>
        <w:rPr>
          <w:rFonts w:ascii="Times New Roman" w:hAnsi="Times New Roman" w:cs="Times New Roman"/>
          <w:noProof/>
          <w:sz w:val="24"/>
        </w:rPr>
      </w:pPr>
      <w:r w:rsidRPr="006A7819">
        <w:rPr>
          <w:rFonts w:ascii="Times New Roman" w:hAnsi="Times New Roman" w:cs="Times New Roman"/>
          <w:noProof/>
          <w:sz w:val="24"/>
        </w:rPr>
        <w:lastRenderedPageBreak/>
        <w:t>Table S3: Matrix of correlation between Kd(Nd) and the proportions of the different particu</w:t>
      </w:r>
      <w:r w:rsidR="00B1599D">
        <w:rPr>
          <w:rFonts w:ascii="Times New Roman" w:hAnsi="Times New Roman" w:cs="Times New Roman"/>
          <w:noProof/>
          <w:sz w:val="24"/>
        </w:rPr>
        <w:t>l</w:t>
      </w:r>
      <w:r w:rsidRPr="006A7819">
        <w:rPr>
          <w:rFonts w:ascii="Times New Roman" w:hAnsi="Times New Roman" w:cs="Times New Roman"/>
          <w:noProof/>
          <w:sz w:val="24"/>
        </w:rPr>
        <w:t>ate phases, with the associated confidence intervals (95%).</w:t>
      </w:r>
    </w:p>
    <w:p w14:paraId="252F216A" w14:textId="77777777" w:rsidR="00753EF1" w:rsidRDefault="001F7FE8" w:rsidP="004B3ABB">
      <w:pPr>
        <w:ind w:left="360" w:firstLine="720"/>
        <w:jc w:val="both"/>
        <w:rPr>
          <w:rFonts w:ascii="Times New Roman" w:hAnsi="Times New Roman" w:cs="Times New Roman"/>
          <w:noProof/>
        </w:rPr>
      </w:pPr>
      <w:r w:rsidRPr="001F7FE8">
        <w:rPr>
          <w:noProof/>
        </w:rPr>
        <w:drawing>
          <wp:inline distT="0" distB="0" distL="0" distR="0" wp14:anchorId="4CADAEFE" wp14:editId="3E1F1D44">
            <wp:extent cx="4623392" cy="367081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8007" cy="3674475"/>
                    </a:xfrm>
                    <a:prstGeom prst="rect">
                      <a:avLst/>
                    </a:prstGeom>
                    <a:noFill/>
                    <a:ln>
                      <a:noFill/>
                    </a:ln>
                  </pic:spPr>
                </pic:pic>
              </a:graphicData>
            </a:graphic>
          </wp:inline>
        </w:drawing>
      </w:r>
    </w:p>
    <w:p w14:paraId="1C219BE7" w14:textId="77777777" w:rsidR="00753EF1" w:rsidRDefault="00753EF1" w:rsidP="00753EF1">
      <w:pPr>
        <w:ind w:left="360"/>
        <w:jc w:val="both"/>
        <w:rPr>
          <w:rFonts w:ascii="Times New Roman" w:hAnsi="Times New Roman" w:cs="Times New Roman"/>
          <w:noProof/>
        </w:rPr>
      </w:pPr>
      <w:r>
        <w:rPr>
          <w:rFonts w:ascii="Times New Roman" w:hAnsi="Times New Roman" w:cs="Times New Roman"/>
          <w:noProof/>
        </w:rPr>
        <w:t>Table S4: Matrix of correlation between Kd(Ce) and the proportions of the different particu</w:t>
      </w:r>
      <w:r w:rsidR="00B1599D">
        <w:rPr>
          <w:rFonts w:ascii="Times New Roman" w:hAnsi="Times New Roman" w:cs="Times New Roman"/>
          <w:noProof/>
        </w:rPr>
        <w:t>l</w:t>
      </w:r>
      <w:r>
        <w:rPr>
          <w:rFonts w:ascii="Times New Roman" w:hAnsi="Times New Roman" w:cs="Times New Roman"/>
          <w:noProof/>
        </w:rPr>
        <w:t>ate phases, with the associated confidence intervals (95%).</w:t>
      </w:r>
    </w:p>
    <w:p w14:paraId="5066AFD4" w14:textId="77777777" w:rsidR="00753EF1" w:rsidRDefault="001F7FE8" w:rsidP="006A7819">
      <w:pPr>
        <w:ind w:left="360"/>
        <w:jc w:val="center"/>
        <w:rPr>
          <w:rFonts w:ascii="Times New Roman" w:hAnsi="Times New Roman" w:cs="Times New Roman"/>
          <w:noProof/>
        </w:rPr>
      </w:pPr>
      <w:r w:rsidRPr="001F7FE8">
        <w:rPr>
          <w:noProof/>
        </w:rPr>
        <w:drawing>
          <wp:inline distT="0" distB="0" distL="0" distR="0" wp14:anchorId="4AB28F1F" wp14:editId="3F2974CC">
            <wp:extent cx="4883150" cy="387704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5684" cy="3879061"/>
                    </a:xfrm>
                    <a:prstGeom prst="rect">
                      <a:avLst/>
                    </a:prstGeom>
                    <a:noFill/>
                    <a:ln>
                      <a:noFill/>
                    </a:ln>
                  </pic:spPr>
                </pic:pic>
              </a:graphicData>
            </a:graphic>
          </wp:inline>
        </w:drawing>
      </w:r>
    </w:p>
    <w:p w14:paraId="0E7439BA" w14:textId="3D8BBF76" w:rsidR="00753EF1" w:rsidRPr="006A7819" w:rsidRDefault="00753EF1" w:rsidP="00753EF1">
      <w:pPr>
        <w:ind w:left="360"/>
        <w:jc w:val="both"/>
        <w:rPr>
          <w:rFonts w:ascii="Times New Roman" w:hAnsi="Times New Roman" w:cs="Times New Roman"/>
          <w:noProof/>
          <w:sz w:val="24"/>
        </w:rPr>
      </w:pPr>
      <w:r w:rsidRPr="006A7819">
        <w:rPr>
          <w:rFonts w:ascii="Times New Roman" w:hAnsi="Times New Roman" w:cs="Times New Roman"/>
          <w:noProof/>
          <w:sz w:val="24"/>
        </w:rPr>
        <w:lastRenderedPageBreak/>
        <w:t>Table S</w:t>
      </w:r>
      <w:r w:rsidR="00C55BA2">
        <w:rPr>
          <w:rFonts w:ascii="Times New Roman" w:hAnsi="Times New Roman" w:cs="Times New Roman"/>
          <w:noProof/>
          <w:sz w:val="24"/>
        </w:rPr>
        <w:t>5</w:t>
      </w:r>
      <w:r w:rsidRPr="006A7819">
        <w:rPr>
          <w:rFonts w:ascii="Times New Roman" w:hAnsi="Times New Roman" w:cs="Times New Roman"/>
          <w:noProof/>
          <w:sz w:val="24"/>
        </w:rPr>
        <w:t>: Matrix of correlation between Kd(Yb) and the proportions of the different particu</w:t>
      </w:r>
      <w:r w:rsidR="005108FE">
        <w:rPr>
          <w:rFonts w:ascii="Times New Roman" w:hAnsi="Times New Roman" w:cs="Times New Roman"/>
          <w:noProof/>
          <w:sz w:val="24"/>
        </w:rPr>
        <w:t>l</w:t>
      </w:r>
      <w:r w:rsidRPr="006A7819">
        <w:rPr>
          <w:rFonts w:ascii="Times New Roman" w:hAnsi="Times New Roman" w:cs="Times New Roman"/>
          <w:noProof/>
          <w:sz w:val="24"/>
        </w:rPr>
        <w:t>ate phases, with the associated confidence intervals (95%).</w:t>
      </w:r>
    </w:p>
    <w:p w14:paraId="1BD742A7" w14:textId="77777777" w:rsidR="00753EF1" w:rsidRPr="008E040E" w:rsidRDefault="007D75F5" w:rsidP="00753EF1">
      <w:pPr>
        <w:ind w:left="360"/>
        <w:jc w:val="both"/>
        <w:rPr>
          <w:rFonts w:ascii="Times New Roman" w:hAnsi="Times New Roman" w:cs="Times New Roman"/>
          <w:noProof/>
        </w:rPr>
      </w:pPr>
      <w:r w:rsidRPr="007D75F5">
        <w:rPr>
          <w:noProof/>
        </w:rPr>
        <w:drawing>
          <wp:inline distT="0" distB="0" distL="0" distR="0" wp14:anchorId="34729C76" wp14:editId="2BE9395A">
            <wp:extent cx="5760720" cy="457380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573808"/>
                    </a:xfrm>
                    <a:prstGeom prst="rect">
                      <a:avLst/>
                    </a:prstGeom>
                    <a:noFill/>
                    <a:ln>
                      <a:noFill/>
                    </a:ln>
                  </pic:spPr>
                </pic:pic>
              </a:graphicData>
            </a:graphic>
          </wp:inline>
        </w:drawing>
      </w:r>
    </w:p>
    <w:p w14:paraId="2C24CF58" w14:textId="77777777" w:rsidR="00753EF1" w:rsidRPr="008E040E" w:rsidRDefault="00753EF1" w:rsidP="00F0014B">
      <w:pPr>
        <w:ind w:left="360"/>
        <w:jc w:val="both"/>
        <w:rPr>
          <w:rFonts w:ascii="Times New Roman" w:hAnsi="Times New Roman" w:cs="Times New Roman"/>
          <w:noProof/>
        </w:rPr>
      </w:pPr>
    </w:p>
    <w:p w14:paraId="1B33322C" w14:textId="77777777" w:rsidR="00F0014B" w:rsidRDefault="00F0014B"/>
    <w:sectPr w:rsidR="00F001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269"/>
    <w:rsid w:val="000614D2"/>
    <w:rsid w:val="00135930"/>
    <w:rsid w:val="0018479C"/>
    <w:rsid w:val="001F7FE8"/>
    <w:rsid w:val="002A1D5A"/>
    <w:rsid w:val="00372B16"/>
    <w:rsid w:val="00372F97"/>
    <w:rsid w:val="004571BD"/>
    <w:rsid w:val="004B3ABB"/>
    <w:rsid w:val="004C33DE"/>
    <w:rsid w:val="004E640E"/>
    <w:rsid w:val="005108FE"/>
    <w:rsid w:val="00533882"/>
    <w:rsid w:val="005A1F42"/>
    <w:rsid w:val="006A7819"/>
    <w:rsid w:val="006B5B40"/>
    <w:rsid w:val="006F05CB"/>
    <w:rsid w:val="00753EF1"/>
    <w:rsid w:val="00760269"/>
    <w:rsid w:val="007D75F5"/>
    <w:rsid w:val="00824447"/>
    <w:rsid w:val="008967AD"/>
    <w:rsid w:val="008D6AFF"/>
    <w:rsid w:val="0095079B"/>
    <w:rsid w:val="00971331"/>
    <w:rsid w:val="00A67227"/>
    <w:rsid w:val="00AD149F"/>
    <w:rsid w:val="00B1599D"/>
    <w:rsid w:val="00B53A28"/>
    <w:rsid w:val="00BC2F35"/>
    <w:rsid w:val="00BE3C9E"/>
    <w:rsid w:val="00C306C3"/>
    <w:rsid w:val="00C55BA2"/>
    <w:rsid w:val="00E3365F"/>
    <w:rsid w:val="00F0014B"/>
    <w:rsid w:val="00F97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13536"/>
  <w15:chartTrackingRefBased/>
  <w15:docId w15:val="{F3B057D2-2C49-439F-B72E-5A712070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33882"/>
    <w:pPr>
      <w:keepNext/>
      <w:keepLines/>
      <w:spacing w:before="240" w:after="360"/>
      <w:outlineLvl w:val="0"/>
    </w:pPr>
    <w:rPr>
      <w:rFonts w:ascii="Times New Roman" w:eastAsiaTheme="majorEastAsia" w:hAnsi="Times New Roman" w:cstheme="majorBidi"/>
      <w:sz w:val="2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372F97"/>
    <w:pPr>
      <w:spacing w:after="200" w:line="240" w:lineRule="auto"/>
    </w:pPr>
    <w:rPr>
      <w:rFonts w:ascii="Calibri" w:eastAsia="Calibri" w:hAnsi="Calibri" w:cs="Calibri"/>
      <w:i/>
      <w:iCs/>
      <w:color w:val="44546A" w:themeColor="text2"/>
      <w:sz w:val="18"/>
      <w:szCs w:val="18"/>
      <w:lang w:val="fr-FR"/>
    </w:rPr>
  </w:style>
  <w:style w:type="character" w:customStyle="1" w:styleId="Titre1Car">
    <w:name w:val="Titre 1 Car"/>
    <w:basedOn w:val="Policepardfaut"/>
    <w:link w:val="Titre1"/>
    <w:uiPriority w:val="9"/>
    <w:rsid w:val="00533882"/>
    <w:rPr>
      <w:rFonts w:ascii="Times New Roman" w:eastAsiaTheme="majorEastAsia" w:hAnsi="Times New Roman" w:cstheme="majorBidi"/>
      <w:sz w:val="24"/>
      <w:szCs w:val="32"/>
    </w:rPr>
  </w:style>
  <w:style w:type="character" w:styleId="Lienhypertexte">
    <w:name w:val="Hyperlink"/>
    <w:basedOn w:val="Policepardfaut"/>
    <w:uiPriority w:val="99"/>
    <w:unhideWhenUsed/>
    <w:rsid w:val="00BC2F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oustafa.belhadj@legos.obs-mip.fr" TargetMode="Externa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hyperlink" Target="mailto:marion.lagarde@locean.ipsl.fr" TargetMode="Externa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9</Pages>
  <Words>1212</Words>
  <Characters>6671</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lagarde</cp:lastModifiedBy>
  <cp:revision>8</cp:revision>
  <dcterms:created xsi:type="dcterms:W3CDTF">2024-06-12T13:44:00Z</dcterms:created>
  <dcterms:modified xsi:type="dcterms:W3CDTF">2024-07-18T14:15:00Z</dcterms:modified>
</cp:coreProperties>
</file>