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7EA487" w14:textId="74C69786" w:rsidR="00E9196D" w:rsidRPr="00665457" w:rsidRDefault="00DA421A" w:rsidP="608FA6B7">
      <w:pPr>
        <w:rPr>
          <w:b/>
          <w:lang w:val="en-GB"/>
        </w:rPr>
      </w:pPr>
      <w:bookmarkStart w:id="0" w:name="_Hlk170215052"/>
      <w:bookmarkEnd w:id="0"/>
      <w:r w:rsidRPr="608FA6B7">
        <w:rPr>
          <w:b/>
          <w:lang w:val="en-GB"/>
        </w:rPr>
        <w:t>Supplementary Materials</w:t>
      </w:r>
      <w:r w:rsidR="004D6D51" w:rsidRPr="608FA6B7">
        <w:rPr>
          <w:b/>
          <w:lang w:val="en-GB"/>
        </w:rPr>
        <w:t xml:space="preserve"> for:</w:t>
      </w:r>
    </w:p>
    <w:p w14:paraId="7A8DE48E" w14:textId="48296E07" w:rsidR="004D6D51" w:rsidRPr="006F5A91" w:rsidRDefault="004D6D51" w:rsidP="00EA3ACC">
      <w:pPr>
        <w:jc w:val="center"/>
        <w:rPr>
          <w:b/>
          <w:bCs/>
          <w:i/>
          <w:iCs/>
          <w:sz w:val="24"/>
          <w:szCs w:val="24"/>
          <w:lang w:val="en-GB"/>
        </w:rPr>
      </w:pPr>
      <w:r w:rsidRPr="006F5A91">
        <w:rPr>
          <w:b/>
          <w:bCs/>
          <w:sz w:val="24"/>
          <w:szCs w:val="24"/>
          <w:lang w:val="en-GB"/>
        </w:rPr>
        <w:t xml:space="preserve">Accounting for spatio-temporal distribution changes in size-structured abundance estimates for </w:t>
      </w:r>
      <w:r w:rsidR="00472E59">
        <w:rPr>
          <w:b/>
          <w:bCs/>
          <w:sz w:val="24"/>
          <w:szCs w:val="24"/>
          <w:lang w:val="en-GB"/>
        </w:rPr>
        <w:t xml:space="preserve">a </w:t>
      </w:r>
      <w:r w:rsidRPr="006F5A91">
        <w:rPr>
          <w:b/>
          <w:bCs/>
          <w:sz w:val="24"/>
          <w:szCs w:val="24"/>
          <w:lang w:val="en-GB"/>
        </w:rPr>
        <w:t>data</w:t>
      </w:r>
      <w:r w:rsidR="00472E59">
        <w:rPr>
          <w:b/>
          <w:bCs/>
          <w:sz w:val="24"/>
          <w:szCs w:val="24"/>
          <w:lang w:val="en-GB"/>
        </w:rPr>
        <w:t>-</w:t>
      </w:r>
      <w:r w:rsidR="00472E59" w:rsidRPr="608FA6B7">
        <w:rPr>
          <w:b/>
          <w:bCs/>
          <w:sz w:val="24"/>
          <w:szCs w:val="24"/>
          <w:lang w:val="en-GB"/>
        </w:rPr>
        <w:t>limited</w:t>
      </w:r>
      <w:r w:rsidR="00D922E7">
        <w:rPr>
          <w:b/>
          <w:bCs/>
          <w:sz w:val="24"/>
          <w:szCs w:val="24"/>
          <w:lang w:val="en-GB"/>
        </w:rPr>
        <w:t xml:space="preserve"> </w:t>
      </w:r>
      <w:r w:rsidRPr="608FA6B7">
        <w:rPr>
          <w:b/>
          <w:bCs/>
          <w:sz w:val="24"/>
          <w:szCs w:val="24"/>
          <w:lang w:val="en-GB"/>
        </w:rPr>
        <w:t>stock</w:t>
      </w:r>
      <w:r w:rsidRPr="006F5A91" w:rsidDel="00472E59">
        <w:rPr>
          <w:b/>
          <w:bCs/>
          <w:sz w:val="24"/>
          <w:szCs w:val="24"/>
          <w:lang w:val="en-GB"/>
        </w:rPr>
        <w:t xml:space="preserve"> of </w:t>
      </w:r>
      <w:r w:rsidRPr="006F5A91">
        <w:rPr>
          <w:b/>
          <w:bCs/>
          <w:i/>
          <w:iCs/>
          <w:sz w:val="24"/>
          <w:szCs w:val="24"/>
          <w:lang w:val="en-GB"/>
        </w:rPr>
        <w:t>Raja clavata</w:t>
      </w:r>
    </w:p>
    <w:p w14:paraId="0B7FBD0F" w14:textId="1F7272A8" w:rsidR="002E1839" w:rsidRPr="009507FB" w:rsidRDefault="006E5585" w:rsidP="608FA6B7">
      <w:pPr>
        <w:pStyle w:val="TOCHeading"/>
        <w:rPr>
          <w:rFonts w:ascii="Verdana" w:hAnsi="Verdana"/>
          <w:color w:val="auto"/>
          <w:sz w:val="20"/>
          <w:szCs w:val="20"/>
          <w:lang w:val="en-GB"/>
        </w:rPr>
      </w:pPr>
      <w:r w:rsidRPr="009507FB">
        <w:rPr>
          <w:rFonts w:ascii="Verdana" w:hAnsi="Verdana"/>
          <w:color w:val="auto"/>
          <w:sz w:val="20"/>
          <w:szCs w:val="20"/>
          <w:lang w:val="en-GB"/>
        </w:rPr>
        <w:t>Timo Michael Staeudle</w:t>
      </w:r>
      <w:r w:rsidR="00F0649F" w:rsidRPr="009507FB">
        <w:rPr>
          <w:rFonts w:ascii="Verdana" w:hAnsi="Verdana"/>
          <w:color w:val="auto"/>
          <w:sz w:val="20"/>
          <w:szCs w:val="20"/>
          <w:lang w:val="en-GB"/>
        </w:rPr>
        <w:t>,</w:t>
      </w:r>
      <w:r w:rsidRPr="009507FB">
        <w:rPr>
          <w:rFonts w:ascii="Verdana" w:hAnsi="Verdana"/>
          <w:color w:val="auto"/>
          <w:sz w:val="20"/>
          <w:szCs w:val="20"/>
          <w:lang w:val="en-GB"/>
        </w:rPr>
        <w:t xml:space="preserve"> Bram Parmentier, Jan Jaap Poos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905003167"/>
        <w:docPartObj>
          <w:docPartGallery w:val="Table of Contents"/>
          <w:docPartUnique/>
        </w:docPartObj>
      </w:sdtPr>
      <w:sdtContent>
        <w:p w14:paraId="445381B9" w14:textId="066B6FBA" w:rsidR="0060752D" w:rsidRPr="00C14761" w:rsidRDefault="0060752D" w:rsidP="242C1486">
          <w:pPr>
            <w:pStyle w:val="TOCHeading"/>
            <w:rPr>
              <w:rFonts w:ascii="Verdana" w:hAnsi="Verdana"/>
              <w:b/>
              <w:bCs/>
              <w:color w:val="000000" w:themeColor="text1"/>
              <w:sz w:val="22"/>
              <w:szCs w:val="22"/>
            </w:rPr>
          </w:pPr>
          <w:r w:rsidRPr="242C1486">
            <w:rPr>
              <w:rFonts w:ascii="Verdana" w:hAnsi="Verdana"/>
              <w:b/>
              <w:bCs/>
              <w:color w:val="000000" w:themeColor="text1"/>
              <w:sz w:val="22"/>
              <w:szCs w:val="22"/>
            </w:rPr>
            <w:t>Table of Contents</w:t>
          </w:r>
        </w:p>
        <w:p w14:paraId="5530D324" w14:textId="2E283B33" w:rsidR="004B7615" w:rsidRDefault="004B7615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r>
            <w:fldChar w:fldCharType="begin"/>
          </w:r>
          <w:r w:rsidR="608FA6B7">
            <w:instrText>TOC \o "1-3" \z \u \h</w:instrText>
          </w:r>
          <w:r>
            <w:fldChar w:fldCharType="separate"/>
          </w:r>
          <w:hyperlink w:anchor="_Toc1348031190">
            <w:r w:rsidR="242C1486" w:rsidRPr="242C1486">
              <w:rPr>
                <w:rStyle w:val="Hyperlink"/>
              </w:rPr>
              <w:t>Figure S1. Haul locations of International Bottom Trawl Survey (NS-IBTS; quarter 1 and 3), Beam Trawl Survey (NS-BTS; quarter 3), and Channel Groundfish Survey (FR-CGFS; quarter 4) for 1988-1999.</w:t>
            </w:r>
            <w:r w:rsidR="608FA6B7">
              <w:tab/>
            </w:r>
            <w:r w:rsidR="608FA6B7">
              <w:fldChar w:fldCharType="begin"/>
            </w:r>
            <w:r w:rsidR="608FA6B7">
              <w:instrText>PAGEREF _Toc1348031190 \h</w:instrText>
            </w:r>
            <w:r w:rsidR="608FA6B7">
              <w:fldChar w:fldCharType="separate"/>
            </w:r>
            <w:r w:rsidR="242C1486" w:rsidRPr="242C1486">
              <w:rPr>
                <w:rStyle w:val="Hyperlink"/>
              </w:rPr>
              <w:t>2</w:t>
            </w:r>
            <w:r w:rsidR="608FA6B7">
              <w:fldChar w:fldCharType="end"/>
            </w:r>
          </w:hyperlink>
        </w:p>
        <w:p w14:paraId="4D20FBF2" w14:textId="032A5C3D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1851901005">
            <w:r w:rsidR="242C1486" w:rsidRPr="242C1486">
              <w:rPr>
                <w:rStyle w:val="Hyperlink"/>
              </w:rPr>
              <w:t>Figure S2. Haul locations of International Bottom Trawl Survey (NS-IBTS; quarter 1 and 3), Beam Trawl Survey (NS-BTS; quarter 3), and Channel Groundfish Survey (FR-CGFS; quarter 4) for 2000-2011.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_Toc1851901005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3</w:t>
            </w:r>
            <w:r w:rsidR="004B7615">
              <w:fldChar w:fldCharType="end"/>
            </w:r>
          </w:hyperlink>
        </w:p>
        <w:p w14:paraId="056E5406" w14:textId="2092B003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200193714">
            <w:r w:rsidR="242C1486" w:rsidRPr="242C1486">
              <w:rPr>
                <w:rStyle w:val="Hyperlink"/>
              </w:rPr>
              <w:t>Figure S3. Haul locations of International Bottom Trawl Survey (NS-IBTS; quarter 1 and 3), Beam Trawl Survey (NS-BTS; quarter 3), and Channel Groundfish Survey (FR-CGFS; quarter 4) for 2012-2023.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_Toc200193714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4</w:t>
            </w:r>
            <w:r w:rsidR="004B7615">
              <w:fldChar w:fldCharType="end"/>
            </w:r>
          </w:hyperlink>
        </w:p>
        <w:p w14:paraId="749A2D3D" w14:textId="74E44809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770185589">
            <w:r w:rsidR="242C1486" w:rsidRPr="242C1486">
              <w:rPr>
                <w:rStyle w:val="Hyperlink"/>
              </w:rPr>
              <w:t>Figure S4. European Nature Information systems (EUNIS) substrate and habitat type in study area of the Greater North Sea, obtained from the European Environment Agency.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_Toc770185589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5</w:t>
            </w:r>
            <w:r w:rsidR="004B7615">
              <w:fldChar w:fldCharType="end"/>
            </w:r>
          </w:hyperlink>
        </w:p>
        <w:p w14:paraId="59C66CCD" w14:textId="6169F741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352136662">
            <w:r w:rsidR="242C1486" w:rsidRPr="242C1486">
              <w:rPr>
                <w:rStyle w:val="Hyperlink"/>
              </w:rPr>
              <w:t>Table S1. Total Area of substrate within the study area of the Greater North Sea and number of Hauls per substrate across Surveys.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_Toc352136662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6</w:t>
            </w:r>
            <w:r w:rsidR="004B7615">
              <w:fldChar w:fldCharType="end"/>
            </w:r>
          </w:hyperlink>
        </w:p>
        <w:p w14:paraId="2C48E730" w14:textId="0D0AD55D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264012938">
            <w:r w:rsidR="242C1486" w:rsidRPr="242C1486">
              <w:rPr>
                <w:rStyle w:val="Hyperlink"/>
              </w:rPr>
              <w:t>Table S2. Total Area of habitat within the study area of the Greater North Sea and number of Hauls across surveys per habitat class (EUNIS2019C).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_Toc264012938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6</w:t>
            </w:r>
            <w:r w:rsidR="004B7615">
              <w:fldChar w:fldCharType="end"/>
            </w:r>
          </w:hyperlink>
        </w:p>
        <w:p w14:paraId="03D9F9CD" w14:textId="6C0AAB19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1779440200">
            <w:r w:rsidR="242C1486" w:rsidRPr="242C1486">
              <w:rPr>
                <w:rStyle w:val="Hyperlink"/>
              </w:rPr>
              <w:t>Figure S5. Mesh designed for the Greater North Sea study area using Delaunay triangulation, with inner and outer boundary.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_Toc1779440200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8</w:t>
            </w:r>
            <w:r w:rsidR="004B7615">
              <w:fldChar w:fldCharType="end"/>
            </w:r>
          </w:hyperlink>
        </w:p>
        <w:p w14:paraId="5C50ED63" w14:textId="4E92A8A9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217371203">
            <w:r w:rsidR="242C1486" w:rsidRPr="242C1486">
              <w:rPr>
                <w:rStyle w:val="Hyperlink"/>
              </w:rPr>
              <w:t>Figure S6. Beam gear efficiency for size classes of Raja clavata, adapted from Walker et al. (2017).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_Toc217371203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9</w:t>
            </w:r>
            <w:r w:rsidR="004B7615">
              <w:fldChar w:fldCharType="end"/>
            </w:r>
          </w:hyperlink>
        </w:p>
        <w:p w14:paraId="27AFC67C" w14:textId="6896C6A2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1390391569">
            <w:r w:rsidR="242C1486" w:rsidRPr="242C1486">
              <w:rPr>
                <w:rStyle w:val="Hyperlink"/>
              </w:rPr>
              <w:t>Table S3. Size class specific parameters for lengths, gear efficiencies, and-weights.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_Toc1390391569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9</w:t>
            </w:r>
            <w:r w:rsidR="004B7615">
              <w:fldChar w:fldCharType="end"/>
            </w:r>
          </w:hyperlink>
        </w:p>
        <w:p w14:paraId="1D5E3C85" w14:textId="0B894295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1328760298">
            <w:r w:rsidR="242C1486" w:rsidRPr="242C1486">
              <w:rPr>
                <w:rStyle w:val="Hyperlink"/>
              </w:rPr>
              <w:t>Figure S7. Posterior mean of the spatial field by 25km2 grid cells from 1988 to 2023 for 9 equally spaced temporal knots.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_Toc1328760298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11</w:t>
            </w:r>
            <w:r w:rsidR="004B7615">
              <w:fldChar w:fldCharType="end"/>
            </w:r>
          </w:hyperlink>
        </w:p>
        <w:p w14:paraId="43447A01" w14:textId="1B993717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1934041809">
            <w:r w:rsidR="242C1486" w:rsidRPr="242C1486">
              <w:rPr>
                <w:rStyle w:val="Hyperlink"/>
              </w:rPr>
              <w:t>Figure S8. Posterior standard deviation (SD) of the spatial field by 25km2 grid cells from 1988 to 2023 for 9 equally spaced temporal knots. The white boundary indicates the interior mesh area used for predictions.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_Toc1934041809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12</w:t>
            </w:r>
            <w:r w:rsidR="004B7615">
              <w:fldChar w:fldCharType="end"/>
            </w:r>
          </w:hyperlink>
        </w:p>
        <w:p w14:paraId="35096157" w14:textId="1BE85D7B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2125151925">
            <w:r w:rsidR="242C1486" w:rsidRPr="242C1486">
              <w:rPr>
                <w:rStyle w:val="Hyperlink"/>
              </w:rPr>
              <w:t>Figure S9. Median predicted biomass of size classes of Raja clavata for the Greater North Sea study area with 95% credible intervals: (a) on a linear scale; (b) on a logarithmic scale.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_Toc2125151925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13</w:t>
            </w:r>
            <w:r w:rsidR="004B7615">
              <w:fldChar w:fldCharType="end"/>
            </w:r>
          </w:hyperlink>
        </w:p>
        <w:p w14:paraId="43E80C70" w14:textId="406ADC69" w:rsidR="004B7615" w:rsidRDefault="009507FB" w:rsidP="242C1486">
          <w:pPr>
            <w:pStyle w:val="TOC2"/>
            <w:tabs>
              <w:tab w:val="clear" w:pos="9062"/>
              <w:tab w:val="right" w:leader="dot" w:pos="9060"/>
            </w:tabs>
            <w:rPr>
              <w:rStyle w:val="Hyperlink"/>
              <w:noProof/>
              <w:lang w:val="en-GB" w:eastAsia="en-GB"/>
            </w:rPr>
          </w:pPr>
          <w:hyperlink w:anchor="_Toc623461490">
            <w:r w:rsidR="242C1486" w:rsidRPr="242C1486">
              <w:rPr>
                <w:rStyle w:val="Hyperlink"/>
              </w:rPr>
              <w:t>References</w:t>
            </w:r>
            <w:r w:rsidR="004B7615">
              <w:tab/>
            </w:r>
            <w:r w:rsidR="004B7615">
              <w:fldChar w:fldCharType="begin"/>
            </w:r>
            <w:r w:rsidR="004B7615">
              <w:instrText>PAGEREF _Toc623461490 \h</w:instrText>
            </w:r>
            <w:r w:rsidR="004B7615">
              <w:fldChar w:fldCharType="separate"/>
            </w:r>
            <w:r w:rsidR="242C1486" w:rsidRPr="242C1486">
              <w:rPr>
                <w:rStyle w:val="Hyperlink"/>
              </w:rPr>
              <w:t>13</w:t>
            </w:r>
            <w:r w:rsidR="004B7615">
              <w:fldChar w:fldCharType="end"/>
            </w:r>
          </w:hyperlink>
          <w:r w:rsidR="004B7615">
            <w:fldChar w:fldCharType="end"/>
          </w:r>
        </w:p>
      </w:sdtContent>
    </w:sdt>
    <w:p w14:paraId="3A3775D1" w14:textId="3832099E" w:rsidR="608FA6B7" w:rsidRDefault="608FA6B7" w:rsidP="608FA6B7">
      <w:pPr>
        <w:pStyle w:val="TOC2"/>
        <w:tabs>
          <w:tab w:val="clear" w:pos="9062"/>
          <w:tab w:val="right" w:leader="dot" w:pos="9060"/>
        </w:tabs>
        <w:rPr>
          <w:rStyle w:val="Hyperlink"/>
        </w:rPr>
      </w:pPr>
    </w:p>
    <w:p w14:paraId="52A46255" w14:textId="183AEC87" w:rsidR="0060752D" w:rsidRDefault="0060752D"/>
    <w:p w14:paraId="6599C1BD" w14:textId="5D8EF2A6" w:rsidR="008A437E" w:rsidRDefault="2778000D" w:rsidP="242C1486">
      <w:pPr>
        <w:rPr>
          <w:b/>
          <w:bCs/>
        </w:rPr>
      </w:pPr>
      <w:r>
        <w:rPr>
          <w:noProof/>
        </w:rPr>
        <w:drawing>
          <wp:inline distT="0" distB="0" distL="0" distR="0" wp14:anchorId="56E66D3A" wp14:editId="1F84AEB1">
            <wp:extent cx="5687568" cy="7558430"/>
            <wp:effectExtent l="0" t="0" r="8890" b="4445"/>
            <wp:docPr id="27316424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75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45E4" w14:textId="79591995" w:rsidR="008A437E" w:rsidRDefault="600B16D2" w:rsidP="242C1486">
      <w:pPr>
        <w:pStyle w:val="Heading2"/>
        <w:spacing w:before="0"/>
        <w:rPr>
          <w:b/>
          <w:bCs/>
          <w:lang w:val="en-GB"/>
        </w:rPr>
      </w:pPr>
      <w:bookmarkStart w:id="1" w:name="_Toc1348031190"/>
      <w:r w:rsidRPr="242C1486">
        <w:rPr>
          <w:b/>
          <w:bCs/>
          <w:lang w:val="en-GB"/>
        </w:rPr>
        <w:t>Figure</w:t>
      </w:r>
      <w:r w:rsidR="2778000D" w:rsidRPr="242C1486">
        <w:rPr>
          <w:b/>
          <w:bCs/>
          <w:lang w:val="en-GB"/>
        </w:rPr>
        <w:t xml:space="preserve"> S</w:t>
      </w:r>
      <w:r w:rsidR="186CFBAF" w:rsidRPr="242C1486">
        <w:rPr>
          <w:b/>
          <w:bCs/>
          <w:lang w:val="en-GB"/>
        </w:rPr>
        <w:t>1</w:t>
      </w:r>
      <w:r w:rsidR="2778000D" w:rsidRPr="242C1486">
        <w:rPr>
          <w:b/>
          <w:bCs/>
          <w:lang w:val="en-GB"/>
        </w:rPr>
        <w:t>.</w:t>
      </w:r>
      <w:r w:rsidR="2778000D" w:rsidRPr="242C1486">
        <w:rPr>
          <w:b/>
          <w:bCs/>
          <w:i/>
          <w:iCs/>
          <w:lang w:val="en-GB"/>
        </w:rPr>
        <w:t xml:space="preserve"> </w:t>
      </w:r>
      <w:r w:rsidR="2778000D" w:rsidRPr="242C1486">
        <w:rPr>
          <w:lang w:val="en-GB"/>
        </w:rPr>
        <w:t>Haul locations of International Bottom Trawl Survey (NS-IBTS; quarter 1 and 3), Beam Trawl Survey (NS-BTS; quarter 3), and Channel Groundfish Survey (FR-CGFS; quarter 4) for 1988-1999.</w:t>
      </w:r>
      <w:bookmarkEnd w:id="1"/>
    </w:p>
    <w:p w14:paraId="60ED4E04" w14:textId="43644C21" w:rsidR="008A437E" w:rsidRDefault="008A437E" w:rsidP="242C1486">
      <w:pPr>
        <w:jc w:val="both"/>
        <w:rPr>
          <w:b/>
          <w:bCs/>
          <w:lang w:val="en-GB"/>
        </w:rPr>
      </w:pPr>
    </w:p>
    <w:p w14:paraId="1F42044B" w14:textId="7FB7048F" w:rsidR="008A437E" w:rsidRDefault="2778000D" w:rsidP="242C1486">
      <w:pPr>
        <w:keepNext/>
        <w:spacing w:line="240" w:lineRule="auto"/>
        <w:rPr>
          <w:rStyle w:val="Heading2Char"/>
        </w:rPr>
      </w:pPr>
      <w:r>
        <w:rPr>
          <w:noProof/>
        </w:rPr>
        <w:drawing>
          <wp:inline distT="0" distB="0" distL="0" distR="0" wp14:anchorId="27B69463" wp14:editId="2C21B3AC">
            <wp:extent cx="5687568" cy="7558430"/>
            <wp:effectExtent l="0" t="0" r="8890" b="4445"/>
            <wp:docPr id="1171871192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75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F94A" w14:textId="62FFEDA5" w:rsidR="008A437E" w:rsidRDefault="6CF99DD1" w:rsidP="242C1486">
      <w:pPr>
        <w:keepNext/>
        <w:spacing w:line="240" w:lineRule="auto"/>
        <w:rPr>
          <w:b/>
          <w:bCs/>
          <w:lang w:val="en-GB"/>
        </w:rPr>
      </w:pPr>
      <w:bookmarkStart w:id="2" w:name="_Toc1851901005"/>
      <w:r w:rsidRPr="242C1486">
        <w:rPr>
          <w:rStyle w:val="Heading2Char"/>
          <w:b/>
          <w:bCs/>
          <w:lang w:val="en-GB"/>
        </w:rPr>
        <w:t>Figure</w:t>
      </w:r>
      <w:r w:rsidR="2778000D" w:rsidRPr="242C1486">
        <w:rPr>
          <w:rStyle w:val="Heading2Char"/>
          <w:b/>
          <w:bCs/>
          <w:lang w:val="en-GB"/>
        </w:rPr>
        <w:t xml:space="preserve"> S</w:t>
      </w:r>
      <w:r w:rsidR="7F0411DE" w:rsidRPr="242C1486">
        <w:rPr>
          <w:rStyle w:val="Heading2Char"/>
          <w:b/>
          <w:bCs/>
          <w:lang w:val="en-GB"/>
        </w:rPr>
        <w:t>2</w:t>
      </w:r>
      <w:r w:rsidR="2778000D" w:rsidRPr="242C1486">
        <w:rPr>
          <w:rStyle w:val="Heading2Char"/>
          <w:b/>
          <w:bCs/>
          <w:lang w:val="en-GB"/>
        </w:rPr>
        <w:t>.</w:t>
      </w:r>
      <w:r w:rsidR="2778000D" w:rsidRPr="242C1486">
        <w:rPr>
          <w:rStyle w:val="Heading2Char"/>
          <w:lang w:val="en-GB"/>
        </w:rPr>
        <w:t xml:space="preserve"> Haul locations of International Bottom Trawl Survey (NS-IBTS; quarter 1 and 3), Beam Trawl Survey (NS-BTS; quarter 3), and Channel Groundfish Survey (FR-CGFS; quarter 4) for 2000-2011.</w:t>
      </w:r>
      <w:bookmarkEnd w:id="2"/>
    </w:p>
    <w:p w14:paraId="5D2B9667" w14:textId="77777777" w:rsidR="008A437E" w:rsidRDefault="008A437E" w:rsidP="242C1486">
      <w:pPr>
        <w:keepNext/>
        <w:rPr>
          <w:lang w:val="en-GB"/>
        </w:rPr>
      </w:pPr>
    </w:p>
    <w:p w14:paraId="658E6474" w14:textId="77777777" w:rsidR="008A437E" w:rsidRDefault="008A437E" w:rsidP="242C1486">
      <w:pPr>
        <w:spacing w:line="302" w:lineRule="auto"/>
        <w:rPr>
          <w:lang w:val="en-GB"/>
        </w:rPr>
      </w:pPr>
      <w:r w:rsidRPr="242C1486">
        <w:rPr>
          <w:lang w:val="en-GB"/>
        </w:rPr>
        <w:br w:type="page"/>
      </w:r>
    </w:p>
    <w:p w14:paraId="3A452406" w14:textId="72864FCF" w:rsidR="008A437E" w:rsidRDefault="2778000D" w:rsidP="242C1486">
      <w:r>
        <w:rPr>
          <w:noProof/>
        </w:rPr>
        <w:drawing>
          <wp:inline distT="0" distB="0" distL="0" distR="0" wp14:anchorId="354076E4" wp14:editId="486C9A0B">
            <wp:extent cx="5687568" cy="7558430"/>
            <wp:effectExtent l="0" t="0" r="8890" b="4445"/>
            <wp:docPr id="566359765" name="Picture 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75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A62F" w14:textId="0A3A35B3" w:rsidR="008A437E" w:rsidRDefault="456DE1DF" w:rsidP="242C1486">
      <w:pPr>
        <w:pStyle w:val="Heading2"/>
        <w:rPr>
          <w:lang w:val="en-GB"/>
        </w:rPr>
      </w:pPr>
      <w:bookmarkStart w:id="3" w:name="_Toc200193714"/>
      <w:r w:rsidRPr="242C1486">
        <w:rPr>
          <w:b/>
          <w:bCs/>
          <w:lang w:val="en-GB"/>
        </w:rPr>
        <w:t>Figure</w:t>
      </w:r>
      <w:r w:rsidR="2778000D" w:rsidRPr="242C1486">
        <w:rPr>
          <w:b/>
          <w:bCs/>
          <w:lang w:val="en-GB"/>
        </w:rPr>
        <w:t xml:space="preserve"> S</w:t>
      </w:r>
      <w:r w:rsidR="724C696E" w:rsidRPr="242C1486">
        <w:rPr>
          <w:b/>
          <w:bCs/>
          <w:lang w:val="en-GB"/>
        </w:rPr>
        <w:t>3</w:t>
      </w:r>
      <w:r w:rsidR="2778000D" w:rsidRPr="242C1486">
        <w:rPr>
          <w:b/>
          <w:bCs/>
          <w:lang w:val="en-GB"/>
        </w:rPr>
        <w:t>.</w:t>
      </w:r>
      <w:r w:rsidR="2778000D" w:rsidRPr="242C1486">
        <w:rPr>
          <w:b/>
          <w:bCs/>
          <w:i/>
          <w:iCs/>
          <w:lang w:val="en-GB"/>
        </w:rPr>
        <w:t xml:space="preserve"> </w:t>
      </w:r>
      <w:r w:rsidR="2778000D" w:rsidRPr="242C1486">
        <w:rPr>
          <w:lang w:val="en-GB"/>
        </w:rPr>
        <w:t>Haul locations of International Bottom Trawl Survey (NS-IBTS; quarter 1 and 3), Beam Trawl Survey (NS-BTS; quarter 3), and Channel Groundfish Survey (FR-CGFS; quarter 4) for 2012-2023.</w:t>
      </w:r>
      <w:bookmarkEnd w:id="3"/>
    </w:p>
    <w:p w14:paraId="7D61EFAE" w14:textId="4DC884CC" w:rsidR="008A437E" w:rsidRDefault="008A437E" w:rsidP="00EA3ACC">
      <w:pPr>
        <w:jc w:val="both"/>
        <w:rPr>
          <w:sz w:val="20"/>
          <w:szCs w:val="20"/>
          <w:lang w:val="en-GB"/>
        </w:rPr>
      </w:pPr>
    </w:p>
    <w:p w14:paraId="62BF4F3B" w14:textId="77777777" w:rsidR="008A437E" w:rsidRPr="006F5A91" w:rsidRDefault="008A437E" w:rsidP="00EA3ACC">
      <w:pPr>
        <w:jc w:val="both"/>
        <w:rPr>
          <w:sz w:val="20"/>
          <w:szCs w:val="20"/>
          <w:lang w:val="en-GB"/>
        </w:rPr>
      </w:pPr>
    </w:p>
    <w:p w14:paraId="112C7F4A" w14:textId="71498D4F" w:rsidR="00EB1E20" w:rsidRPr="006F5A91" w:rsidRDefault="00327090" w:rsidP="00EA3ACC">
      <w:pPr>
        <w:keepNext/>
        <w:jc w:val="both"/>
        <w:rPr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293FEA05" wp14:editId="61AAA9C7">
            <wp:extent cx="6120000" cy="666624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66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BE976" w14:textId="45603ED8" w:rsidR="00EB1E20" w:rsidRPr="00472E59" w:rsidRDefault="77FC80D4" w:rsidP="608FA6B7">
      <w:pPr>
        <w:pStyle w:val="Heading2"/>
        <w:rPr>
          <w:lang w:val="en-GB"/>
        </w:rPr>
      </w:pPr>
      <w:bookmarkStart w:id="4" w:name="_Toc169776781"/>
      <w:bookmarkStart w:id="5" w:name="_Toc770185589"/>
      <w:r w:rsidRPr="242C1486">
        <w:rPr>
          <w:b/>
          <w:bCs/>
          <w:lang w:val="en-GB"/>
        </w:rPr>
        <w:t>Figure</w:t>
      </w:r>
      <w:r w:rsidR="00EB1E20" w:rsidRPr="242C1486">
        <w:rPr>
          <w:b/>
          <w:bCs/>
          <w:lang w:val="en-GB"/>
        </w:rPr>
        <w:t xml:space="preserve"> S</w:t>
      </w:r>
      <w:r w:rsidR="00532501" w:rsidRPr="242C1486">
        <w:rPr>
          <w:b/>
          <w:bCs/>
        </w:rPr>
        <w:fldChar w:fldCharType="begin"/>
      </w:r>
      <w:r w:rsidR="00532501" w:rsidRPr="242C1486">
        <w:rPr>
          <w:b/>
          <w:bCs/>
          <w:lang w:val="en-GB"/>
        </w:rPr>
        <w:instrText xml:space="preserve"> SEQ Figure \* ARABIC </w:instrText>
      </w:r>
      <w:r w:rsidR="00532501" w:rsidRPr="242C1486">
        <w:rPr>
          <w:b/>
          <w:bCs/>
        </w:rPr>
        <w:fldChar w:fldCharType="separate"/>
      </w:r>
      <w:r w:rsidR="4775410E" w:rsidRPr="242C1486">
        <w:rPr>
          <w:b/>
          <w:bCs/>
          <w:lang w:val="en-GB"/>
        </w:rPr>
        <w:t>4</w:t>
      </w:r>
      <w:r w:rsidR="00532501" w:rsidRPr="242C1486">
        <w:rPr>
          <w:b/>
          <w:bCs/>
        </w:rPr>
        <w:fldChar w:fldCharType="end"/>
      </w:r>
      <w:r w:rsidR="00EB1E20" w:rsidRPr="242C1486">
        <w:rPr>
          <w:b/>
          <w:bCs/>
          <w:lang w:val="en-GB"/>
        </w:rPr>
        <w:t>.</w:t>
      </w:r>
      <w:r w:rsidR="00EB1E20" w:rsidRPr="242C1486">
        <w:rPr>
          <w:lang w:val="en-GB"/>
        </w:rPr>
        <w:t xml:space="preserve"> </w:t>
      </w:r>
      <w:r w:rsidR="00A148E8" w:rsidRPr="242C1486">
        <w:rPr>
          <w:lang w:val="en-GB"/>
        </w:rPr>
        <w:t>European Nature Information systems (EUNIS) s</w:t>
      </w:r>
      <w:r w:rsidR="00EB1E20" w:rsidRPr="242C1486">
        <w:rPr>
          <w:lang w:val="en-GB"/>
        </w:rPr>
        <w:t>ubstrate</w:t>
      </w:r>
      <w:r w:rsidR="00560A32" w:rsidRPr="242C1486">
        <w:rPr>
          <w:lang w:val="en-GB"/>
        </w:rPr>
        <w:t xml:space="preserve"> and habitat type </w:t>
      </w:r>
      <w:r w:rsidR="00EB1E20" w:rsidRPr="242C1486">
        <w:rPr>
          <w:lang w:val="en-GB"/>
        </w:rPr>
        <w:t xml:space="preserve">in study area </w:t>
      </w:r>
      <w:r w:rsidR="00154AAE" w:rsidRPr="242C1486">
        <w:rPr>
          <w:lang w:val="en-GB"/>
        </w:rPr>
        <w:t>of the Greater North Sea</w:t>
      </w:r>
      <w:r w:rsidR="00560A32" w:rsidRPr="242C1486">
        <w:rPr>
          <w:lang w:val="en-GB"/>
        </w:rPr>
        <w:t>,</w:t>
      </w:r>
      <w:r w:rsidR="00154AAE" w:rsidRPr="242C1486">
        <w:rPr>
          <w:lang w:val="en-GB"/>
        </w:rPr>
        <w:t xml:space="preserve"> </w:t>
      </w:r>
      <w:r w:rsidR="00EB1E20" w:rsidRPr="242C1486">
        <w:rPr>
          <w:lang w:val="en-GB"/>
        </w:rPr>
        <w:t>obtained from</w:t>
      </w:r>
      <w:r w:rsidR="00A148E8" w:rsidRPr="242C1486">
        <w:rPr>
          <w:lang w:val="en-GB"/>
        </w:rPr>
        <w:t xml:space="preserve"> the European </w:t>
      </w:r>
      <w:r w:rsidR="00E92642" w:rsidRPr="242C1486">
        <w:rPr>
          <w:lang w:val="en-GB"/>
        </w:rPr>
        <w:t>Environment Agency</w:t>
      </w:r>
      <w:r w:rsidR="00EB1E20" w:rsidRPr="242C1486">
        <w:rPr>
          <w:lang w:val="en-GB"/>
        </w:rPr>
        <w:t>.</w:t>
      </w:r>
      <w:bookmarkEnd w:id="4"/>
      <w:bookmarkEnd w:id="5"/>
      <w:r w:rsidR="00EB1E20" w:rsidRPr="242C1486">
        <w:rPr>
          <w:lang w:val="en-GB"/>
        </w:rPr>
        <w:t xml:space="preserve"> </w:t>
      </w:r>
    </w:p>
    <w:p w14:paraId="57DBD726" w14:textId="00B60C0A" w:rsidR="66798495" w:rsidRPr="00AB372C" w:rsidRDefault="66798495" w:rsidP="608FA6B7">
      <w:pPr>
        <w:keepNext/>
        <w:jc w:val="both"/>
        <w:rPr>
          <w:lang w:val="en-GB"/>
        </w:rPr>
      </w:pPr>
      <w:r w:rsidRPr="608FA6B7">
        <w:rPr>
          <w:lang w:val="en-GB"/>
        </w:rPr>
        <w:br w:type="page"/>
      </w:r>
    </w:p>
    <w:p w14:paraId="4E884DD6" w14:textId="77777777" w:rsidR="00EA3ACC" w:rsidRPr="006F5A91" w:rsidRDefault="00EA3ACC" w:rsidP="00EA3ACC">
      <w:pPr>
        <w:pStyle w:val="Heading2"/>
        <w:jc w:val="both"/>
        <w:rPr>
          <w:b/>
          <w:bCs/>
          <w:lang w:val="en-GB"/>
        </w:rPr>
      </w:pPr>
    </w:p>
    <w:p w14:paraId="10D83AD2" w14:textId="7C805CBE" w:rsidR="00EB1E20" w:rsidRPr="00472E59" w:rsidRDefault="42DFA5AA" w:rsidP="242C1486">
      <w:pPr>
        <w:pStyle w:val="Heading2"/>
        <w:rPr>
          <w:i/>
          <w:iCs/>
          <w:lang w:val="en-GB"/>
        </w:rPr>
      </w:pPr>
      <w:bookmarkStart w:id="6" w:name="_Toc169776782"/>
      <w:bookmarkStart w:id="7" w:name="_Toc352136662"/>
      <w:r w:rsidRPr="242C1486">
        <w:rPr>
          <w:b/>
          <w:bCs/>
          <w:lang w:val="en-GB"/>
        </w:rPr>
        <w:t>Table</w:t>
      </w:r>
      <w:r w:rsidR="00270EFA" w:rsidRPr="242C1486">
        <w:rPr>
          <w:b/>
          <w:bCs/>
          <w:lang w:val="en-GB"/>
        </w:rPr>
        <w:t xml:space="preserve"> </w:t>
      </w:r>
      <w:r w:rsidR="00EB1E20" w:rsidRPr="242C1486">
        <w:rPr>
          <w:b/>
          <w:bCs/>
          <w:lang w:val="en-GB"/>
        </w:rPr>
        <w:t>S</w:t>
      </w:r>
      <w:r w:rsidR="327AAB69" w:rsidRPr="242C1486">
        <w:rPr>
          <w:b/>
          <w:bCs/>
          <w:lang w:val="en-GB"/>
        </w:rPr>
        <w:t>1</w:t>
      </w:r>
      <w:r w:rsidR="00EB1E20" w:rsidRPr="242C1486">
        <w:rPr>
          <w:b/>
          <w:bCs/>
          <w:lang w:val="en-GB"/>
        </w:rPr>
        <w:t xml:space="preserve">. </w:t>
      </w:r>
      <w:r w:rsidR="64B7F10A" w:rsidRPr="242C1486">
        <w:rPr>
          <w:lang w:val="en-GB"/>
        </w:rPr>
        <w:t xml:space="preserve">Total Area of substrate within the study area of the Greater North Sea and </w:t>
      </w:r>
      <w:r w:rsidR="2C1C7719" w:rsidRPr="242C1486">
        <w:rPr>
          <w:lang w:val="en-GB"/>
        </w:rPr>
        <w:t>n</w:t>
      </w:r>
      <w:r w:rsidR="00EB1E20" w:rsidRPr="242C1486">
        <w:rPr>
          <w:lang w:val="en-GB"/>
        </w:rPr>
        <w:t>umber of Hauls</w:t>
      </w:r>
      <w:r w:rsidR="00270EFA" w:rsidRPr="242C1486">
        <w:rPr>
          <w:lang w:val="en-GB"/>
        </w:rPr>
        <w:t xml:space="preserve"> </w:t>
      </w:r>
      <w:r w:rsidR="00EB1E20" w:rsidRPr="242C1486">
        <w:rPr>
          <w:lang w:val="en-GB"/>
        </w:rPr>
        <w:t>per substrate across Surveys.</w:t>
      </w:r>
      <w:bookmarkEnd w:id="6"/>
      <w:bookmarkEnd w:id="7"/>
    </w:p>
    <w:tbl>
      <w:tblPr>
        <w:tblW w:w="9213" w:type="dxa"/>
        <w:jc w:val="center"/>
        <w:tblLayout w:type="fixed"/>
        <w:tblLook w:val="0420" w:firstRow="1" w:lastRow="0" w:firstColumn="0" w:lastColumn="0" w:noHBand="0" w:noVBand="1"/>
      </w:tblPr>
      <w:tblGrid>
        <w:gridCol w:w="3315"/>
        <w:gridCol w:w="2949"/>
        <w:gridCol w:w="2949"/>
      </w:tblGrid>
      <w:tr w:rsidR="00106C5D" w:rsidRPr="006F5A91" w14:paraId="54022F66" w14:textId="77777777" w:rsidTr="608FA6B7">
        <w:trPr>
          <w:trHeight w:val="300"/>
          <w:tblHeader/>
          <w:jc w:val="center"/>
        </w:trPr>
        <w:tc>
          <w:tcPr>
            <w:tcW w:w="3315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553F1" w14:textId="77777777" w:rsidR="00106C5D" w:rsidRPr="006F5A91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20"/>
                <w:szCs w:val="20"/>
                <w:lang w:val="en-GB"/>
              </w:rPr>
            </w:pPr>
            <w:r w:rsidRPr="006F5A91">
              <w:rPr>
                <w:rFonts w:eastAsia="Verdana" w:cs="Verdana"/>
                <w:b/>
                <w:color w:val="000000"/>
                <w:sz w:val="20"/>
                <w:szCs w:val="20"/>
                <w:lang w:val="en-GB"/>
              </w:rPr>
              <w:t>Substrate</w:t>
            </w:r>
          </w:p>
        </w:tc>
        <w:tc>
          <w:tcPr>
            <w:tcW w:w="2949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5C802933" w14:textId="2E1BF509" w:rsidR="00106C5D" w:rsidRPr="007451D1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Verdana" w:cs="Verdana"/>
                <w:b/>
                <w:color w:val="000000"/>
                <w:sz w:val="20"/>
                <w:szCs w:val="20"/>
                <w:lang w:val="en-GB"/>
              </w:rPr>
            </w:pPr>
            <w:r w:rsidRPr="608FA6B7">
              <w:rPr>
                <w:rFonts w:eastAsia="Verdana" w:cs="Verdana"/>
                <w:b/>
                <w:color w:val="000000" w:themeColor="text1"/>
                <w:sz w:val="20"/>
                <w:szCs w:val="20"/>
              </w:rPr>
              <w:t>Total Area (km</w:t>
            </w:r>
            <w:r w:rsidRPr="608FA6B7">
              <w:rPr>
                <w:rFonts w:eastAsia="Verdana" w:cs="Verdana"/>
                <w:b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608FA6B7">
              <w:rPr>
                <w:rFonts w:eastAsia="Verdana" w:cs="Verdana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949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823399" w14:textId="3796524A" w:rsidR="00106C5D" w:rsidRPr="006F5A91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sz w:val="20"/>
                <w:szCs w:val="20"/>
                <w:lang w:val="en-GB"/>
              </w:rPr>
            </w:pPr>
            <w:r w:rsidRPr="006F5A91">
              <w:rPr>
                <w:rFonts w:eastAsia="Verdana" w:cs="Verdana"/>
                <w:b/>
                <w:color w:val="000000"/>
                <w:sz w:val="20"/>
                <w:szCs w:val="20"/>
                <w:lang w:val="en-GB"/>
              </w:rPr>
              <w:t>Number of Hauls</w:t>
            </w:r>
          </w:p>
        </w:tc>
      </w:tr>
      <w:tr w:rsidR="00106C5D" w:rsidRPr="006F5A91" w14:paraId="25176FD7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12" w:space="0" w:color="666666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14C72" w14:textId="77777777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003425CF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Coarse substrate</w:t>
            </w:r>
          </w:p>
        </w:tc>
        <w:tc>
          <w:tcPr>
            <w:tcW w:w="2949" w:type="dxa"/>
            <w:tcBorders>
              <w:top w:val="single" w:sz="12" w:space="0" w:color="666666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09DE26" w14:textId="0194366F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103,329</w:t>
            </w:r>
          </w:p>
        </w:tc>
        <w:tc>
          <w:tcPr>
            <w:tcW w:w="2949" w:type="dxa"/>
            <w:tcBorders>
              <w:top w:val="single" w:sz="12" w:space="0" w:color="666666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3E9CF0" w14:textId="463B9E14" w:rsidR="00106C5D" w:rsidRPr="003425CF" w:rsidRDefault="05B6E2FE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7</w:t>
            </w:r>
            <w:r w:rsidR="12480939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,</w:t>
            </w:r>
            <w:r w:rsidR="6DC5CBFE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104</w:t>
            </w:r>
          </w:p>
        </w:tc>
      </w:tr>
      <w:tr w:rsidR="00106C5D" w:rsidRPr="006F5A91" w14:paraId="059E010E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A5DFB" w14:textId="77777777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003425CF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Rock or other hard substrata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7C8E20" w14:textId="2DF903D6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9,024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4159C" w14:textId="3E933A9C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4</w:t>
            </w:r>
            <w:r w:rsidR="558A820F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</w:tr>
      <w:tr w:rsidR="00106C5D" w:rsidRPr="006F5A91" w14:paraId="4B12D2BF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B2179" w14:textId="77777777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003425CF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Mixed sediment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E45D01" w14:textId="4514F578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14,134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FD8F3" w14:textId="702837C2" w:rsidR="00106C5D" w:rsidRPr="003425CF" w:rsidRDefault="4CF4E801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sz w:val="16"/>
                <w:szCs w:val="16"/>
                <w:lang w:val="en-GB"/>
              </w:rPr>
            </w:pPr>
            <w:r w:rsidRPr="608FA6B7">
              <w:rPr>
                <w:sz w:val="16"/>
                <w:szCs w:val="16"/>
                <w:lang w:val="en-GB"/>
              </w:rPr>
              <w:t>321</w:t>
            </w:r>
          </w:p>
        </w:tc>
      </w:tr>
      <w:tr w:rsidR="00106C5D" w:rsidRPr="006F5A91" w14:paraId="37895F50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2BB597" w14:textId="77777777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003425CF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Sand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713AF2" w14:textId="5019E1EF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332,074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23148" w14:textId="33F50DB5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</w:t>
            </w:r>
            <w:r w:rsidR="37BE332F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1</w:t>
            </w: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,</w:t>
            </w:r>
            <w:r w:rsidR="5653AF7E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298</w:t>
            </w:r>
          </w:p>
        </w:tc>
      </w:tr>
      <w:tr w:rsidR="00106C5D" w:rsidRPr="006F5A91" w14:paraId="57F6B8BA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A56D5" w14:textId="77777777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003425CF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Muddy sand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AD082D" w14:textId="0BFD6E2F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82,788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1E9E5" w14:textId="2D0B2F64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4,</w:t>
            </w:r>
            <w:r w:rsidR="6D025F30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793</w:t>
            </w:r>
          </w:p>
        </w:tc>
      </w:tr>
      <w:tr w:rsidR="00106C5D" w:rsidRPr="006F5A91" w14:paraId="35681CB2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99CCD" w14:textId="3AFA67FE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 xml:space="preserve">Sandy mud or </w:t>
            </w:r>
            <w:r w:rsidR="3C2C882C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m</w:t>
            </w: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uddy sand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851A96" w14:textId="1478CB2E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1272A" w14:textId="1ECDE3DC" w:rsidR="00106C5D" w:rsidRPr="003425CF" w:rsidRDefault="0117CF01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20</w:t>
            </w:r>
          </w:p>
        </w:tc>
      </w:tr>
      <w:tr w:rsidR="00106C5D" w:rsidRPr="006F5A91" w14:paraId="39E66911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1B978" w14:textId="77777777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003425CF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Sandy mud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18977C" w14:textId="79176FD6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42,589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52483" w14:textId="22E3AB15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4</w:t>
            </w:r>
            <w:r w:rsidR="0C32A8DA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62</w:t>
            </w:r>
          </w:p>
        </w:tc>
      </w:tr>
      <w:tr w:rsidR="00106C5D" w:rsidRPr="006F5A91" w14:paraId="5EC590EE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982D9" w14:textId="77777777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003425CF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Fine mud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9E22EA" w14:textId="132A5390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36,559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D9839" w14:textId="7A605606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4</w:t>
            </w:r>
            <w:r w:rsidR="0895C789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95</w:t>
            </w:r>
          </w:p>
        </w:tc>
      </w:tr>
      <w:tr w:rsidR="00106C5D" w:rsidRPr="006F5A91" w14:paraId="2A861AE8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5EC93" w14:textId="77777777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003425CF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Worm reefs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BFB4AE" w14:textId="59D487AA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306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1B5BE" w14:textId="2884307F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tr w:rsidR="00106C5D" w:rsidRPr="006F5A91" w14:paraId="5B7CBA0D" w14:textId="77777777" w:rsidTr="608FA6B7">
        <w:trPr>
          <w:trHeight w:val="300"/>
          <w:jc w:val="center"/>
        </w:trPr>
        <w:tc>
          <w:tcPr>
            <w:tcW w:w="3315" w:type="dxa"/>
            <w:tcBorders>
              <w:top w:val="single" w:sz="4" w:space="0" w:color="auto"/>
              <w:bottom w:val="single" w:sz="12" w:space="0" w:color="666666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30ACC" w14:textId="77777777" w:rsidR="00106C5D" w:rsidRPr="003425CF" w:rsidRDefault="00106C5D" w:rsidP="00106C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6"/>
                <w:szCs w:val="16"/>
                <w:lang w:val="en-GB"/>
              </w:rPr>
            </w:pPr>
            <w:r w:rsidRPr="003425CF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Sabellaria spinulosa reefs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12" w:space="0" w:color="666666"/>
            </w:tcBorders>
            <w:shd w:val="clear" w:color="auto" w:fill="FFFFFF" w:themeFill="background1"/>
            <w:vAlign w:val="center"/>
          </w:tcPr>
          <w:p w14:paraId="55D9DBA8" w14:textId="35992E31" w:rsidR="00106C5D" w:rsidRPr="003425CF" w:rsidRDefault="06D9DAEB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730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12" w:space="0" w:color="666666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2301D" w14:textId="628AF986" w:rsidR="00106C5D" w:rsidRPr="003425CF" w:rsidRDefault="12480939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24</w:t>
            </w:r>
          </w:p>
        </w:tc>
      </w:tr>
    </w:tbl>
    <w:p w14:paraId="592AB74F" w14:textId="4BAD71B0" w:rsidR="7EDFD59F" w:rsidRDefault="7EDFD59F">
      <w:r>
        <w:br w:type="page"/>
      </w:r>
    </w:p>
    <w:p w14:paraId="7B1FB88B" w14:textId="6D1B037A" w:rsidR="00D771B2" w:rsidRPr="00472E59" w:rsidRDefault="09B29B57" w:rsidP="608FA6B7">
      <w:pPr>
        <w:pStyle w:val="Heading2"/>
        <w:jc w:val="both"/>
        <w:rPr>
          <w:lang w:val="en-GB"/>
        </w:rPr>
      </w:pPr>
      <w:bookmarkStart w:id="8" w:name="_Toc169776783"/>
      <w:bookmarkStart w:id="9" w:name="_Toc264012938"/>
      <w:r w:rsidRPr="242C1486">
        <w:rPr>
          <w:b/>
          <w:bCs/>
          <w:lang w:val="en-US"/>
        </w:rPr>
        <w:t>Table</w:t>
      </w:r>
      <w:r w:rsidR="00270EFA" w:rsidRPr="242C1486">
        <w:rPr>
          <w:b/>
          <w:bCs/>
          <w:lang w:val="en-US"/>
        </w:rPr>
        <w:t xml:space="preserve"> </w:t>
      </w:r>
      <w:r w:rsidR="00D771B2" w:rsidRPr="242C1486">
        <w:rPr>
          <w:b/>
          <w:bCs/>
          <w:lang w:val="en-US"/>
        </w:rPr>
        <w:t>S</w:t>
      </w:r>
      <w:r w:rsidR="45AED377" w:rsidRPr="242C1486">
        <w:rPr>
          <w:b/>
          <w:bCs/>
          <w:lang w:val="en-US"/>
        </w:rPr>
        <w:t>2</w:t>
      </w:r>
      <w:r w:rsidR="00D771B2" w:rsidRPr="242C1486">
        <w:rPr>
          <w:b/>
          <w:bCs/>
          <w:lang w:val="en-US"/>
        </w:rPr>
        <w:t>.</w:t>
      </w:r>
      <w:r w:rsidR="00D771B2" w:rsidRPr="242C1486">
        <w:rPr>
          <w:lang w:val="en-US"/>
        </w:rPr>
        <w:t xml:space="preserve"> </w:t>
      </w:r>
      <w:r w:rsidR="5BDF1CC7" w:rsidRPr="242C1486">
        <w:rPr>
          <w:lang w:val="en-US"/>
        </w:rPr>
        <w:t>Total Area of habitat within the study area of the Greater North Sea and n</w:t>
      </w:r>
      <w:r w:rsidR="00D771B2" w:rsidRPr="242C1486">
        <w:rPr>
          <w:lang w:val="en-US"/>
        </w:rPr>
        <w:t xml:space="preserve">umber of Hauls </w:t>
      </w:r>
      <w:r w:rsidR="13C5C72F" w:rsidRPr="242C1486">
        <w:rPr>
          <w:lang w:val="en-US"/>
        </w:rPr>
        <w:t>across surveys</w:t>
      </w:r>
      <w:r w:rsidR="00E74A34" w:rsidRPr="242C1486">
        <w:rPr>
          <w:lang w:val="en-US"/>
        </w:rPr>
        <w:t xml:space="preserve"> </w:t>
      </w:r>
      <w:r w:rsidR="00D771B2" w:rsidRPr="242C1486">
        <w:rPr>
          <w:lang w:val="en-US"/>
        </w:rPr>
        <w:t xml:space="preserve">per </w:t>
      </w:r>
      <w:r w:rsidR="00036A1E" w:rsidRPr="242C1486">
        <w:rPr>
          <w:lang w:val="en-US"/>
        </w:rPr>
        <w:t>habitat class (EUNIS2019C</w:t>
      </w:r>
      <w:bookmarkEnd w:id="8"/>
      <w:r w:rsidR="00036A1E" w:rsidRPr="242C1486">
        <w:rPr>
          <w:lang w:val="en-US"/>
        </w:rPr>
        <w:t>)</w:t>
      </w:r>
      <w:r w:rsidR="00D771B2" w:rsidRPr="242C1486">
        <w:rPr>
          <w:lang w:val="en-US"/>
        </w:rPr>
        <w:t>.</w:t>
      </w:r>
      <w:bookmarkEnd w:id="9"/>
    </w:p>
    <w:tbl>
      <w:tblPr>
        <w:tblW w:w="8894" w:type="dxa"/>
        <w:jc w:val="center"/>
        <w:tblLayout w:type="fixed"/>
        <w:tblLook w:val="0420" w:firstRow="1" w:lastRow="0" w:firstColumn="0" w:lastColumn="0" w:noHBand="0" w:noVBand="1"/>
      </w:tblPr>
      <w:tblGrid>
        <w:gridCol w:w="3227"/>
        <w:gridCol w:w="2668"/>
        <w:gridCol w:w="2999"/>
      </w:tblGrid>
      <w:tr w:rsidR="007D4B6D" w:rsidRPr="006F5A91" w14:paraId="0EFCF8AA" w14:textId="77777777" w:rsidTr="608FA6B7">
        <w:trPr>
          <w:trHeight w:val="300"/>
          <w:tblHeader/>
          <w:jc w:val="center"/>
        </w:trPr>
        <w:tc>
          <w:tcPr>
            <w:tcW w:w="3261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F9206" w14:textId="51418FA6" w:rsidR="007D4B6D" w:rsidRPr="00F56B70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20"/>
                <w:szCs w:val="20"/>
                <w:lang w:val="en-GB"/>
              </w:rPr>
            </w:pPr>
            <w:r w:rsidRPr="00F56B70">
              <w:rPr>
                <w:rFonts w:eastAsia="Verdana" w:cs="Verdana"/>
                <w:b/>
                <w:color w:val="000000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2693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0B828E64" w14:textId="19419F6E" w:rsidR="007D4B6D" w:rsidRPr="007D4B6D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Verdana" w:cs="Verdana"/>
                <w:b/>
                <w:color w:val="000000"/>
                <w:sz w:val="20"/>
                <w:szCs w:val="20"/>
                <w:lang w:val="en-GB"/>
              </w:rPr>
            </w:pPr>
            <w:r w:rsidRPr="608FA6B7">
              <w:rPr>
                <w:rFonts w:eastAsia="Verdana" w:cs="Verdana"/>
                <w:b/>
                <w:color w:val="000000" w:themeColor="text1"/>
                <w:sz w:val="20"/>
                <w:szCs w:val="20"/>
              </w:rPr>
              <w:t>Total Area (km2)</w:t>
            </w:r>
          </w:p>
        </w:tc>
        <w:tc>
          <w:tcPr>
            <w:tcW w:w="3030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1C705" w14:textId="1DCC3265" w:rsidR="007D4B6D" w:rsidRPr="00F56B70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sz w:val="20"/>
                <w:szCs w:val="20"/>
                <w:lang w:val="en-GB"/>
              </w:rPr>
            </w:pPr>
            <w:r w:rsidRPr="00F56B70">
              <w:rPr>
                <w:rFonts w:eastAsia="Verdana" w:cs="Verdana"/>
                <w:b/>
                <w:color w:val="000000"/>
                <w:sz w:val="20"/>
                <w:szCs w:val="20"/>
                <w:lang w:val="en-GB"/>
              </w:rPr>
              <w:t>Number of Hauls</w:t>
            </w:r>
          </w:p>
        </w:tc>
      </w:tr>
      <w:tr w:rsidR="007D4B6D" w:rsidRPr="006F5A91" w14:paraId="575D6CCD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12" w:space="0" w:color="666666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DC5053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MB32</w:t>
            </w:r>
          </w:p>
        </w:tc>
        <w:tc>
          <w:tcPr>
            <w:tcW w:w="2693" w:type="dxa"/>
            <w:tcBorders>
              <w:top w:val="single" w:sz="12" w:space="0" w:color="666666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157FA5E6" w14:textId="058E07CC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1,535</w:t>
            </w:r>
          </w:p>
        </w:tc>
        <w:tc>
          <w:tcPr>
            <w:tcW w:w="3030" w:type="dxa"/>
            <w:tcBorders>
              <w:top w:val="single" w:sz="12" w:space="0" w:color="666666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24D54" w14:textId="520450F2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7</w:t>
            </w:r>
            <w:r w:rsidR="3C787121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7D4B6D" w:rsidRPr="006F5A91" w14:paraId="3706CBB5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3D3C8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MB52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05D3959B" w14:textId="34CDBF81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8,005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07B4C" w14:textId="3B443378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</w:t>
            </w:r>
            <w:r w:rsidR="0119DC4D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70</w:t>
            </w:r>
          </w:p>
        </w:tc>
      </w:tr>
      <w:tr w:rsidR="007D4B6D" w:rsidRPr="006F5A91" w14:paraId="778DC93C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C1A1F8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MB62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7241F79B" w14:textId="543879A6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806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F57F3" w14:textId="40499304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7D4B6D" w:rsidRPr="006F5A91" w14:paraId="0CF64BB9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DF956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MC12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68191A46" w14:textId="159FC194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2,915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31981" w14:textId="4D4A9E18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</w:t>
            </w:r>
            <w:r w:rsidR="5BAC5641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tr w:rsidR="007D4B6D" w:rsidRPr="006F5A91" w14:paraId="1A22B3D0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3B439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MC221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2E0D2B13" w14:textId="2CD2104D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5DB80" w14:textId="4474C196" w:rsidR="007D4B6D" w:rsidRPr="006F5A91" w:rsidRDefault="4AB7BC7A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jc w:val="right"/>
              <w:rPr>
                <w:lang w:val="en-GB"/>
              </w:rPr>
            </w:pPr>
            <w:r w:rsidRPr="608FA6B7">
              <w:rPr>
                <w:lang w:val="en-GB"/>
              </w:rPr>
              <w:t>53</w:t>
            </w:r>
          </w:p>
        </w:tc>
      </w:tr>
      <w:tr w:rsidR="007D4B6D" w:rsidRPr="006F5A91" w14:paraId="03589F3F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90535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MC2211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57C3609B" w14:textId="11C82308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450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9A982" w14:textId="03A3E611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12</w:t>
            </w:r>
          </w:p>
        </w:tc>
      </w:tr>
      <w:tr w:rsidR="007D4B6D" w:rsidRPr="006F5A91" w14:paraId="4390FD6B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1DE25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MC32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78582478" w14:textId="45F4A134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23,405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141C5D" w14:textId="43306EF1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2,</w:t>
            </w:r>
            <w:r w:rsidR="4FD51FFC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236</w:t>
            </w:r>
          </w:p>
        </w:tc>
      </w:tr>
      <w:tr w:rsidR="007D4B6D" w:rsidRPr="006F5A91" w14:paraId="31C79CD0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6BF59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MC42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28F2CAB5" w14:textId="54D923AD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3,071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78C21" w14:textId="2FE910EA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1</w:t>
            </w:r>
            <w:r w:rsidR="70E79E0F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46</w:t>
            </w:r>
          </w:p>
        </w:tc>
      </w:tr>
      <w:tr w:rsidR="007D4B6D" w:rsidRPr="006F5A91" w14:paraId="291B14F0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7B4B3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MC52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5EC15756" w14:textId="293A913F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64,778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3C0866" w14:textId="792F4457" w:rsidR="007D4B6D" w:rsidRPr="006F5A91" w:rsidRDefault="79B34042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6</w:t>
            </w:r>
            <w:r w:rsidR="1C04E7C7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,</w:t>
            </w:r>
            <w:r w:rsidR="38CE554B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080</w:t>
            </w:r>
          </w:p>
        </w:tc>
      </w:tr>
      <w:tr w:rsidR="007D4B6D" w:rsidRPr="006F5A91" w14:paraId="34E8553F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EF389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MC62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7ACDE279" w14:textId="46E2D8DB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3,914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19906" w14:textId="51E79318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3</w:t>
            </w:r>
            <w:r w:rsidR="37A341CB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</w:t>
            </w: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</w:tr>
      <w:tr w:rsidR="007D4B6D" w:rsidRPr="006F5A91" w14:paraId="3A26BD4F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1B121A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MD12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433F65A6" w14:textId="07A62187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3,223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23C79" w14:textId="75CABCBC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23</w:t>
            </w:r>
          </w:p>
        </w:tc>
      </w:tr>
      <w:tr w:rsidR="007D4B6D" w:rsidRPr="006F5A91" w14:paraId="346EA646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940E2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MD22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3F39377D" w14:textId="0B60F4F7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325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B1F5A" w14:textId="772A4418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</w:tr>
      <w:tr w:rsidR="007D4B6D" w:rsidRPr="006F5A91" w14:paraId="6CE185BE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D9876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MD32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20D965F5" w14:textId="21A24EB2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75,361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E8FDB" w14:textId="39A833B7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4,</w:t>
            </w:r>
            <w:r w:rsidR="6984D668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791</w:t>
            </w:r>
          </w:p>
        </w:tc>
      </w:tr>
      <w:tr w:rsidR="007D4B6D" w:rsidRPr="006F5A91" w14:paraId="5356D0C1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4CB47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MD42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62E4CB58" w14:textId="6AB1C785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3,607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72301" w14:textId="121217F9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1</w:t>
            </w:r>
            <w:r w:rsidR="05EE89ED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75</w:t>
            </w:r>
          </w:p>
        </w:tc>
      </w:tr>
      <w:tr w:rsidR="007D4B6D" w:rsidRPr="006F5A91" w14:paraId="0A8244C3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934B76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MD52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2C90D70E" w14:textId="414036BF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254,322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4" w:space="0" w:color="auto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2D56B" w14:textId="22FC70D8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14,</w:t>
            </w:r>
            <w:r w:rsidR="753EEE87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948</w:t>
            </w:r>
          </w:p>
        </w:tc>
      </w:tr>
      <w:tr w:rsidR="007D4B6D" w:rsidRPr="006F5A91" w14:paraId="54CD20FE" w14:textId="77777777" w:rsidTr="608FA6B7">
        <w:trPr>
          <w:trHeight w:val="300"/>
          <w:jc w:val="center"/>
        </w:trPr>
        <w:tc>
          <w:tcPr>
            <w:tcW w:w="3261" w:type="dxa"/>
            <w:tcBorders>
              <w:top w:val="single" w:sz="4" w:space="0" w:color="auto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4ACFB" w14:textId="77777777" w:rsidR="007D4B6D" w:rsidRPr="006F5A91" w:rsidRDefault="007D4B6D" w:rsidP="007D4B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6"/>
                <w:szCs w:val="16"/>
                <w:lang w:val="en-GB"/>
              </w:rPr>
              <w:t>MD62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vAlign w:val="center"/>
          </w:tcPr>
          <w:p w14:paraId="701C825F" w14:textId="578119C6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/>
                <w:sz w:val="16"/>
                <w:szCs w:val="16"/>
                <w:lang w:val="en-GB"/>
              </w:rPr>
            </w:pPr>
            <w:r w:rsidRPr="7EDFD59F">
              <w:rPr>
                <w:rFonts w:eastAsia="Verdana" w:cs="Verdana"/>
                <w:color w:val="000000" w:themeColor="text1"/>
                <w:sz w:val="16"/>
                <w:szCs w:val="16"/>
              </w:rPr>
              <w:t>93,746</w:t>
            </w:r>
          </w:p>
        </w:tc>
        <w:tc>
          <w:tcPr>
            <w:tcW w:w="3030" w:type="dxa"/>
            <w:tcBorders>
              <w:top w:val="single" w:sz="4" w:space="0" w:color="auto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CDF3D" w14:textId="24AA0954" w:rsidR="007D4B6D" w:rsidRPr="006F5A91" w:rsidRDefault="1C04E7C7" w:rsidP="608FA6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right"/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5,</w:t>
            </w:r>
            <w:r w:rsidR="3F5D3161" w:rsidRPr="608FA6B7">
              <w:rPr>
                <w:rFonts w:eastAsia="Verdana" w:cs="Verdana"/>
                <w:color w:val="000000" w:themeColor="text1"/>
                <w:sz w:val="16"/>
                <w:szCs w:val="16"/>
                <w:lang w:val="en-GB"/>
              </w:rPr>
              <w:t>434</w:t>
            </w:r>
          </w:p>
        </w:tc>
      </w:tr>
    </w:tbl>
    <w:p w14:paraId="45397A39" w14:textId="7A9DE8EF" w:rsidR="7EDFD59F" w:rsidRDefault="7EDFD59F" w:rsidP="7EDFD59F">
      <w:pPr>
        <w:jc w:val="both"/>
        <w:rPr>
          <w:b/>
          <w:sz w:val="20"/>
          <w:szCs w:val="20"/>
          <w:lang w:val="en-GB"/>
        </w:rPr>
      </w:pPr>
    </w:p>
    <w:p w14:paraId="74C8CE94" w14:textId="11A826DC" w:rsidR="009D7D3D" w:rsidRPr="00F52ED7" w:rsidRDefault="009D7D3D" w:rsidP="608FA6B7">
      <w:pPr>
        <w:rPr>
          <w:lang w:val="en-GB"/>
        </w:rPr>
      </w:pPr>
      <w:bookmarkStart w:id="10" w:name="_Ref142317952"/>
    </w:p>
    <w:p w14:paraId="4E209257" w14:textId="39714471" w:rsidR="00A333B5" w:rsidRPr="008C0C07" w:rsidRDefault="00A333B5" w:rsidP="005C772A">
      <w:pPr>
        <w:rPr>
          <w:lang w:val="en-GB"/>
        </w:rPr>
      </w:pPr>
    </w:p>
    <w:p w14:paraId="7517EB4B" w14:textId="213DE780" w:rsidR="00A333B5" w:rsidRPr="00F52ED7" w:rsidRDefault="00A333B5">
      <w:pPr>
        <w:spacing w:line="302" w:lineRule="auto"/>
        <w:rPr>
          <w:rStyle w:val="Heading2Char"/>
          <w:b/>
          <w:lang w:val="en-GB"/>
        </w:rPr>
      </w:pPr>
    </w:p>
    <w:p w14:paraId="78CE500B" w14:textId="1F054B89" w:rsidR="005C772A" w:rsidRDefault="00353313" w:rsidP="608FA6B7">
      <w:pPr>
        <w:spacing w:after="0"/>
        <w:rPr>
          <w:rStyle w:val="Heading2Char"/>
          <w:b/>
          <w:bCs/>
        </w:rPr>
      </w:pPr>
      <w:r>
        <w:rPr>
          <w:noProof/>
        </w:rPr>
        <w:drawing>
          <wp:inline distT="0" distB="0" distL="0" distR="0" wp14:anchorId="3840932B" wp14:editId="0C02729D">
            <wp:extent cx="5687568" cy="7199986"/>
            <wp:effectExtent l="0" t="0" r="8890" b="1270"/>
            <wp:docPr id="8" name="Picture 8" descr="A map of a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71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1A9D" w14:textId="300BC40A" w:rsidR="00E63E26" w:rsidRPr="00B24E9C" w:rsidRDefault="2751590B" w:rsidP="00C14761">
      <w:pPr>
        <w:spacing w:line="240" w:lineRule="auto"/>
        <w:rPr>
          <w:lang w:val="en-GB"/>
        </w:rPr>
      </w:pPr>
      <w:bookmarkStart w:id="11" w:name="_Toc169776787"/>
      <w:bookmarkStart w:id="12" w:name="_Toc1779440200"/>
      <w:r w:rsidRPr="242C1486">
        <w:rPr>
          <w:rStyle w:val="Heading2Char"/>
          <w:b/>
          <w:bCs/>
          <w:lang w:val="en-GB"/>
        </w:rPr>
        <w:t>Figure</w:t>
      </w:r>
      <w:r w:rsidR="00E63E26" w:rsidRPr="242C1486">
        <w:rPr>
          <w:rStyle w:val="Heading2Char"/>
          <w:b/>
          <w:bCs/>
          <w:lang w:val="en-GB"/>
        </w:rPr>
        <w:t xml:space="preserve"> </w:t>
      </w:r>
      <w:bookmarkEnd w:id="10"/>
      <w:r w:rsidR="00E63E26" w:rsidRPr="242C1486">
        <w:rPr>
          <w:rStyle w:val="Heading2Char"/>
          <w:b/>
          <w:bCs/>
          <w:lang w:val="en-GB"/>
        </w:rPr>
        <w:t>S</w:t>
      </w:r>
      <w:r w:rsidR="20630ED2" w:rsidRPr="242C1486">
        <w:rPr>
          <w:rStyle w:val="Heading2Char"/>
          <w:b/>
          <w:bCs/>
          <w:lang w:val="en-GB"/>
        </w:rPr>
        <w:t>5</w:t>
      </w:r>
      <w:r w:rsidR="00E63E26" w:rsidRPr="242C1486">
        <w:rPr>
          <w:rStyle w:val="Heading2Char"/>
          <w:b/>
          <w:bCs/>
          <w:lang w:val="en-GB"/>
        </w:rPr>
        <w:t>.</w:t>
      </w:r>
      <w:r w:rsidR="00E63E26" w:rsidRPr="242C1486">
        <w:rPr>
          <w:rStyle w:val="Heading2Char"/>
          <w:lang w:val="en-GB"/>
        </w:rPr>
        <w:t xml:space="preserve"> Mesh designed for the Greater North Sea study area using Delaunay triangulation, with inner and outer boundary.</w:t>
      </w:r>
      <w:bookmarkEnd w:id="11"/>
      <w:bookmarkEnd w:id="12"/>
      <w:r w:rsidR="00E63E26" w:rsidRPr="242C1486">
        <w:rPr>
          <w:lang w:val="en-GB"/>
        </w:rPr>
        <w:t xml:space="preserve"> </w:t>
      </w:r>
      <w:r w:rsidR="00E63E26" w:rsidRPr="242C1486">
        <w:rPr>
          <w:sz w:val="20"/>
          <w:szCs w:val="20"/>
          <w:lang w:val="en-GB"/>
        </w:rPr>
        <w:t>The inner mesh was created with a 2% radius of the approximate diameter of the observation set of haul locations across surveys</w:t>
      </w:r>
      <w:r w:rsidR="40C8E892" w:rsidRPr="242C1486">
        <w:rPr>
          <w:sz w:val="20"/>
          <w:szCs w:val="20"/>
          <w:lang w:val="en-GB"/>
        </w:rPr>
        <w:t>:</w:t>
      </w:r>
      <w:r w:rsidR="00E63E26" w:rsidRPr="242C1486">
        <w:rPr>
          <w:sz w:val="20"/>
          <w:szCs w:val="20"/>
          <w:lang w:val="en-GB"/>
        </w:rPr>
        <w:t xml:space="preserve"> International Bottom Trawl Survey quarter 1 and 3</w:t>
      </w:r>
      <w:r w:rsidR="0054618F" w:rsidRPr="242C1486">
        <w:rPr>
          <w:sz w:val="20"/>
          <w:szCs w:val="20"/>
          <w:lang w:val="en-GB"/>
        </w:rPr>
        <w:t xml:space="preserve"> (NS-IBTS)</w:t>
      </w:r>
      <w:r w:rsidR="00E63E26" w:rsidRPr="242C1486">
        <w:rPr>
          <w:sz w:val="20"/>
          <w:szCs w:val="20"/>
          <w:lang w:val="en-GB"/>
        </w:rPr>
        <w:t>, Beam Trawl Survey quarter 3</w:t>
      </w:r>
      <w:r w:rsidR="0054618F" w:rsidRPr="242C1486">
        <w:rPr>
          <w:sz w:val="20"/>
          <w:szCs w:val="20"/>
          <w:lang w:val="en-GB"/>
        </w:rPr>
        <w:t xml:space="preserve"> (NS-BTS)</w:t>
      </w:r>
      <w:r w:rsidR="00E63E26" w:rsidRPr="242C1486">
        <w:rPr>
          <w:sz w:val="20"/>
          <w:szCs w:val="20"/>
          <w:lang w:val="en-GB"/>
        </w:rPr>
        <w:t>, and Channel Groundfish Survey</w:t>
      </w:r>
      <w:r w:rsidR="0054618F" w:rsidRPr="242C1486">
        <w:rPr>
          <w:sz w:val="20"/>
          <w:szCs w:val="20"/>
          <w:lang w:val="en-GB"/>
        </w:rPr>
        <w:t xml:space="preserve"> </w:t>
      </w:r>
      <w:r w:rsidR="00E63E26" w:rsidRPr="242C1486">
        <w:rPr>
          <w:sz w:val="20"/>
          <w:szCs w:val="20"/>
          <w:lang w:val="en-GB"/>
        </w:rPr>
        <w:t>quarter 4</w:t>
      </w:r>
      <w:r w:rsidR="0054618F" w:rsidRPr="242C1486">
        <w:rPr>
          <w:sz w:val="20"/>
          <w:szCs w:val="20"/>
          <w:lang w:val="en-GB"/>
        </w:rPr>
        <w:t xml:space="preserve"> (FR-CGFS)</w:t>
      </w:r>
      <w:r w:rsidR="00E63E26" w:rsidRPr="242C1486">
        <w:rPr>
          <w:sz w:val="20"/>
          <w:szCs w:val="20"/>
          <w:lang w:val="en-GB"/>
        </w:rPr>
        <w:t xml:space="preserve"> </w:t>
      </w:r>
      <w:r w:rsidR="00AD6F6C" w:rsidRPr="242C1486">
        <w:rPr>
          <w:sz w:val="20"/>
          <w:szCs w:val="20"/>
          <w:lang w:val="en-GB"/>
        </w:rPr>
        <w:t>for 1988-202</w:t>
      </w:r>
      <w:r w:rsidR="6D7FDB8D" w:rsidRPr="242C1486">
        <w:rPr>
          <w:sz w:val="20"/>
          <w:szCs w:val="20"/>
          <w:lang w:val="en-GB"/>
        </w:rPr>
        <w:t>3</w:t>
      </w:r>
      <w:r w:rsidR="00AD6F6C" w:rsidRPr="242C1486">
        <w:rPr>
          <w:sz w:val="20"/>
          <w:szCs w:val="20"/>
          <w:lang w:val="en-GB"/>
        </w:rPr>
        <w:t xml:space="preserve"> </w:t>
      </w:r>
      <w:r w:rsidR="00E63E26" w:rsidRPr="242C1486">
        <w:rPr>
          <w:sz w:val="20"/>
          <w:szCs w:val="20"/>
          <w:lang w:val="en-GB"/>
        </w:rPr>
        <w:t>and contained within the Greater North Sea ecoregion to prevent overlap with landmass. The outer boundary extends the inner boundary as a buffer area to reduce boundary effects.</w:t>
      </w:r>
    </w:p>
    <w:p w14:paraId="4AA65084" w14:textId="6BF03642" w:rsidR="00EE55A6" w:rsidRDefault="00EE55A6" w:rsidP="608FA6B7">
      <w:pPr>
        <w:jc w:val="both"/>
        <w:outlineLvl w:val="0"/>
        <w:rPr>
          <w:b/>
          <w:bCs/>
          <w:sz w:val="20"/>
          <w:szCs w:val="20"/>
          <w:lang w:val="en-GB"/>
        </w:rPr>
      </w:pPr>
    </w:p>
    <w:p w14:paraId="582424E1" w14:textId="20217E81" w:rsidR="00440B2A" w:rsidRPr="00440B2A" w:rsidRDefault="00464CAD" w:rsidP="00C14761">
      <w:pPr>
        <w:spacing w:line="240" w:lineRule="auto"/>
        <w:rPr>
          <w:rStyle w:val="Heading2Char"/>
          <w:b/>
          <w:bCs/>
          <w:lang w:val="en-GB"/>
        </w:rPr>
      </w:pPr>
      <w:r>
        <w:rPr>
          <w:noProof/>
        </w:rPr>
        <w:drawing>
          <wp:inline distT="0" distB="0" distL="0" distR="0" wp14:anchorId="122FA7E3" wp14:editId="2E0CD3AC">
            <wp:extent cx="5726723" cy="2701069"/>
            <wp:effectExtent l="0" t="0" r="762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108" cy="2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Ref109812630"/>
      <w:bookmarkStart w:id="14" w:name="_Toc169776788"/>
    </w:p>
    <w:p w14:paraId="19C528A9" w14:textId="6374BC23" w:rsidR="00607987" w:rsidRPr="00B24E9C" w:rsidRDefault="1EADD752" w:rsidP="00440B2A">
      <w:pPr>
        <w:spacing w:line="240" w:lineRule="auto"/>
        <w:rPr>
          <w:sz w:val="20"/>
          <w:szCs w:val="20"/>
          <w:lang w:val="en-GB"/>
        </w:rPr>
      </w:pPr>
      <w:bookmarkStart w:id="15" w:name="_Toc217371203"/>
      <w:r w:rsidRPr="242C1486">
        <w:rPr>
          <w:rStyle w:val="Heading2Char"/>
          <w:b/>
          <w:bCs/>
          <w:lang w:val="en-GB"/>
        </w:rPr>
        <w:t>Figure</w:t>
      </w:r>
      <w:r w:rsidR="00440B2A" w:rsidRPr="242C1486">
        <w:rPr>
          <w:rStyle w:val="Heading2Char"/>
          <w:b/>
          <w:bCs/>
          <w:lang w:val="en-GB"/>
        </w:rPr>
        <w:t xml:space="preserve"> S</w:t>
      </w:r>
      <w:r w:rsidR="27717380" w:rsidRPr="242C1486">
        <w:rPr>
          <w:rStyle w:val="Heading2Char"/>
          <w:b/>
          <w:bCs/>
          <w:lang w:val="en-GB"/>
        </w:rPr>
        <w:t>6</w:t>
      </w:r>
      <w:r w:rsidR="00440B2A" w:rsidRPr="242C1486">
        <w:rPr>
          <w:rStyle w:val="Heading2Char"/>
          <w:b/>
          <w:bCs/>
          <w:lang w:val="en-GB"/>
        </w:rPr>
        <w:t>.</w:t>
      </w:r>
      <w:r w:rsidR="00440B2A" w:rsidRPr="242C1486">
        <w:rPr>
          <w:rStyle w:val="Heading2Char"/>
          <w:lang w:val="en-GB"/>
        </w:rPr>
        <w:t xml:space="preserve"> </w:t>
      </w:r>
      <w:bookmarkEnd w:id="13"/>
      <w:bookmarkEnd w:id="14"/>
      <w:r w:rsidR="00440B2A" w:rsidRPr="242C1486">
        <w:rPr>
          <w:rStyle w:val="Heading2Char"/>
          <w:lang w:val="en-GB"/>
        </w:rPr>
        <w:t xml:space="preserve">Beam gear efficiency for size classes of Raja clavata, adapted from </w:t>
      </w:r>
      <w:r w:rsidR="00440B2A" w:rsidRPr="242C1486">
        <w:rPr>
          <w:rStyle w:val="Heading2Char"/>
        </w:rPr>
        <w:fldChar w:fldCharType="begin"/>
      </w:r>
      <w:r w:rsidR="00440B2A" w:rsidRPr="242C1486">
        <w:rPr>
          <w:rStyle w:val="Heading2Char"/>
          <w:lang w:val="en-GB"/>
        </w:rPr>
        <w:instrText xml:space="preserve"> ADDIN EN.CITE &lt;EndNote&gt;&lt;Cite AuthorYear="1"&gt;&lt;Author&gt;Walker&lt;/Author&gt;&lt;Year&gt;2017&lt;/Year&gt;&lt;RecNum&gt;162&lt;/RecNum&gt;&lt;DisplayText&gt;Walker et al. (2017)&lt;/DisplayText&gt;&lt;record&gt;&lt;rec-number&gt;162&lt;/rec-number&gt;&lt;foreign-keys&gt;&lt;key app="EN" db-id="xafprrzzi2fda7ea95ip259zxzf5wfwv9ee5" timestamp="1584544568"&gt;162&lt;/key&gt;&lt;/foreign-keys&gt;&lt;ref-type name="Journal Article"&gt;17&lt;/ref-type&gt;&lt;contributors&gt;&lt;authors&gt;&lt;author&gt;Walker, Nicola D.&lt;/author&gt;&lt;author&gt;Maxwell, David L.&lt;/author&gt;&lt;author&gt;Le Quesne, Will J. F.&lt;/author&gt;&lt;author&gt;Jennings, Simon&lt;/author&gt;&lt;/authors&gt;&lt;/contributors&gt;&lt;titles&gt;&lt;title&gt;Estimating efficiency of survey and commercial trawl gears from comparisons of catch-ratios&lt;/title&gt;&lt;secondary-title&gt;ICES Journal of Marine Science&lt;/secondary-title&gt;&lt;/titles&gt;&lt;periodical&gt;&lt;full-title&gt;ICES Journal of Marine Science&lt;/full-title&gt;&lt;/periodical&gt;&lt;pages&gt;1448-1457&lt;/pages&gt;&lt;volume&gt;74&lt;/volume&gt;&lt;number&gt;5&lt;/number&gt;&lt;dates&gt;&lt;year&gt;2017&lt;/year&gt;&lt;/dates&gt;&lt;isbn&gt;1054-3139&amp;#xD;1095-9289&lt;/isbn&gt;&lt;urls&gt;&lt;/urls&gt;&lt;electronic-resource-num&gt;10.1093/icesjms/fsw250&lt;/electronic-resource-num&gt;&lt;/record&gt;&lt;/Cite&gt;&lt;/EndNote&gt;</w:instrText>
      </w:r>
      <w:r w:rsidR="00440B2A" w:rsidRPr="242C1486">
        <w:rPr>
          <w:rStyle w:val="Heading2Char"/>
        </w:rPr>
        <w:fldChar w:fldCharType="separate"/>
      </w:r>
      <w:r w:rsidR="00440B2A" w:rsidRPr="242C1486">
        <w:rPr>
          <w:rStyle w:val="Heading2Char"/>
          <w:lang w:val="en-GB"/>
        </w:rPr>
        <w:t>Walker et al. (2017)</w:t>
      </w:r>
      <w:r w:rsidR="00440B2A" w:rsidRPr="242C1486">
        <w:rPr>
          <w:rStyle w:val="Heading2Char"/>
        </w:rPr>
        <w:fldChar w:fldCharType="end"/>
      </w:r>
      <w:r w:rsidR="00440B2A" w:rsidRPr="242C1486">
        <w:rPr>
          <w:rStyle w:val="Heading2Char"/>
          <w:lang w:val="en-GB"/>
        </w:rPr>
        <w:t>.</w:t>
      </w:r>
      <w:bookmarkEnd w:id="15"/>
      <w:r w:rsidR="00440B2A" w:rsidRPr="242C1486">
        <w:rPr>
          <w:rFonts w:eastAsiaTheme="minorEastAsia"/>
          <w:sz w:val="20"/>
          <w:szCs w:val="20"/>
          <w:lang w:val="en-GB"/>
        </w:rPr>
        <w:t xml:space="preserve"> Dashed vertical lines indicating average length of size class 1 (31cm), 2 (59cm), and 3 (80cm).</w:t>
      </w:r>
    </w:p>
    <w:p w14:paraId="66056BCD" w14:textId="3BE1F352" w:rsidR="00156340" w:rsidRPr="00B24E9C" w:rsidRDefault="0DDA6230" w:rsidP="4F578968">
      <w:pPr>
        <w:spacing w:line="240" w:lineRule="auto"/>
        <w:rPr>
          <w:rFonts w:eastAsiaTheme="minorEastAsia"/>
          <w:sz w:val="20"/>
          <w:szCs w:val="20"/>
          <w:lang w:val="en-GB"/>
        </w:rPr>
      </w:pPr>
      <w:bookmarkStart w:id="16" w:name="_Ref109836429"/>
      <w:bookmarkStart w:id="17" w:name="_Toc1390391569"/>
      <w:bookmarkStart w:id="18" w:name="_Toc169776789"/>
      <w:r w:rsidRPr="00CB3070">
        <w:rPr>
          <w:rStyle w:val="Heading2Char"/>
          <w:b/>
          <w:bCs/>
          <w:lang w:val="en-GB"/>
        </w:rPr>
        <w:t xml:space="preserve">Table </w:t>
      </w:r>
      <w:bookmarkEnd w:id="16"/>
      <w:r w:rsidR="006D1DD7" w:rsidRPr="00CB3070">
        <w:rPr>
          <w:rStyle w:val="Heading2Char"/>
          <w:b/>
          <w:bCs/>
        </w:rPr>
        <w:t>S</w:t>
      </w:r>
      <w:r w:rsidR="0F853EE7" w:rsidRPr="00CB3070">
        <w:rPr>
          <w:rStyle w:val="Heading2Char"/>
          <w:b/>
          <w:bCs/>
        </w:rPr>
        <w:t>3</w:t>
      </w:r>
      <w:r w:rsidR="008135B5" w:rsidRPr="00CB3070">
        <w:rPr>
          <w:rStyle w:val="Heading2Char"/>
          <w:b/>
          <w:bCs/>
          <w:lang w:val="en-GB"/>
        </w:rPr>
        <w:t>.</w:t>
      </w:r>
      <w:r w:rsidR="008135B5" w:rsidRPr="00CB3070">
        <w:rPr>
          <w:rStyle w:val="Heading2Char"/>
          <w:lang w:val="en-GB"/>
        </w:rPr>
        <w:t xml:space="preserve"> Size class specific parameters</w:t>
      </w:r>
      <w:r w:rsidR="00DC013B" w:rsidRPr="00CB3070">
        <w:rPr>
          <w:rStyle w:val="Heading2Char"/>
          <w:lang w:val="en-GB"/>
        </w:rPr>
        <w:t xml:space="preserve"> for length</w:t>
      </w:r>
      <w:r w:rsidR="00811634" w:rsidRPr="00CB3070">
        <w:rPr>
          <w:rStyle w:val="Heading2Char"/>
          <w:lang w:val="en-GB"/>
        </w:rPr>
        <w:t>s, gear</w:t>
      </w:r>
      <w:r w:rsidR="00B24E9C" w:rsidRPr="00CB3070">
        <w:rPr>
          <w:rStyle w:val="Heading2Char"/>
          <w:lang w:val="en-GB"/>
        </w:rPr>
        <w:t xml:space="preserve"> efficiencies</w:t>
      </w:r>
      <w:r w:rsidR="00811634" w:rsidRPr="00CB3070">
        <w:rPr>
          <w:rStyle w:val="Heading2Char"/>
          <w:lang w:val="en-GB"/>
        </w:rPr>
        <w:t>, and</w:t>
      </w:r>
      <w:r w:rsidR="00DC013B" w:rsidRPr="00CB3070">
        <w:rPr>
          <w:rStyle w:val="Heading2Char"/>
          <w:lang w:val="en-GB"/>
        </w:rPr>
        <w:t>-weight</w:t>
      </w:r>
      <w:r w:rsidR="00811634" w:rsidRPr="00CB3070">
        <w:rPr>
          <w:rStyle w:val="Heading2Char"/>
          <w:lang w:val="en-GB"/>
        </w:rPr>
        <w:t>s.</w:t>
      </w:r>
      <w:bookmarkEnd w:id="17"/>
      <w:r w:rsidR="005C171B" w:rsidRPr="4F578968">
        <w:rPr>
          <w:rFonts w:eastAsiaTheme="minorEastAsia"/>
          <w:sz w:val="20"/>
          <w:szCs w:val="20"/>
          <w:lang w:val="en-GB"/>
        </w:rPr>
        <w:t xml:space="preserve"> </w:t>
      </w:r>
      <w:r w:rsidR="5E659EE4" w:rsidRPr="4F578968">
        <w:rPr>
          <w:rFonts w:eastAsiaTheme="minorEastAsia"/>
          <w:sz w:val="20"/>
          <w:szCs w:val="20"/>
          <w:lang w:val="en-GB"/>
        </w:rPr>
        <w:t>Mean w</w:t>
      </w:r>
      <w:r w:rsidR="00332BF6" w:rsidRPr="4F578968">
        <w:rPr>
          <w:rFonts w:eastAsiaTheme="minorEastAsia"/>
          <w:sz w:val="20"/>
          <w:szCs w:val="20"/>
          <w:lang w:val="en-GB"/>
        </w:rPr>
        <w:t>eights are based on lengths</w:t>
      </w:r>
      <w:r w:rsidR="00AE62EF" w:rsidRPr="4F578968" w:rsidDel="00811634">
        <w:rPr>
          <w:rFonts w:eastAsiaTheme="minorEastAsia"/>
          <w:sz w:val="20"/>
          <w:szCs w:val="20"/>
          <w:lang w:val="en-GB"/>
        </w:rPr>
        <w:t xml:space="preserve"> </w:t>
      </w:r>
      <w:r w:rsidR="00FA1AB9" w:rsidRPr="4F578968">
        <w:rPr>
          <w:rFonts w:eastAsiaTheme="minorEastAsia"/>
          <w:sz w:val="20"/>
          <w:szCs w:val="20"/>
          <w:lang w:val="en-GB"/>
        </w:rPr>
        <w:t>using</w:t>
      </w:r>
      <w:r w:rsidR="00332BF6" w:rsidRPr="4F578968">
        <w:rPr>
          <w:rFonts w:eastAsiaTheme="minorEastAsia"/>
          <w:sz w:val="20"/>
          <w:szCs w:val="20"/>
          <w:lang w:val="en-GB"/>
        </w:rPr>
        <w:t xml:space="preserve"> a length-weight relationship </w:t>
      </w:r>
      <w:r w:rsidR="007D3C24" w:rsidRPr="4F578968">
        <w:rPr>
          <w:rFonts w:eastAsiaTheme="minorEastAsia"/>
          <w:sz w:val="20"/>
          <w:szCs w:val="20"/>
          <w:lang w:val="en-GB"/>
        </w:rPr>
        <w:t>with</w:t>
      </w:r>
      <w:r w:rsidR="007B35A0" w:rsidRPr="4F578968">
        <w:rPr>
          <w:rFonts w:eastAsiaTheme="minorEastAsia"/>
          <w:sz w:val="20"/>
          <w:szCs w:val="20"/>
          <w:lang w:val="en-GB"/>
        </w:rPr>
        <w:t xml:space="preserve"> 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en-GB"/>
          </w:rPr>
          <m:t> </m:t>
        </m:r>
      </m:oMath>
      <w:r w:rsidR="63FBE510" w:rsidRPr="4F578968">
        <w:rPr>
          <w:rFonts w:eastAsiaTheme="minorEastAsia"/>
          <w:sz w:val="20"/>
          <w:szCs w:val="20"/>
          <w:lang w:val="en-GB"/>
        </w:rPr>
        <w:t>= 0.0054</w:t>
      </w:r>
      <w:r w:rsidR="007D3C24" w:rsidRPr="4F578968">
        <w:rPr>
          <w:rFonts w:eastAsiaTheme="minorEastAsia"/>
          <w:sz w:val="20"/>
          <w:szCs w:val="20"/>
          <w:lang w:val="en-GB"/>
        </w:rPr>
        <w:t xml:space="preserve"> and</w:t>
      </w:r>
      <w:r w:rsidR="007B35A0" w:rsidRPr="4F578968">
        <w:rPr>
          <w:rFonts w:eastAsiaTheme="minorEastAsia"/>
          <w:sz w:val="20"/>
          <w:szCs w:val="20"/>
          <w:lang w:val="en-GB"/>
        </w:rPr>
        <w:t xml:space="preserve"> 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en-GB"/>
          </w:rPr>
          <m:t> </m:t>
        </m:r>
      </m:oMath>
      <w:r w:rsidR="1ABCCFC6" w:rsidRPr="4F578968">
        <w:rPr>
          <w:rFonts w:eastAsiaTheme="minorEastAsia"/>
          <w:sz w:val="20"/>
          <w:szCs w:val="20"/>
          <w:lang w:val="en-GB"/>
        </w:rPr>
        <w:t xml:space="preserve"> </w:t>
      </w:r>
      <w:r w:rsidR="41D07DE9" w:rsidRPr="4F578968">
        <w:rPr>
          <w:rFonts w:eastAsiaTheme="minorEastAsia"/>
          <w:sz w:val="20"/>
          <w:szCs w:val="20"/>
          <w:lang w:val="en-GB"/>
        </w:rPr>
        <w:t xml:space="preserve">= </w:t>
      </w:r>
      <w:r w:rsidR="1ABCCFC6" w:rsidRPr="4F578968">
        <w:rPr>
          <w:rFonts w:eastAsiaTheme="minorEastAsia"/>
          <w:sz w:val="20"/>
          <w:szCs w:val="20"/>
          <w:lang w:val="en-GB"/>
        </w:rPr>
        <w:t>3.0465</w:t>
      </w:r>
      <w:r w:rsidR="00E90F54" w:rsidRPr="4F578968">
        <w:rPr>
          <w:rFonts w:eastAsiaTheme="minorEastAsia"/>
          <w:sz w:val="20"/>
          <w:szCs w:val="20"/>
          <w:lang w:val="en-GB"/>
        </w:rPr>
        <w:t>.</w:t>
      </w:r>
      <w:bookmarkEnd w:id="18"/>
      <w:r w:rsidR="00D30263" w:rsidRPr="4F578968">
        <w:rPr>
          <w:rFonts w:eastAsiaTheme="minorEastAsia"/>
          <w:sz w:val="20"/>
          <w:szCs w:val="20"/>
          <w:lang w:val="en-GB"/>
        </w:rPr>
        <w:t xml:space="preserve"> 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1815"/>
        <w:gridCol w:w="2565"/>
        <w:gridCol w:w="1005"/>
        <w:gridCol w:w="1620"/>
        <w:gridCol w:w="1604"/>
      </w:tblGrid>
      <w:tr w:rsidR="00894CBB" w:rsidRPr="006F5A91" w14:paraId="4E1EF793" w14:textId="77777777" w:rsidTr="4F578968">
        <w:trPr>
          <w:trHeight w:val="300"/>
          <w:tblHeader/>
          <w:jc w:val="center"/>
        </w:trPr>
        <w:tc>
          <w:tcPr>
            <w:tcW w:w="1815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5841E" w14:textId="77777777" w:rsidR="00894CBB" w:rsidRPr="006F5A91" w:rsidRDefault="00894CBB" w:rsidP="00632D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b/>
                <w:color w:val="000000"/>
                <w:sz w:val="18"/>
                <w:szCs w:val="18"/>
                <w:lang w:val="en-GB"/>
              </w:rPr>
              <w:t>Size class</w:t>
            </w:r>
          </w:p>
        </w:tc>
        <w:tc>
          <w:tcPr>
            <w:tcW w:w="2565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A5B46" w14:textId="13D9BC5A" w:rsidR="00894CBB" w:rsidRPr="006F5A91" w:rsidRDefault="2541540A" w:rsidP="00632D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608FA6B7">
              <w:rPr>
                <w:rFonts w:eastAsia="Verdana" w:cs="Verdana"/>
                <w:b/>
                <w:bCs/>
                <w:color w:val="000000" w:themeColor="text1"/>
                <w:sz w:val="18"/>
                <w:szCs w:val="18"/>
                <w:lang w:val="en-GB"/>
              </w:rPr>
              <w:t>Average</w:t>
            </w:r>
            <w:r w:rsidR="4F29A10B" w:rsidRPr="608FA6B7">
              <w:rPr>
                <w:rFonts w:eastAsia="Verdana" w:cs="Verdana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l</w:t>
            </w:r>
            <w:r w:rsidR="00894CBB" w:rsidRPr="608FA6B7">
              <w:rPr>
                <w:rFonts w:eastAsia="Verdana" w:cs="Verdana"/>
                <w:b/>
                <w:bCs/>
                <w:color w:val="000000" w:themeColor="text1"/>
                <w:sz w:val="18"/>
                <w:szCs w:val="18"/>
                <w:lang w:val="en-GB"/>
              </w:rPr>
              <w:t>ength (cm)</w:t>
            </w:r>
          </w:p>
        </w:tc>
        <w:tc>
          <w:tcPr>
            <w:tcW w:w="1005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C6752" w14:textId="77777777" w:rsidR="00894CBB" w:rsidRPr="006F5A91" w:rsidRDefault="00894CBB" w:rsidP="00632D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b/>
                <w:color w:val="000000"/>
                <w:sz w:val="18"/>
                <w:szCs w:val="18"/>
                <w:lang w:val="en-GB"/>
              </w:rPr>
              <w:t>Gear</w:t>
            </w:r>
          </w:p>
        </w:tc>
        <w:tc>
          <w:tcPr>
            <w:tcW w:w="1620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474ED" w14:textId="77777777" w:rsidR="00894CBB" w:rsidRPr="006F5A91" w:rsidRDefault="00894CBB" w:rsidP="00632D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b/>
                <w:color w:val="000000"/>
                <w:sz w:val="18"/>
                <w:szCs w:val="18"/>
                <w:lang w:val="en-GB"/>
              </w:rPr>
              <w:t>Efficiency</w:t>
            </w:r>
          </w:p>
        </w:tc>
        <w:tc>
          <w:tcPr>
            <w:tcW w:w="1604" w:type="dxa"/>
            <w:tcBorders>
              <w:top w:val="single" w:sz="12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55732" w14:textId="77777777" w:rsidR="00894CBB" w:rsidRPr="006F5A91" w:rsidRDefault="00894CBB" w:rsidP="00632D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b/>
                <w:color w:val="000000"/>
                <w:sz w:val="18"/>
                <w:szCs w:val="18"/>
                <w:lang w:val="en-GB"/>
              </w:rPr>
              <w:t>Weight (kg)</w:t>
            </w:r>
          </w:p>
        </w:tc>
      </w:tr>
      <w:tr w:rsidR="00894CBB" w:rsidRPr="006F5A91" w14:paraId="150631B9" w14:textId="77777777" w:rsidTr="4F578968">
        <w:trPr>
          <w:trHeight w:val="435"/>
          <w:jc w:val="center"/>
        </w:trPr>
        <w:tc>
          <w:tcPr>
            <w:tcW w:w="1815" w:type="dxa"/>
            <w:tcBorders>
              <w:top w:val="single" w:sz="12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C9726" w14:textId="10DADFA0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1</w:t>
            </w:r>
          </w:p>
        </w:tc>
        <w:tc>
          <w:tcPr>
            <w:tcW w:w="2565" w:type="dxa"/>
            <w:tcBorders>
              <w:top w:val="single" w:sz="12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0F50FE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31</w:t>
            </w:r>
          </w:p>
        </w:tc>
        <w:tc>
          <w:tcPr>
            <w:tcW w:w="1005" w:type="dxa"/>
            <w:tcBorders>
              <w:top w:val="single" w:sz="12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2DEFD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GOV</w:t>
            </w:r>
          </w:p>
        </w:tc>
        <w:tc>
          <w:tcPr>
            <w:tcW w:w="1620" w:type="dxa"/>
            <w:tcBorders>
              <w:top w:val="single" w:sz="12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16B05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0.3556</w:t>
            </w:r>
          </w:p>
        </w:tc>
        <w:tc>
          <w:tcPr>
            <w:tcW w:w="1604" w:type="dxa"/>
            <w:tcBorders>
              <w:top w:val="single" w:sz="12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B39FCC" w14:textId="3262C3F8" w:rsidR="00894CBB" w:rsidRPr="006F5A91" w:rsidRDefault="63CFC542" w:rsidP="4F5789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</w:pPr>
            <w:r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0.</w:t>
            </w:r>
            <w:r w:rsidR="0C91FB24"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262</w:t>
            </w:r>
          </w:p>
        </w:tc>
      </w:tr>
      <w:tr w:rsidR="00894CBB" w:rsidRPr="006F5A91" w14:paraId="23794983" w14:textId="77777777" w:rsidTr="4F578968">
        <w:trPr>
          <w:trHeight w:val="300"/>
          <w:jc w:val="center"/>
        </w:trPr>
        <w:tc>
          <w:tcPr>
            <w:tcW w:w="181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E4D2A" w14:textId="1214515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2</w:t>
            </w:r>
          </w:p>
        </w:tc>
        <w:tc>
          <w:tcPr>
            <w:tcW w:w="256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31EA0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59</w:t>
            </w:r>
          </w:p>
        </w:tc>
        <w:tc>
          <w:tcPr>
            <w:tcW w:w="100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A95DA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GOV</w:t>
            </w:r>
          </w:p>
        </w:tc>
        <w:tc>
          <w:tcPr>
            <w:tcW w:w="1620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388BC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0.4887</w:t>
            </w:r>
          </w:p>
        </w:tc>
        <w:tc>
          <w:tcPr>
            <w:tcW w:w="1604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302A5" w14:textId="68F24641" w:rsidR="00894CBB" w:rsidRPr="006F5A91" w:rsidRDefault="63CFC542" w:rsidP="4F5789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</w:pPr>
            <w:r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1.</w:t>
            </w:r>
            <w:r w:rsidR="20155C78"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402</w:t>
            </w:r>
          </w:p>
        </w:tc>
      </w:tr>
      <w:tr w:rsidR="00894CBB" w:rsidRPr="006F5A91" w14:paraId="6CCE44BA" w14:textId="77777777" w:rsidTr="4F578968">
        <w:trPr>
          <w:trHeight w:val="300"/>
          <w:jc w:val="center"/>
        </w:trPr>
        <w:tc>
          <w:tcPr>
            <w:tcW w:w="181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5EAB2" w14:textId="3499E30A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3</w:t>
            </w:r>
          </w:p>
        </w:tc>
        <w:tc>
          <w:tcPr>
            <w:tcW w:w="256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9B324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80</w:t>
            </w:r>
          </w:p>
        </w:tc>
        <w:tc>
          <w:tcPr>
            <w:tcW w:w="100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A24F4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GOV</w:t>
            </w:r>
          </w:p>
        </w:tc>
        <w:tc>
          <w:tcPr>
            <w:tcW w:w="1620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852F2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0.7527</w:t>
            </w:r>
          </w:p>
        </w:tc>
        <w:tc>
          <w:tcPr>
            <w:tcW w:w="1604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6C631" w14:textId="2235C839" w:rsidR="00894CBB" w:rsidRPr="006F5A91" w:rsidRDefault="63CFC542" w:rsidP="4F5789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</w:pPr>
            <w:r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3.</w:t>
            </w:r>
            <w:r w:rsidR="32DAB3D5"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436</w:t>
            </w:r>
          </w:p>
        </w:tc>
      </w:tr>
      <w:tr w:rsidR="00894CBB" w:rsidRPr="006F5A91" w14:paraId="391820A5" w14:textId="77777777" w:rsidTr="4F578968">
        <w:trPr>
          <w:trHeight w:val="300"/>
          <w:jc w:val="center"/>
        </w:trPr>
        <w:tc>
          <w:tcPr>
            <w:tcW w:w="181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2F883C" w14:textId="42E97AA1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1</w:t>
            </w:r>
          </w:p>
        </w:tc>
        <w:tc>
          <w:tcPr>
            <w:tcW w:w="256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A3897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31</w:t>
            </w:r>
          </w:p>
        </w:tc>
        <w:tc>
          <w:tcPr>
            <w:tcW w:w="100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9EE0C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BEAM</w:t>
            </w:r>
          </w:p>
        </w:tc>
        <w:tc>
          <w:tcPr>
            <w:tcW w:w="1620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DF922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0.7925</w:t>
            </w:r>
          </w:p>
        </w:tc>
        <w:tc>
          <w:tcPr>
            <w:tcW w:w="1604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201B3" w14:textId="2BB54E44" w:rsidR="00894CBB" w:rsidRPr="006F5A91" w:rsidRDefault="63CFC542" w:rsidP="4F5789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</w:pPr>
            <w:r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0.</w:t>
            </w:r>
            <w:r w:rsidR="13B13C08"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262</w:t>
            </w:r>
          </w:p>
        </w:tc>
      </w:tr>
      <w:tr w:rsidR="00894CBB" w:rsidRPr="006F5A91" w14:paraId="25616E91" w14:textId="77777777" w:rsidTr="4F578968">
        <w:trPr>
          <w:trHeight w:val="300"/>
          <w:jc w:val="center"/>
        </w:trPr>
        <w:tc>
          <w:tcPr>
            <w:tcW w:w="181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93401" w14:textId="72871585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2</w:t>
            </w:r>
          </w:p>
        </w:tc>
        <w:tc>
          <w:tcPr>
            <w:tcW w:w="256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CF0F2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59</w:t>
            </w:r>
          </w:p>
        </w:tc>
        <w:tc>
          <w:tcPr>
            <w:tcW w:w="1005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41AA7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BEAM</w:t>
            </w:r>
          </w:p>
        </w:tc>
        <w:tc>
          <w:tcPr>
            <w:tcW w:w="1620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F4EFC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0.7931</w:t>
            </w:r>
          </w:p>
        </w:tc>
        <w:tc>
          <w:tcPr>
            <w:tcW w:w="1604" w:type="dxa"/>
            <w:tcBorders>
              <w:top w:val="single" w:sz="6" w:space="0" w:color="666666"/>
              <w:left w:val="none" w:sz="0" w:space="0" w:color="000000" w:themeColor="text1"/>
              <w:bottom w:val="single" w:sz="6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2AE9D" w14:textId="1848A35B" w:rsidR="00894CBB" w:rsidRPr="006F5A91" w:rsidRDefault="63CFC542" w:rsidP="4F5789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</w:pPr>
            <w:r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1.</w:t>
            </w:r>
            <w:r w:rsidR="2B1FC76E"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402</w:t>
            </w:r>
          </w:p>
        </w:tc>
      </w:tr>
      <w:tr w:rsidR="00894CBB" w:rsidRPr="006F5A91" w14:paraId="359E66CE" w14:textId="77777777" w:rsidTr="4F578968">
        <w:trPr>
          <w:trHeight w:val="300"/>
          <w:jc w:val="center"/>
        </w:trPr>
        <w:tc>
          <w:tcPr>
            <w:tcW w:w="1815" w:type="dxa"/>
            <w:tcBorders>
              <w:top w:val="single" w:sz="6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B66A0" w14:textId="4B708495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608FA6B7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3</w:t>
            </w:r>
          </w:p>
        </w:tc>
        <w:tc>
          <w:tcPr>
            <w:tcW w:w="2565" w:type="dxa"/>
            <w:tcBorders>
              <w:top w:val="single" w:sz="6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CD992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80</w:t>
            </w:r>
          </w:p>
        </w:tc>
        <w:tc>
          <w:tcPr>
            <w:tcW w:w="1005" w:type="dxa"/>
            <w:tcBorders>
              <w:top w:val="single" w:sz="6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3A0E3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BEAM</w:t>
            </w:r>
          </w:p>
        </w:tc>
        <w:tc>
          <w:tcPr>
            <w:tcW w:w="1620" w:type="dxa"/>
            <w:tcBorders>
              <w:top w:val="single" w:sz="6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AFFF34" w14:textId="77777777" w:rsidR="00894CBB" w:rsidRPr="006F5A91" w:rsidRDefault="00894CBB" w:rsidP="00EA3AC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006F5A91">
              <w:rPr>
                <w:rFonts w:eastAsia="Verdana" w:cs="Verdana"/>
                <w:color w:val="000000"/>
                <w:sz w:val="18"/>
                <w:szCs w:val="18"/>
                <w:lang w:val="en-GB"/>
              </w:rPr>
              <w:t>0.5574</w:t>
            </w:r>
          </w:p>
        </w:tc>
        <w:tc>
          <w:tcPr>
            <w:tcW w:w="1604" w:type="dxa"/>
            <w:tcBorders>
              <w:top w:val="single" w:sz="6" w:space="0" w:color="666666"/>
              <w:left w:val="none" w:sz="0" w:space="0" w:color="000000" w:themeColor="text1"/>
              <w:bottom w:val="single" w:sz="12" w:space="0" w:color="666666"/>
              <w:right w:val="none" w:sz="0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7E58F" w14:textId="51EBCF11" w:rsidR="00894CBB" w:rsidRPr="006F5A91" w:rsidRDefault="63CFC542" w:rsidP="4F5789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both"/>
              <w:rPr>
                <w:sz w:val="18"/>
                <w:szCs w:val="18"/>
                <w:lang w:val="en-GB"/>
              </w:rPr>
            </w:pPr>
            <w:r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3.</w:t>
            </w:r>
            <w:r w:rsidR="0F053DB6" w:rsidRPr="4F578968">
              <w:rPr>
                <w:rFonts w:eastAsia="Verdana" w:cs="Verdana"/>
                <w:color w:val="000000" w:themeColor="text1"/>
                <w:sz w:val="18"/>
                <w:szCs w:val="18"/>
                <w:lang w:val="en-GB"/>
              </w:rPr>
              <w:t>436</w:t>
            </w:r>
          </w:p>
        </w:tc>
      </w:tr>
    </w:tbl>
    <w:p w14:paraId="0C4DE0BD" w14:textId="53CD07E5" w:rsidR="00E269E4" w:rsidRPr="006F5A91" w:rsidRDefault="00E269E4" w:rsidP="00EA3ACC">
      <w:pPr>
        <w:keepNext/>
        <w:jc w:val="both"/>
        <w:rPr>
          <w:lang w:val="en-GB"/>
        </w:rPr>
      </w:pPr>
    </w:p>
    <w:p w14:paraId="4EB4BB03" w14:textId="77777777" w:rsidR="0020396A" w:rsidRPr="006F5A91" w:rsidRDefault="0020396A" w:rsidP="00EA3ACC">
      <w:pPr>
        <w:pStyle w:val="Caption"/>
        <w:spacing w:line="480" w:lineRule="auto"/>
        <w:jc w:val="both"/>
        <w:rPr>
          <w:b/>
          <w:bCs/>
          <w:i w:val="0"/>
          <w:iCs w:val="0"/>
          <w:color w:val="000000" w:themeColor="text1"/>
          <w:lang w:val="en-GB"/>
        </w:rPr>
      </w:pPr>
    </w:p>
    <w:p w14:paraId="4D172F9F" w14:textId="49110374" w:rsidR="00EA3ACC" w:rsidRPr="006F5A91" w:rsidRDefault="00892A85" w:rsidP="608FA6B7">
      <w:pPr>
        <w:spacing w:line="302" w:lineRule="auto"/>
        <w:rPr>
          <w:lang w:val="en-GB"/>
        </w:rPr>
      </w:pPr>
      <w:r>
        <w:rPr>
          <w:noProof/>
        </w:rPr>
        <w:drawing>
          <wp:inline distT="0" distB="0" distL="0" distR="0" wp14:anchorId="21BB4901" wp14:editId="0A3AC46E">
            <wp:extent cx="5687568" cy="8063179"/>
            <wp:effectExtent l="0" t="0" r="8890" b="0"/>
            <wp:docPr id="15" name="Picture 15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80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6CD7" w14:textId="4892981C" w:rsidR="004F0285" w:rsidRPr="00CB3070" w:rsidRDefault="6855A9AC" w:rsidP="00410CDB">
      <w:pPr>
        <w:pStyle w:val="TOC1"/>
      </w:pPr>
      <w:bookmarkStart w:id="19" w:name="_Toc1328760298"/>
      <w:bookmarkStart w:id="20" w:name="_Toc169776790"/>
      <w:r w:rsidRPr="242C1486">
        <w:rPr>
          <w:rStyle w:val="Heading2Char"/>
        </w:rPr>
        <w:t>Figure</w:t>
      </w:r>
      <w:r w:rsidR="00320DB0" w:rsidRPr="242C1486">
        <w:rPr>
          <w:rStyle w:val="Heading2Char"/>
        </w:rPr>
        <w:t xml:space="preserve"> </w:t>
      </w:r>
      <w:r w:rsidR="004F0285" w:rsidRPr="242C1486">
        <w:rPr>
          <w:rStyle w:val="Heading2Char"/>
        </w:rPr>
        <w:t>S</w:t>
      </w:r>
      <w:r w:rsidR="2EEA9AD0" w:rsidRPr="242C1486">
        <w:rPr>
          <w:rStyle w:val="Heading2Char"/>
        </w:rPr>
        <w:t>7</w:t>
      </w:r>
      <w:r w:rsidR="00320DB0" w:rsidRPr="242C1486">
        <w:rPr>
          <w:rStyle w:val="Heading2Char"/>
        </w:rPr>
        <w:t>.</w:t>
      </w:r>
      <w:r w:rsidR="004F0285" w:rsidRPr="242C1486">
        <w:rPr>
          <w:rStyle w:val="Heading2Char"/>
        </w:rPr>
        <w:t xml:space="preserve"> </w:t>
      </w:r>
      <w:r w:rsidR="004F0285" w:rsidRPr="242C1486">
        <w:rPr>
          <w:rStyle w:val="Heading2Char"/>
          <w:b w:val="0"/>
          <w:bCs w:val="0"/>
        </w:rPr>
        <w:t>Posterior mean of the spatial field by 25km2 grid cells from 1988 to 202</w:t>
      </w:r>
      <w:r w:rsidR="5545F1FB" w:rsidRPr="242C1486">
        <w:rPr>
          <w:rStyle w:val="Heading2Char"/>
          <w:b w:val="0"/>
          <w:bCs w:val="0"/>
        </w:rPr>
        <w:t>3</w:t>
      </w:r>
      <w:r w:rsidR="004F0285" w:rsidRPr="242C1486">
        <w:rPr>
          <w:rStyle w:val="Heading2Char"/>
          <w:b w:val="0"/>
          <w:bCs w:val="0"/>
        </w:rPr>
        <w:t xml:space="preserve"> for 9 equally spaced temporal knots.</w:t>
      </w:r>
      <w:bookmarkEnd w:id="19"/>
      <w:r w:rsidR="004F0285" w:rsidRPr="242C1486">
        <w:rPr>
          <w:rStyle w:val="Heading2Char"/>
          <w:b w:val="0"/>
          <w:bCs w:val="0"/>
        </w:rPr>
        <w:t xml:space="preserve"> </w:t>
      </w:r>
      <w:r w:rsidR="004F0285" w:rsidRPr="242C1486">
        <w:rPr>
          <w:b w:val="0"/>
          <w:bCs w:val="0"/>
          <w:sz w:val="20"/>
          <w:szCs w:val="20"/>
        </w:rPr>
        <w:t>The white boundary indicates the interior mesh area used for predictions.</w:t>
      </w:r>
      <w:bookmarkEnd w:id="20"/>
    </w:p>
    <w:p w14:paraId="72C89876" w14:textId="431AC6BA" w:rsidR="0020396A" w:rsidRPr="006F5A91" w:rsidRDefault="00213BA8" w:rsidP="608FA6B7">
      <w:pPr>
        <w:keepNext/>
        <w:rPr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3A853DD7" wp14:editId="1EB1478C">
            <wp:extent cx="5687568" cy="8063179"/>
            <wp:effectExtent l="0" t="0" r="8890" b="0"/>
            <wp:docPr id="16" name="Picture 16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80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B966" w14:textId="49297D56" w:rsidR="00404905" w:rsidRPr="00C14761" w:rsidRDefault="3E9AAEFD" w:rsidP="00410CDB">
      <w:pPr>
        <w:pStyle w:val="TOC1"/>
        <w:rPr>
          <w:rStyle w:val="Heading2Char"/>
          <w:b w:val="0"/>
          <w:bCs w:val="0"/>
        </w:rPr>
      </w:pPr>
      <w:bookmarkStart w:id="21" w:name="_Toc169776791"/>
      <w:bookmarkStart w:id="22" w:name="_Toc1934041809"/>
      <w:r w:rsidRPr="242C1486">
        <w:rPr>
          <w:rStyle w:val="Heading2Char"/>
        </w:rPr>
        <w:t xml:space="preserve">Figure </w:t>
      </w:r>
      <w:r w:rsidR="00256E99" w:rsidRPr="242C1486">
        <w:rPr>
          <w:rStyle w:val="Heading2Char"/>
        </w:rPr>
        <w:t>S</w:t>
      </w:r>
      <w:r w:rsidR="5E9302A8" w:rsidRPr="242C1486">
        <w:rPr>
          <w:rStyle w:val="Heading2Char"/>
        </w:rPr>
        <w:t>8</w:t>
      </w:r>
      <w:r w:rsidR="003C66B7" w:rsidRPr="242C1486">
        <w:rPr>
          <w:rStyle w:val="Heading2Char"/>
        </w:rPr>
        <w:t>.</w:t>
      </w:r>
      <w:r w:rsidR="00E269E4" w:rsidRPr="242C1486">
        <w:rPr>
          <w:rStyle w:val="Heading2Char"/>
          <w:b w:val="0"/>
          <w:bCs w:val="0"/>
        </w:rPr>
        <w:t xml:space="preserve"> Posterior </w:t>
      </w:r>
      <w:r w:rsidR="00946E52" w:rsidRPr="242C1486">
        <w:rPr>
          <w:rStyle w:val="Heading2Char"/>
          <w:b w:val="0"/>
          <w:bCs w:val="0"/>
        </w:rPr>
        <w:t>standard deviation</w:t>
      </w:r>
      <w:r w:rsidR="006407B8" w:rsidRPr="242C1486">
        <w:rPr>
          <w:rStyle w:val="Heading2Char"/>
          <w:b w:val="0"/>
          <w:bCs w:val="0"/>
        </w:rPr>
        <w:t xml:space="preserve"> (SD)</w:t>
      </w:r>
      <w:r w:rsidR="00E269E4" w:rsidRPr="242C1486">
        <w:rPr>
          <w:rStyle w:val="Heading2Char"/>
          <w:b w:val="0"/>
          <w:bCs w:val="0"/>
        </w:rPr>
        <w:t xml:space="preserve"> of the spatial </w:t>
      </w:r>
      <w:r w:rsidR="00366D52" w:rsidRPr="242C1486">
        <w:rPr>
          <w:rStyle w:val="Heading2Char"/>
          <w:b w:val="0"/>
          <w:bCs w:val="0"/>
        </w:rPr>
        <w:t>field</w:t>
      </w:r>
      <w:r w:rsidR="00E269E4" w:rsidRPr="242C1486">
        <w:rPr>
          <w:rStyle w:val="Heading2Char"/>
          <w:b w:val="0"/>
          <w:bCs w:val="0"/>
        </w:rPr>
        <w:t xml:space="preserve"> by </w:t>
      </w:r>
      <w:r w:rsidR="0088785F" w:rsidRPr="242C1486">
        <w:rPr>
          <w:rStyle w:val="Heading2Char"/>
          <w:b w:val="0"/>
          <w:bCs w:val="0"/>
        </w:rPr>
        <w:t>2</w:t>
      </w:r>
      <w:r w:rsidR="00E269E4" w:rsidRPr="242C1486">
        <w:rPr>
          <w:rStyle w:val="Heading2Char"/>
          <w:b w:val="0"/>
          <w:bCs w:val="0"/>
        </w:rPr>
        <w:t>5km2</w:t>
      </w:r>
      <w:r w:rsidR="007B7DA1" w:rsidRPr="242C1486">
        <w:rPr>
          <w:rStyle w:val="Heading2Char"/>
          <w:b w:val="0"/>
          <w:bCs w:val="0"/>
        </w:rPr>
        <w:t xml:space="preserve"> grid cells</w:t>
      </w:r>
      <w:r w:rsidR="00E269E4" w:rsidRPr="242C1486">
        <w:rPr>
          <w:rStyle w:val="Heading2Char"/>
          <w:b w:val="0"/>
          <w:bCs w:val="0"/>
        </w:rPr>
        <w:t xml:space="preserve"> from 1988 to 202</w:t>
      </w:r>
      <w:r w:rsidR="7AC5BF54" w:rsidRPr="242C1486">
        <w:rPr>
          <w:rStyle w:val="Heading2Char"/>
          <w:b w:val="0"/>
          <w:bCs w:val="0"/>
        </w:rPr>
        <w:t>3</w:t>
      </w:r>
      <w:r w:rsidR="00E269E4" w:rsidRPr="242C1486">
        <w:rPr>
          <w:rStyle w:val="Heading2Char"/>
          <w:b w:val="0"/>
          <w:bCs w:val="0"/>
        </w:rPr>
        <w:t xml:space="preserve"> for 9 </w:t>
      </w:r>
      <w:r w:rsidR="00E7632C" w:rsidRPr="242C1486">
        <w:rPr>
          <w:rStyle w:val="Heading2Char"/>
          <w:b w:val="0"/>
          <w:bCs w:val="0"/>
        </w:rPr>
        <w:t>equally spaced</w:t>
      </w:r>
      <w:r w:rsidR="00E269E4" w:rsidRPr="242C1486">
        <w:rPr>
          <w:rStyle w:val="Heading2Char"/>
          <w:b w:val="0"/>
          <w:bCs w:val="0"/>
        </w:rPr>
        <w:t xml:space="preserve"> temporal </w:t>
      </w:r>
      <w:r w:rsidR="00E7632C" w:rsidRPr="242C1486">
        <w:rPr>
          <w:rStyle w:val="Heading2Char"/>
          <w:b w:val="0"/>
          <w:bCs w:val="0"/>
        </w:rPr>
        <w:t>knots</w:t>
      </w:r>
      <w:r w:rsidR="00E269E4" w:rsidRPr="242C1486">
        <w:rPr>
          <w:rStyle w:val="Heading2Char"/>
          <w:b w:val="0"/>
          <w:bCs w:val="0"/>
        </w:rPr>
        <w:t>.</w:t>
      </w:r>
      <w:r w:rsidR="00DD3939" w:rsidRPr="242C1486">
        <w:rPr>
          <w:rStyle w:val="Heading2Char"/>
          <w:b w:val="0"/>
          <w:bCs w:val="0"/>
        </w:rPr>
        <w:t xml:space="preserve"> The white boundary indicates the interior mesh area used for predictions.</w:t>
      </w:r>
      <w:bookmarkEnd w:id="21"/>
      <w:bookmarkEnd w:id="22"/>
    </w:p>
    <w:p w14:paraId="043B2D13" w14:textId="77777777" w:rsidR="005A28CA" w:rsidRPr="006F5A91" w:rsidRDefault="005A28CA" w:rsidP="007F3D49">
      <w:pPr>
        <w:spacing w:line="240" w:lineRule="auto"/>
        <w:rPr>
          <w:i/>
          <w:iCs/>
          <w:sz w:val="20"/>
          <w:szCs w:val="20"/>
          <w:lang w:val="en-GB"/>
        </w:rPr>
      </w:pPr>
    </w:p>
    <w:p w14:paraId="0A6D4B67" w14:textId="2AD2FBE1" w:rsidR="008135B5" w:rsidRPr="008C0C07" w:rsidRDefault="008135B5" w:rsidP="608FA6B7">
      <w:pPr>
        <w:rPr>
          <w:lang w:val="en-GB"/>
        </w:rPr>
      </w:pPr>
    </w:p>
    <w:p w14:paraId="14BB8355" w14:textId="77777777" w:rsidR="00C542A3" w:rsidRPr="006F5A91" w:rsidRDefault="00C542A3" w:rsidP="00C542A3">
      <w:pPr>
        <w:rPr>
          <w:lang w:val="en-GB"/>
        </w:rPr>
      </w:pPr>
    </w:p>
    <w:p w14:paraId="360B6B9E" w14:textId="4AD10C0A" w:rsidR="009D3C94" w:rsidRPr="006F5A91" w:rsidRDefault="037B52DC" w:rsidP="4F578968">
      <w:pPr>
        <w:jc w:val="both"/>
      </w:pPr>
      <w:r>
        <w:rPr>
          <w:noProof/>
        </w:rPr>
        <w:drawing>
          <wp:inline distT="0" distB="0" distL="0" distR="0" wp14:anchorId="74B49B6B" wp14:editId="15E5DAF0">
            <wp:extent cx="5687568" cy="2518258"/>
            <wp:effectExtent l="0" t="0" r="0" b="0"/>
            <wp:docPr id="159325747" name="Picture 15932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251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F78C" w14:textId="29B3DE31" w:rsidR="1DC68B53" w:rsidRDefault="47CA033F" w:rsidP="00CB3070">
      <w:pPr>
        <w:pStyle w:val="TOC1"/>
        <w:rPr>
          <w:rStyle w:val="Heading2Char"/>
        </w:rPr>
      </w:pPr>
      <w:bookmarkStart w:id="23" w:name="_Toc2125151925"/>
      <w:bookmarkStart w:id="24" w:name="_Toc169776792"/>
      <w:r w:rsidRPr="242C1486">
        <w:rPr>
          <w:rStyle w:val="Heading2Char"/>
        </w:rPr>
        <w:t xml:space="preserve">Figure </w:t>
      </w:r>
      <w:r w:rsidR="0044705B" w:rsidRPr="242C1486">
        <w:rPr>
          <w:rStyle w:val="Heading2Char"/>
        </w:rPr>
        <w:t>S</w:t>
      </w:r>
      <w:r w:rsidR="29C26917" w:rsidRPr="242C1486">
        <w:rPr>
          <w:rStyle w:val="Heading2Char"/>
        </w:rPr>
        <w:t>9</w:t>
      </w:r>
      <w:r w:rsidR="008135B5" w:rsidRPr="242C1486">
        <w:rPr>
          <w:rStyle w:val="Heading2Char"/>
        </w:rPr>
        <w:t>.</w:t>
      </w:r>
      <w:r w:rsidR="008135B5" w:rsidRPr="242C1486">
        <w:rPr>
          <w:rStyle w:val="Heading2Char"/>
          <w:b w:val="0"/>
          <w:bCs w:val="0"/>
        </w:rPr>
        <w:t xml:space="preserve"> Median predicted biomass </w:t>
      </w:r>
      <w:r w:rsidR="006F7FC4" w:rsidRPr="242C1486">
        <w:rPr>
          <w:rStyle w:val="Heading2Char"/>
          <w:b w:val="0"/>
          <w:bCs w:val="0"/>
        </w:rPr>
        <w:t xml:space="preserve">of size classes of Raja clavata </w:t>
      </w:r>
      <w:r w:rsidR="008135B5" w:rsidRPr="242C1486">
        <w:rPr>
          <w:rStyle w:val="Heading2Char"/>
          <w:b w:val="0"/>
          <w:bCs w:val="0"/>
        </w:rPr>
        <w:t>for the Greater North Sea study area with 95% credible intervals</w:t>
      </w:r>
      <w:r w:rsidR="3660A310" w:rsidRPr="242C1486">
        <w:rPr>
          <w:rStyle w:val="Heading2Char"/>
          <w:b w:val="0"/>
          <w:bCs w:val="0"/>
        </w:rPr>
        <w:t>: (a) on a linear scale; (b) on a logarithmic scale</w:t>
      </w:r>
      <w:r w:rsidR="00375D58" w:rsidRPr="242C1486">
        <w:rPr>
          <w:rStyle w:val="Heading2Char"/>
          <w:b w:val="0"/>
          <w:bCs w:val="0"/>
        </w:rPr>
        <w:t>.</w:t>
      </w:r>
      <w:bookmarkEnd w:id="23"/>
      <w:r w:rsidR="00375D58" w:rsidRPr="242C1486">
        <w:rPr>
          <w:rStyle w:val="Heading2Char"/>
          <w:b w:val="0"/>
          <w:bCs w:val="0"/>
        </w:rPr>
        <w:t xml:space="preserve"> </w:t>
      </w:r>
      <w:bookmarkEnd w:id="24"/>
      <w:r w:rsidR="1DC68B53" w:rsidRPr="242C1486">
        <w:rPr>
          <w:b w:val="0"/>
          <w:bCs w:val="0"/>
          <w:sz w:val="20"/>
          <w:szCs w:val="20"/>
        </w:rPr>
        <w:t>Pre-2000 peak biomass prediction baselines for each size classes are indicated as dashed horizontal lines.</w:t>
      </w:r>
    </w:p>
    <w:p w14:paraId="2C06A2F0" w14:textId="38DF2FC6" w:rsidR="0089380A" w:rsidRPr="006F5A91" w:rsidRDefault="0089380A" w:rsidP="00150B1A">
      <w:pPr>
        <w:pStyle w:val="Heading2"/>
        <w:rPr>
          <w:b/>
          <w:bCs/>
          <w:lang w:val="en-GB"/>
        </w:rPr>
      </w:pPr>
      <w:bookmarkStart w:id="25" w:name="_Toc169776793"/>
      <w:bookmarkStart w:id="26" w:name="_Toc623461490"/>
      <w:r w:rsidRPr="242C1486">
        <w:rPr>
          <w:b/>
          <w:bCs/>
          <w:lang w:val="en-GB"/>
        </w:rPr>
        <w:t>References</w:t>
      </w:r>
      <w:bookmarkEnd w:id="25"/>
      <w:bookmarkEnd w:id="26"/>
    </w:p>
    <w:p w14:paraId="77D74EE5" w14:textId="77777777" w:rsidR="00F713CF" w:rsidRPr="006F5A91" w:rsidRDefault="00946E52" w:rsidP="008C0C07">
      <w:pPr>
        <w:pStyle w:val="EndNoteBibliography"/>
        <w:ind w:left="720" w:hanging="720"/>
        <w:rPr>
          <w:sz w:val="20"/>
          <w:szCs w:val="20"/>
          <w:lang w:val="en-GB"/>
        </w:rPr>
      </w:pPr>
      <w:r w:rsidRPr="006F5A91">
        <w:rPr>
          <w:iCs/>
          <w:sz w:val="20"/>
          <w:szCs w:val="20"/>
          <w:lang w:val="en-GB"/>
        </w:rPr>
        <w:fldChar w:fldCharType="begin"/>
      </w:r>
      <w:r w:rsidRPr="006F5A91">
        <w:rPr>
          <w:iCs/>
          <w:sz w:val="20"/>
          <w:szCs w:val="20"/>
          <w:lang w:val="en-GB"/>
        </w:rPr>
        <w:instrText xml:space="preserve"> ADDIN EN.REFLIST </w:instrText>
      </w:r>
      <w:r w:rsidRPr="006F5A91">
        <w:rPr>
          <w:iCs/>
          <w:sz w:val="20"/>
          <w:szCs w:val="20"/>
          <w:lang w:val="en-GB"/>
        </w:rPr>
        <w:fldChar w:fldCharType="separate"/>
      </w:r>
      <w:r w:rsidR="00F713CF" w:rsidRPr="006F5A91">
        <w:rPr>
          <w:sz w:val="20"/>
          <w:szCs w:val="20"/>
          <w:lang w:val="en-GB"/>
        </w:rPr>
        <w:t>Walker, N. D., Maxwell, D. L., Le Quesne, W. J. F., and Jennings, S. 2017. Estimating efficiency of survey and commercial trawl gears from comparisons of catch-ratios. ICES Journal of Marine Science, 74: 1448-1457.</w:t>
      </w:r>
    </w:p>
    <w:p w14:paraId="03131BFF" w14:textId="04FCF889" w:rsidR="0025087E" w:rsidRPr="006F5A91" w:rsidRDefault="00946E52" w:rsidP="00EA3ACC">
      <w:pPr>
        <w:pStyle w:val="Caption"/>
        <w:spacing w:line="480" w:lineRule="auto"/>
        <w:jc w:val="both"/>
        <w:rPr>
          <w:i w:val="0"/>
          <w:iCs w:val="0"/>
          <w:color w:val="auto"/>
          <w:lang w:val="en-GB"/>
        </w:rPr>
      </w:pPr>
      <w:r w:rsidRPr="006F5A91">
        <w:rPr>
          <w:i w:val="0"/>
          <w:iCs w:val="0"/>
          <w:color w:val="auto"/>
          <w:sz w:val="20"/>
          <w:szCs w:val="20"/>
          <w:lang w:val="en-GB"/>
        </w:rPr>
        <w:fldChar w:fldCharType="end"/>
      </w:r>
    </w:p>
    <w:sectPr w:rsidR="0025087E" w:rsidRPr="006F5A91" w:rsidSect="00410CDB"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ICES J Marine Sci&lt;/Style&gt;&lt;LeftDelim&gt;{&lt;/LeftDelim&gt;&lt;RightDelim&gt;}&lt;/RightDelim&gt;&lt;FontName&gt;Verdana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afprrzzi2fda7ea95ip259zxzf5wfwv9ee5&quot;&gt;PhD_endnote_library&lt;record-ids&gt;&lt;item&gt;162&lt;/item&gt;&lt;/record-ids&gt;&lt;/item&gt;&lt;/Libraries&gt;"/>
  </w:docVars>
  <w:rsids>
    <w:rsidRoot w:val="0025363D"/>
    <w:rsid w:val="00002C72"/>
    <w:rsid w:val="00003484"/>
    <w:rsid w:val="00005863"/>
    <w:rsid w:val="00010003"/>
    <w:rsid w:val="000111AA"/>
    <w:rsid w:val="000233D3"/>
    <w:rsid w:val="00026049"/>
    <w:rsid w:val="00027001"/>
    <w:rsid w:val="000318C5"/>
    <w:rsid w:val="00032417"/>
    <w:rsid w:val="00036A1E"/>
    <w:rsid w:val="00042F32"/>
    <w:rsid w:val="000472B6"/>
    <w:rsid w:val="00052AD6"/>
    <w:rsid w:val="00060049"/>
    <w:rsid w:val="0006407F"/>
    <w:rsid w:val="000654DA"/>
    <w:rsid w:val="00070C24"/>
    <w:rsid w:val="00075C70"/>
    <w:rsid w:val="00081176"/>
    <w:rsid w:val="0009045D"/>
    <w:rsid w:val="00091DA2"/>
    <w:rsid w:val="000921CC"/>
    <w:rsid w:val="000929F1"/>
    <w:rsid w:val="00093CE5"/>
    <w:rsid w:val="000976E1"/>
    <w:rsid w:val="000A335B"/>
    <w:rsid w:val="000B5968"/>
    <w:rsid w:val="000B5C75"/>
    <w:rsid w:val="000B7E26"/>
    <w:rsid w:val="000C0918"/>
    <w:rsid w:val="000C11E6"/>
    <w:rsid w:val="000C7A71"/>
    <w:rsid w:val="00106C5D"/>
    <w:rsid w:val="00107B3A"/>
    <w:rsid w:val="00115B27"/>
    <w:rsid w:val="00123501"/>
    <w:rsid w:val="0012442F"/>
    <w:rsid w:val="00136D6D"/>
    <w:rsid w:val="00150B1A"/>
    <w:rsid w:val="00152777"/>
    <w:rsid w:val="00154AAE"/>
    <w:rsid w:val="00156340"/>
    <w:rsid w:val="001678A0"/>
    <w:rsid w:val="00191E04"/>
    <w:rsid w:val="00196966"/>
    <w:rsid w:val="001A140A"/>
    <w:rsid w:val="001B56E5"/>
    <w:rsid w:val="001D3FFC"/>
    <w:rsid w:val="001E03FB"/>
    <w:rsid w:val="001E09C8"/>
    <w:rsid w:val="001E6677"/>
    <w:rsid w:val="001F3D87"/>
    <w:rsid w:val="001F56DC"/>
    <w:rsid w:val="00201EBB"/>
    <w:rsid w:val="00203521"/>
    <w:rsid w:val="0020396A"/>
    <w:rsid w:val="0021098D"/>
    <w:rsid w:val="00210ED8"/>
    <w:rsid w:val="00213BA8"/>
    <w:rsid w:val="0021413F"/>
    <w:rsid w:val="00223575"/>
    <w:rsid w:val="00226FB4"/>
    <w:rsid w:val="00245C16"/>
    <w:rsid w:val="00246AAA"/>
    <w:rsid w:val="00247D0B"/>
    <w:rsid w:val="0025087E"/>
    <w:rsid w:val="0025363D"/>
    <w:rsid w:val="00256E99"/>
    <w:rsid w:val="00261D17"/>
    <w:rsid w:val="00262EF0"/>
    <w:rsid w:val="00270EFA"/>
    <w:rsid w:val="00282496"/>
    <w:rsid w:val="00285199"/>
    <w:rsid w:val="002A7D48"/>
    <w:rsid w:val="002B0BC5"/>
    <w:rsid w:val="002B2240"/>
    <w:rsid w:val="002B406C"/>
    <w:rsid w:val="002D0846"/>
    <w:rsid w:val="002D7E14"/>
    <w:rsid w:val="002E1839"/>
    <w:rsid w:val="002E3351"/>
    <w:rsid w:val="003003A2"/>
    <w:rsid w:val="00305D05"/>
    <w:rsid w:val="00312CB0"/>
    <w:rsid w:val="00315884"/>
    <w:rsid w:val="00315CAD"/>
    <w:rsid w:val="003175F0"/>
    <w:rsid w:val="00320DB0"/>
    <w:rsid w:val="00323A95"/>
    <w:rsid w:val="00327090"/>
    <w:rsid w:val="00327377"/>
    <w:rsid w:val="00332BF6"/>
    <w:rsid w:val="003421C0"/>
    <w:rsid w:val="003425CF"/>
    <w:rsid w:val="00343F10"/>
    <w:rsid w:val="00353313"/>
    <w:rsid w:val="00366D52"/>
    <w:rsid w:val="00375D58"/>
    <w:rsid w:val="00382021"/>
    <w:rsid w:val="003916F7"/>
    <w:rsid w:val="003A6B34"/>
    <w:rsid w:val="003B4EFD"/>
    <w:rsid w:val="003C2879"/>
    <w:rsid w:val="003C66B7"/>
    <w:rsid w:val="003D326D"/>
    <w:rsid w:val="003F0963"/>
    <w:rsid w:val="0040080D"/>
    <w:rsid w:val="00403B68"/>
    <w:rsid w:val="004046D7"/>
    <w:rsid w:val="00404824"/>
    <w:rsid w:val="00404905"/>
    <w:rsid w:val="00410CDB"/>
    <w:rsid w:val="00411F8A"/>
    <w:rsid w:val="004120CD"/>
    <w:rsid w:val="00415A5C"/>
    <w:rsid w:val="00431E27"/>
    <w:rsid w:val="004342A3"/>
    <w:rsid w:val="004404FE"/>
    <w:rsid w:val="00440B2A"/>
    <w:rsid w:val="0044705B"/>
    <w:rsid w:val="0045283E"/>
    <w:rsid w:val="00456B43"/>
    <w:rsid w:val="00464CAD"/>
    <w:rsid w:val="00472E59"/>
    <w:rsid w:val="004763DB"/>
    <w:rsid w:val="0048278E"/>
    <w:rsid w:val="0048546E"/>
    <w:rsid w:val="00491ED7"/>
    <w:rsid w:val="00492614"/>
    <w:rsid w:val="004966AE"/>
    <w:rsid w:val="004A43ED"/>
    <w:rsid w:val="004B5B4B"/>
    <w:rsid w:val="004B5C07"/>
    <w:rsid w:val="004B7615"/>
    <w:rsid w:val="004C0212"/>
    <w:rsid w:val="004C44E2"/>
    <w:rsid w:val="004D3D3A"/>
    <w:rsid w:val="004D6D51"/>
    <w:rsid w:val="004E36C3"/>
    <w:rsid w:val="004F0285"/>
    <w:rsid w:val="004F28CE"/>
    <w:rsid w:val="004F293A"/>
    <w:rsid w:val="00500D35"/>
    <w:rsid w:val="0051030F"/>
    <w:rsid w:val="005144F7"/>
    <w:rsid w:val="005146CC"/>
    <w:rsid w:val="00515D5A"/>
    <w:rsid w:val="00520566"/>
    <w:rsid w:val="00524394"/>
    <w:rsid w:val="005320A2"/>
    <w:rsid w:val="00532501"/>
    <w:rsid w:val="0053646D"/>
    <w:rsid w:val="00541291"/>
    <w:rsid w:val="0054618F"/>
    <w:rsid w:val="005476E3"/>
    <w:rsid w:val="0054774D"/>
    <w:rsid w:val="00547E84"/>
    <w:rsid w:val="00552873"/>
    <w:rsid w:val="005564E3"/>
    <w:rsid w:val="00560A32"/>
    <w:rsid w:val="005671F4"/>
    <w:rsid w:val="00571643"/>
    <w:rsid w:val="005A28CA"/>
    <w:rsid w:val="005A6D6A"/>
    <w:rsid w:val="005B053C"/>
    <w:rsid w:val="005B11F2"/>
    <w:rsid w:val="005B488B"/>
    <w:rsid w:val="005C171B"/>
    <w:rsid w:val="005C5FB4"/>
    <w:rsid w:val="005C6EB6"/>
    <w:rsid w:val="005C772A"/>
    <w:rsid w:val="005C7D41"/>
    <w:rsid w:val="005E008F"/>
    <w:rsid w:val="005E7089"/>
    <w:rsid w:val="005F70E5"/>
    <w:rsid w:val="006018EF"/>
    <w:rsid w:val="006029C8"/>
    <w:rsid w:val="0060752D"/>
    <w:rsid w:val="00607987"/>
    <w:rsid w:val="00610C49"/>
    <w:rsid w:val="00612FBD"/>
    <w:rsid w:val="00613984"/>
    <w:rsid w:val="00620CFE"/>
    <w:rsid w:val="00625EE8"/>
    <w:rsid w:val="00632D9F"/>
    <w:rsid w:val="00636F7D"/>
    <w:rsid w:val="00640706"/>
    <w:rsid w:val="006407B8"/>
    <w:rsid w:val="0064343F"/>
    <w:rsid w:val="00647BE7"/>
    <w:rsid w:val="0065591E"/>
    <w:rsid w:val="00660155"/>
    <w:rsid w:val="00665457"/>
    <w:rsid w:val="006676B1"/>
    <w:rsid w:val="00675EB4"/>
    <w:rsid w:val="00681DED"/>
    <w:rsid w:val="00684AF3"/>
    <w:rsid w:val="00685BA5"/>
    <w:rsid w:val="006A3D06"/>
    <w:rsid w:val="006A40D7"/>
    <w:rsid w:val="006A6FB1"/>
    <w:rsid w:val="006B4BCE"/>
    <w:rsid w:val="006B4FB2"/>
    <w:rsid w:val="006B7DC2"/>
    <w:rsid w:val="006C532E"/>
    <w:rsid w:val="006D1DD7"/>
    <w:rsid w:val="006E5585"/>
    <w:rsid w:val="006F3AAE"/>
    <w:rsid w:val="006F5A91"/>
    <w:rsid w:val="006F64C1"/>
    <w:rsid w:val="006F7FC4"/>
    <w:rsid w:val="00714C26"/>
    <w:rsid w:val="0072200D"/>
    <w:rsid w:val="00727248"/>
    <w:rsid w:val="00735C89"/>
    <w:rsid w:val="00743EAA"/>
    <w:rsid w:val="007451D1"/>
    <w:rsid w:val="007459E3"/>
    <w:rsid w:val="00751F04"/>
    <w:rsid w:val="00752575"/>
    <w:rsid w:val="00771764"/>
    <w:rsid w:val="0077571F"/>
    <w:rsid w:val="007850FE"/>
    <w:rsid w:val="00787F99"/>
    <w:rsid w:val="007A12C1"/>
    <w:rsid w:val="007B35A0"/>
    <w:rsid w:val="007B43CC"/>
    <w:rsid w:val="007B4945"/>
    <w:rsid w:val="007B7DA1"/>
    <w:rsid w:val="007C2D88"/>
    <w:rsid w:val="007D35B3"/>
    <w:rsid w:val="007D3C24"/>
    <w:rsid w:val="007D4B6D"/>
    <w:rsid w:val="007D5441"/>
    <w:rsid w:val="007F2230"/>
    <w:rsid w:val="007F3C41"/>
    <w:rsid w:val="007F3D49"/>
    <w:rsid w:val="00811634"/>
    <w:rsid w:val="008135B5"/>
    <w:rsid w:val="008177CA"/>
    <w:rsid w:val="0082504A"/>
    <w:rsid w:val="00826673"/>
    <w:rsid w:val="00830575"/>
    <w:rsid w:val="00837B23"/>
    <w:rsid w:val="00856B47"/>
    <w:rsid w:val="00863EA9"/>
    <w:rsid w:val="00865A48"/>
    <w:rsid w:val="00873ADE"/>
    <w:rsid w:val="00880715"/>
    <w:rsid w:val="0088785F"/>
    <w:rsid w:val="00891D83"/>
    <w:rsid w:val="00892A85"/>
    <w:rsid w:val="0089380A"/>
    <w:rsid w:val="00894CBB"/>
    <w:rsid w:val="0089629E"/>
    <w:rsid w:val="008A12A0"/>
    <w:rsid w:val="008A437E"/>
    <w:rsid w:val="008A6D5A"/>
    <w:rsid w:val="008B595C"/>
    <w:rsid w:val="008B77F5"/>
    <w:rsid w:val="008C0C07"/>
    <w:rsid w:val="008C293A"/>
    <w:rsid w:val="008C3840"/>
    <w:rsid w:val="008C3FF9"/>
    <w:rsid w:val="008E2CFD"/>
    <w:rsid w:val="008E5FC2"/>
    <w:rsid w:val="008E699D"/>
    <w:rsid w:val="008F03C1"/>
    <w:rsid w:val="00900CE2"/>
    <w:rsid w:val="00915418"/>
    <w:rsid w:val="00935CAB"/>
    <w:rsid w:val="009420B1"/>
    <w:rsid w:val="00946E52"/>
    <w:rsid w:val="009507FB"/>
    <w:rsid w:val="00954EFB"/>
    <w:rsid w:val="0096149C"/>
    <w:rsid w:val="009657E4"/>
    <w:rsid w:val="009836CE"/>
    <w:rsid w:val="00983A5C"/>
    <w:rsid w:val="00996381"/>
    <w:rsid w:val="009A2660"/>
    <w:rsid w:val="009C2CA9"/>
    <w:rsid w:val="009D3C94"/>
    <w:rsid w:val="009D7D3D"/>
    <w:rsid w:val="009F1985"/>
    <w:rsid w:val="009F357A"/>
    <w:rsid w:val="00A017EB"/>
    <w:rsid w:val="00A148E8"/>
    <w:rsid w:val="00A176D8"/>
    <w:rsid w:val="00A333B5"/>
    <w:rsid w:val="00A40510"/>
    <w:rsid w:val="00A448A1"/>
    <w:rsid w:val="00A4677A"/>
    <w:rsid w:val="00A733E4"/>
    <w:rsid w:val="00A76B31"/>
    <w:rsid w:val="00A76C5F"/>
    <w:rsid w:val="00A85A29"/>
    <w:rsid w:val="00A9342F"/>
    <w:rsid w:val="00A96A42"/>
    <w:rsid w:val="00AA3312"/>
    <w:rsid w:val="00AA4E71"/>
    <w:rsid w:val="00AB372C"/>
    <w:rsid w:val="00AB6C34"/>
    <w:rsid w:val="00AB7322"/>
    <w:rsid w:val="00AD6F6C"/>
    <w:rsid w:val="00AE35E7"/>
    <w:rsid w:val="00AE62EF"/>
    <w:rsid w:val="00AF0D03"/>
    <w:rsid w:val="00AF3212"/>
    <w:rsid w:val="00AF608A"/>
    <w:rsid w:val="00B0491A"/>
    <w:rsid w:val="00B23AB4"/>
    <w:rsid w:val="00B24E9C"/>
    <w:rsid w:val="00B32CBF"/>
    <w:rsid w:val="00B40CE9"/>
    <w:rsid w:val="00B431C2"/>
    <w:rsid w:val="00B44B3D"/>
    <w:rsid w:val="00B6005E"/>
    <w:rsid w:val="00B61A91"/>
    <w:rsid w:val="00B70449"/>
    <w:rsid w:val="00B8082D"/>
    <w:rsid w:val="00B93335"/>
    <w:rsid w:val="00B96E9B"/>
    <w:rsid w:val="00BC785B"/>
    <w:rsid w:val="00BD171F"/>
    <w:rsid w:val="00BE7D5A"/>
    <w:rsid w:val="00BF0483"/>
    <w:rsid w:val="00BF62A1"/>
    <w:rsid w:val="00BF6871"/>
    <w:rsid w:val="00BF74DB"/>
    <w:rsid w:val="00BF788F"/>
    <w:rsid w:val="00C14761"/>
    <w:rsid w:val="00C15A69"/>
    <w:rsid w:val="00C22217"/>
    <w:rsid w:val="00C2333B"/>
    <w:rsid w:val="00C2424F"/>
    <w:rsid w:val="00C26919"/>
    <w:rsid w:val="00C26E4B"/>
    <w:rsid w:val="00C542A3"/>
    <w:rsid w:val="00C667B0"/>
    <w:rsid w:val="00C710E0"/>
    <w:rsid w:val="00C80985"/>
    <w:rsid w:val="00CA032C"/>
    <w:rsid w:val="00CB3070"/>
    <w:rsid w:val="00CC248F"/>
    <w:rsid w:val="00CD2220"/>
    <w:rsid w:val="00CD312F"/>
    <w:rsid w:val="00CD6EAE"/>
    <w:rsid w:val="00CD7954"/>
    <w:rsid w:val="00D22DEB"/>
    <w:rsid w:val="00D30263"/>
    <w:rsid w:val="00D43B56"/>
    <w:rsid w:val="00D4619A"/>
    <w:rsid w:val="00D73718"/>
    <w:rsid w:val="00D771B2"/>
    <w:rsid w:val="00D8734B"/>
    <w:rsid w:val="00D922E7"/>
    <w:rsid w:val="00DA0CE8"/>
    <w:rsid w:val="00DA421A"/>
    <w:rsid w:val="00DA77C4"/>
    <w:rsid w:val="00DB1EE6"/>
    <w:rsid w:val="00DB4BD5"/>
    <w:rsid w:val="00DC013B"/>
    <w:rsid w:val="00DC0286"/>
    <w:rsid w:val="00DC3889"/>
    <w:rsid w:val="00DC6DF3"/>
    <w:rsid w:val="00DD3939"/>
    <w:rsid w:val="00DE0372"/>
    <w:rsid w:val="00DE5444"/>
    <w:rsid w:val="00DE6F1C"/>
    <w:rsid w:val="00DF0D90"/>
    <w:rsid w:val="00DF147A"/>
    <w:rsid w:val="00E01466"/>
    <w:rsid w:val="00E11CB3"/>
    <w:rsid w:val="00E12175"/>
    <w:rsid w:val="00E154C8"/>
    <w:rsid w:val="00E218C8"/>
    <w:rsid w:val="00E23960"/>
    <w:rsid w:val="00E269E4"/>
    <w:rsid w:val="00E304BB"/>
    <w:rsid w:val="00E32A09"/>
    <w:rsid w:val="00E44B23"/>
    <w:rsid w:val="00E45CEE"/>
    <w:rsid w:val="00E47861"/>
    <w:rsid w:val="00E52317"/>
    <w:rsid w:val="00E63E26"/>
    <w:rsid w:val="00E67EBF"/>
    <w:rsid w:val="00E74A34"/>
    <w:rsid w:val="00E7632C"/>
    <w:rsid w:val="00E76F13"/>
    <w:rsid w:val="00E90F54"/>
    <w:rsid w:val="00E9196D"/>
    <w:rsid w:val="00E92642"/>
    <w:rsid w:val="00E97287"/>
    <w:rsid w:val="00EA3ACC"/>
    <w:rsid w:val="00EA3FD1"/>
    <w:rsid w:val="00EA49BF"/>
    <w:rsid w:val="00EA7B27"/>
    <w:rsid w:val="00EB0AFE"/>
    <w:rsid w:val="00EB1E20"/>
    <w:rsid w:val="00EB332E"/>
    <w:rsid w:val="00EB464D"/>
    <w:rsid w:val="00EC3489"/>
    <w:rsid w:val="00EC3D53"/>
    <w:rsid w:val="00EC77B1"/>
    <w:rsid w:val="00ED0C7E"/>
    <w:rsid w:val="00ED0E8F"/>
    <w:rsid w:val="00ED4BEA"/>
    <w:rsid w:val="00EE55A6"/>
    <w:rsid w:val="00EE5CFA"/>
    <w:rsid w:val="00EE7879"/>
    <w:rsid w:val="00EE7A29"/>
    <w:rsid w:val="00EF522A"/>
    <w:rsid w:val="00EF5574"/>
    <w:rsid w:val="00F0340D"/>
    <w:rsid w:val="00F0649F"/>
    <w:rsid w:val="00F126A7"/>
    <w:rsid w:val="00F12A11"/>
    <w:rsid w:val="00F1340B"/>
    <w:rsid w:val="00F21FA5"/>
    <w:rsid w:val="00F2201E"/>
    <w:rsid w:val="00F27B3D"/>
    <w:rsid w:val="00F30309"/>
    <w:rsid w:val="00F33A2F"/>
    <w:rsid w:val="00F3548C"/>
    <w:rsid w:val="00F52ED7"/>
    <w:rsid w:val="00F53293"/>
    <w:rsid w:val="00F54D14"/>
    <w:rsid w:val="00F56B70"/>
    <w:rsid w:val="00F616CF"/>
    <w:rsid w:val="00F64CB4"/>
    <w:rsid w:val="00F713CF"/>
    <w:rsid w:val="00F72A1A"/>
    <w:rsid w:val="00F810F8"/>
    <w:rsid w:val="00F850E0"/>
    <w:rsid w:val="00FA00C6"/>
    <w:rsid w:val="00FA1AB9"/>
    <w:rsid w:val="00FA2BD6"/>
    <w:rsid w:val="00FA5578"/>
    <w:rsid w:val="00FA7787"/>
    <w:rsid w:val="00FB18B3"/>
    <w:rsid w:val="00FB5AF9"/>
    <w:rsid w:val="00FB6A08"/>
    <w:rsid w:val="00FD046E"/>
    <w:rsid w:val="00FE4394"/>
    <w:rsid w:val="0117CF01"/>
    <w:rsid w:val="0119DC4D"/>
    <w:rsid w:val="021D22F5"/>
    <w:rsid w:val="0312B589"/>
    <w:rsid w:val="037B52DC"/>
    <w:rsid w:val="04C6E4E5"/>
    <w:rsid w:val="05B6E2FE"/>
    <w:rsid w:val="05EE89ED"/>
    <w:rsid w:val="05FCD58C"/>
    <w:rsid w:val="06D9DAEB"/>
    <w:rsid w:val="07CFEBB2"/>
    <w:rsid w:val="0895C789"/>
    <w:rsid w:val="09B29B57"/>
    <w:rsid w:val="0C32A8DA"/>
    <w:rsid w:val="0C831623"/>
    <w:rsid w:val="0C91FB24"/>
    <w:rsid w:val="0D91D54B"/>
    <w:rsid w:val="0DDA6230"/>
    <w:rsid w:val="0F0491A6"/>
    <w:rsid w:val="0F053DB6"/>
    <w:rsid w:val="0F853EE7"/>
    <w:rsid w:val="12480939"/>
    <w:rsid w:val="124DB52B"/>
    <w:rsid w:val="12C11F69"/>
    <w:rsid w:val="138D82AD"/>
    <w:rsid w:val="13B13C08"/>
    <w:rsid w:val="13C5C72F"/>
    <w:rsid w:val="16437ED3"/>
    <w:rsid w:val="169996C3"/>
    <w:rsid w:val="17C0F6DE"/>
    <w:rsid w:val="186CFBAF"/>
    <w:rsid w:val="1872737F"/>
    <w:rsid w:val="1ABCCFC6"/>
    <w:rsid w:val="1AC456F6"/>
    <w:rsid w:val="1C04E7C7"/>
    <w:rsid w:val="1C5C93FB"/>
    <w:rsid w:val="1DC68B53"/>
    <w:rsid w:val="1E0244E9"/>
    <w:rsid w:val="1EADD752"/>
    <w:rsid w:val="1F8B25F6"/>
    <w:rsid w:val="20155C78"/>
    <w:rsid w:val="20630ED2"/>
    <w:rsid w:val="21143E00"/>
    <w:rsid w:val="21C36FAC"/>
    <w:rsid w:val="242C1486"/>
    <w:rsid w:val="2541540A"/>
    <w:rsid w:val="2751590B"/>
    <w:rsid w:val="27717380"/>
    <w:rsid w:val="2778000D"/>
    <w:rsid w:val="278DCD01"/>
    <w:rsid w:val="27E9D827"/>
    <w:rsid w:val="28315089"/>
    <w:rsid w:val="2897C681"/>
    <w:rsid w:val="293DFF93"/>
    <w:rsid w:val="29C26917"/>
    <w:rsid w:val="2A772912"/>
    <w:rsid w:val="2A90EC49"/>
    <w:rsid w:val="2B1FC76E"/>
    <w:rsid w:val="2C1C7719"/>
    <w:rsid w:val="2E099F46"/>
    <w:rsid w:val="2EEA9AD0"/>
    <w:rsid w:val="2EEF321C"/>
    <w:rsid w:val="327AAB69"/>
    <w:rsid w:val="32DAB3D5"/>
    <w:rsid w:val="3328019F"/>
    <w:rsid w:val="3660A310"/>
    <w:rsid w:val="36811143"/>
    <w:rsid w:val="37A341CB"/>
    <w:rsid w:val="37BE332F"/>
    <w:rsid w:val="38CE554B"/>
    <w:rsid w:val="396899FB"/>
    <w:rsid w:val="3C21E031"/>
    <w:rsid w:val="3C2C882C"/>
    <w:rsid w:val="3C787121"/>
    <w:rsid w:val="3CBF0206"/>
    <w:rsid w:val="3E9AAEFD"/>
    <w:rsid w:val="3F28D17C"/>
    <w:rsid w:val="3F4FA3DC"/>
    <w:rsid w:val="3F5D3161"/>
    <w:rsid w:val="40C8E892"/>
    <w:rsid w:val="40D460F1"/>
    <w:rsid w:val="41D07DE9"/>
    <w:rsid w:val="42DFA5AA"/>
    <w:rsid w:val="444AF6EE"/>
    <w:rsid w:val="44C9163C"/>
    <w:rsid w:val="456DE1DF"/>
    <w:rsid w:val="45AED377"/>
    <w:rsid w:val="46ED1CBD"/>
    <w:rsid w:val="4775410E"/>
    <w:rsid w:val="47CA033F"/>
    <w:rsid w:val="493333CF"/>
    <w:rsid w:val="4A8E7D39"/>
    <w:rsid w:val="4AB7BC7A"/>
    <w:rsid w:val="4B279692"/>
    <w:rsid w:val="4CF4E801"/>
    <w:rsid w:val="4F29A10B"/>
    <w:rsid w:val="4F578968"/>
    <w:rsid w:val="4F8D3A7D"/>
    <w:rsid w:val="4FD51FFC"/>
    <w:rsid w:val="503B7CEE"/>
    <w:rsid w:val="508DBDBD"/>
    <w:rsid w:val="52326B4B"/>
    <w:rsid w:val="524111C3"/>
    <w:rsid w:val="5367E02F"/>
    <w:rsid w:val="54362036"/>
    <w:rsid w:val="54A6D3D8"/>
    <w:rsid w:val="5545F1FB"/>
    <w:rsid w:val="558A820F"/>
    <w:rsid w:val="5653AF7E"/>
    <w:rsid w:val="570C8859"/>
    <w:rsid w:val="59304991"/>
    <w:rsid w:val="5A32AE6B"/>
    <w:rsid w:val="5ABC2BB9"/>
    <w:rsid w:val="5B48C562"/>
    <w:rsid w:val="5BAC5641"/>
    <w:rsid w:val="5BDF1CC7"/>
    <w:rsid w:val="5C09E073"/>
    <w:rsid w:val="5CA4C05E"/>
    <w:rsid w:val="5DDA363C"/>
    <w:rsid w:val="5E659EE4"/>
    <w:rsid w:val="5E9302A8"/>
    <w:rsid w:val="5F68D4ED"/>
    <w:rsid w:val="600B16D2"/>
    <w:rsid w:val="603F8726"/>
    <w:rsid w:val="608FA6B7"/>
    <w:rsid w:val="621C91A3"/>
    <w:rsid w:val="62ACF796"/>
    <w:rsid w:val="63CFC542"/>
    <w:rsid w:val="63FBE510"/>
    <w:rsid w:val="64B7F10A"/>
    <w:rsid w:val="64BFD357"/>
    <w:rsid w:val="64F566AE"/>
    <w:rsid w:val="65477734"/>
    <w:rsid w:val="66798495"/>
    <w:rsid w:val="669E330E"/>
    <w:rsid w:val="67EF82B6"/>
    <w:rsid w:val="6855A9AC"/>
    <w:rsid w:val="6878053F"/>
    <w:rsid w:val="6984D668"/>
    <w:rsid w:val="6AED3D48"/>
    <w:rsid w:val="6AFFD030"/>
    <w:rsid w:val="6CEAC921"/>
    <w:rsid w:val="6CF99DD1"/>
    <w:rsid w:val="6D025F30"/>
    <w:rsid w:val="6D1A56F4"/>
    <w:rsid w:val="6D7FDB8D"/>
    <w:rsid w:val="6DB0DBB0"/>
    <w:rsid w:val="6DC5CBFE"/>
    <w:rsid w:val="70E79E0F"/>
    <w:rsid w:val="71197E03"/>
    <w:rsid w:val="724C696E"/>
    <w:rsid w:val="739EBD13"/>
    <w:rsid w:val="753EEE87"/>
    <w:rsid w:val="77AA47CC"/>
    <w:rsid w:val="77FC80D4"/>
    <w:rsid w:val="78CABBAA"/>
    <w:rsid w:val="79B34042"/>
    <w:rsid w:val="7AC5BF54"/>
    <w:rsid w:val="7C9FA3C4"/>
    <w:rsid w:val="7D19DEAF"/>
    <w:rsid w:val="7E6D0E31"/>
    <w:rsid w:val="7EDFD59F"/>
    <w:rsid w:val="7F0411DE"/>
    <w:rsid w:val="7FA4E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7CE05"/>
  <w15:chartTrackingRefBased/>
  <w15:docId w15:val="{01C52F17-53E9-4825-BCAE-1361D908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HAnsi" w:hAnsi="Verdana" w:cstheme="minorBidi"/>
        <w:sz w:val="17"/>
        <w:szCs w:val="22"/>
        <w:lang w:val="nl-NL" w:eastAsia="en-US" w:bidi="ar-SA"/>
      </w:rPr>
    </w:rPrDefault>
    <w:pPrDefault>
      <w:pPr>
        <w:spacing w:after="160" w:line="30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5B5"/>
    <w:pPr>
      <w:spacing w:line="48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6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488B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000000" w:themeColor="text1"/>
      <w:sz w:val="2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171F"/>
    <w:pPr>
      <w:keepNext/>
      <w:keepLines/>
      <w:spacing w:before="40" w:after="0"/>
      <w:outlineLvl w:val="2"/>
    </w:pPr>
    <w:rPr>
      <w:rFonts w:eastAsiaTheme="majorEastAsia" w:cstheme="majorBidi"/>
      <w:b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135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35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35B5"/>
    <w:rPr>
      <w:sz w:val="20"/>
      <w:szCs w:val="20"/>
    </w:rPr>
  </w:style>
  <w:style w:type="table" w:styleId="TableGrid">
    <w:name w:val="Table Grid"/>
    <w:basedOn w:val="TableNormal"/>
    <w:uiPriority w:val="39"/>
    <w:rsid w:val="00813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135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5144F7"/>
    <w:pPr>
      <w:spacing w:after="0"/>
      <w:jc w:val="center"/>
    </w:pPr>
    <w:rPr>
      <w:noProof/>
      <w:sz w:val="16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144F7"/>
    <w:rPr>
      <w:noProof/>
      <w:sz w:val="1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144F7"/>
    <w:pPr>
      <w:spacing w:line="240" w:lineRule="auto"/>
    </w:pPr>
    <w:rPr>
      <w:noProof/>
      <w:sz w:val="16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144F7"/>
    <w:rPr>
      <w:noProof/>
      <w:sz w:val="16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411F8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D9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357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F60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F608A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E1839"/>
    <w:pPr>
      <w:tabs>
        <w:tab w:val="right" w:leader="dot" w:pos="9062"/>
      </w:tabs>
      <w:spacing w:after="100" w:line="259" w:lineRule="auto"/>
      <w:ind w:left="220"/>
      <w:jc w:val="both"/>
    </w:pPr>
    <w:rPr>
      <w:rFonts w:asciiTheme="minorHAnsi" w:eastAsiaTheme="minorEastAsia" w:hAnsiTheme="minorHAnsi" w:cs="Times New Roman"/>
      <w:sz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0CDB"/>
    <w:pPr>
      <w:spacing w:after="100" w:line="259" w:lineRule="auto"/>
    </w:pPr>
    <w:rPr>
      <w:rFonts w:eastAsiaTheme="minorEastAsia" w:cs="Times New Roman"/>
      <w:b/>
      <w:bCs/>
      <w:sz w:val="22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AF608A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B488B"/>
    <w:rPr>
      <w:rFonts w:eastAsiaTheme="majorEastAsia" w:cstheme="majorBidi"/>
      <w:color w:val="000000" w:themeColor="text1"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5B488B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D171F"/>
    <w:rPr>
      <w:rFonts w:eastAsiaTheme="majorEastAsia" w:cstheme="majorBidi"/>
      <w:b/>
      <w:sz w:val="20"/>
      <w:szCs w:val="24"/>
    </w:rPr>
  </w:style>
  <w:style w:type="paragraph" w:styleId="ListParagraph">
    <w:name w:val="List Paragraph"/>
    <w:basedOn w:val="Normal"/>
    <w:uiPriority w:val="34"/>
    <w:qFormat/>
    <w:rsid w:val="00C222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2257F-5BFE-451A-A924-3ACBA416A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1179</Words>
  <Characters>6724</Characters>
  <Application>Microsoft Office Word</Application>
  <DocSecurity>4</DocSecurity>
  <Lines>56</Lines>
  <Paragraphs>15</Paragraphs>
  <ScaleCrop>false</ScaleCrop>
  <Company/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Staeudle, Timo Michael</dc:creator>
  <cp:keywords/>
  <dc:description/>
  <cp:lastModifiedBy>Poos, Jan Jaap</cp:lastModifiedBy>
  <cp:revision>443</cp:revision>
  <dcterms:created xsi:type="dcterms:W3CDTF">2023-09-03T14:55:00Z</dcterms:created>
  <dcterms:modified xsi:type="dcterms:W3CDTF">2024-07-17T23:03:00Z</dcterms:modified>
</cp:coreProperties>
</file>