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52B2" w:rsidRPr="006052B2" w:rsidRDefault="006052B2" w:rsidP="006052B2">
      <w:pPr>
        <w:pStyle w:val="Heading1"/>
        <w:jc w:val="center"/>
      </w:pPr>
      <w:r>
        <w:t>Supplementary Material</w:t>
      </w:r>
    </w:p>
    <w:p w:rsidR="006052B2" w:rsidRDefault="006052B2" w:rsidP="00E8122A">
      <w:pPr>
        <w:pStyle w:val="Heading1"/>
        <w:jc w:val="center"/>
        <w:rPr>
          <w:lang w:val="en-DE"/>
        </w:rPr>
      </w:pPr>
      <w:r w:rsidRPr="006052B2">
        <w:rPr>
          <w:lang w:val="en-DE"/>
        </w:rPr>
        <w:t>A temperature-controlled, circular maintenance system for studying growth and development of pelagic tunicates (Salps)</w:t>
      </w:r>
    </w:p>
    <w:p w:rsidR="006052B2" w:rsidRDefault="006052B2" w:rsidP="006052B2">
      <w:pPr>
        <w:rPr>
          <w:lang w:val="en-DE"/>
        </w:rPr>
      </w:pPr>
    </w:p>
    <w:p w:rsidR="006052B2" w:rsidRPr="006052B2" w:rsidRDefault="006052B2" w:rsidP="006052B2">
      <w:pPr>
        <w:rPr>
          <w:lang w:val="en-DE"/>
        </w:rPr>
      </w:pPr>
      <w:r w:rsidRPr="006052B2">
        <w:rPr>
          <w:lang w:val="en-DE"/>
        </w:rPr>
        <w:t>Svenja J. Müller, Wiebke Wessels, Sara Driscoll, Evgeny A. Pakhomov, Lutz Auerswald, Katharina Michael, Bettina Meyer</w:t>
      </w:r>
    </w:p>
    <w:p w:rsidR="006052B2" w:rsidRPr="00AE0968" w:rsidRDefault="006052B2" w:rsidP="00E8122A">
      <w:pPr>
        <w:pStyle w:val="Heading1"/>
        <w:jc w:val="center"/>
        <w:rPr>
          <w:lang w:val="en-DE"/>
        </w:rPr>
      </w:pPr>
    </w:p>
    <w:p w:rsidR="008B5269" w:rsidRDefault="00E7228D" w:rsidP="008B5269">
      <w:pPr>
        <w:pStyle w:val="Heading1"/>
      </w:pPr>
      <w:r w:rsidRPr="00290562">
        <w:t>Figures</w:t>
      </w:r>
    </w:p>
    <w:p w:rsidR="002272BF" w:rsidRDefault="008B5269" w:rsidP="002272BF">
      <w:pPr>
        <w:pStyle w:val="NoSpacing"/>
      </w:pPr>
      <w:r>
        <w:rPr>
          <w:noProof/>
          <w14:ligatures w14:val="standardContextual"/>
        </w:rPr>
        <w:drawing>
          <wp:inline distT="0" distB="0" distL="0" distR="0">
            <wp:extent cx="5731454" cy="2472828"/>
            <wp:effectExtent l="0" t="0" r="0" b="3810"/>
            <wp:docPr id="182611015"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1015" name="Graphic 182611015"/>
                    <pic:cNvPicPr/>
                  </pic:nvPicPr>
                  <pic:blipFill rotWithShape="1">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rcRect t="8999" b="13255"/>
                    <a:stretch/>
                  </pic:blipFill>
                  <pic:spPr bwMode="auto">
                    <a:xfrm>
                      <a:off x="0" y="0"/>
                      <a:ext cx="5731510" cy="2472852"/>
                    </a:xfrm>
                    <a:prstGeom prst="rect">
                      <a:avLst/>
                    </a:prstGeom>
                    <a:ln>
                      <a:noFill/>
                    </a:ln>
                    <a:extLst>
                      <a:ext uri="{53640926-AAD7-44D8-BBD7-CCE9431645EC}">
                        <a14:shadowObscured xmlns:a14="http://schemas.microsoft.com/office/drawing/2010/main"/>
                      </a:ext>
                    </a:extLst>
                  </pic:spPr>
                </pic:pic>
              </a:graphicData>
            </a:graphic>
          </wp:inline>
        </w:drawing>
      </w:r>
      <w:r w:rsidR="00E7228D" w:rsidRPr="00D10123">
        <w:rPr>
          <w:b/>
          <w:bCs/>
        </w:rPr>
        <w:t>Figure S1.</w:t>
      </w:r>
      <w:r w:rsidR="00E7228D" w:rsidRPr="00D10123">
        <w:t xml:space="preserve"> Map of sampling sites. </w:t>
      </w:r>
      <w:r w:rsidR="00E7228D" w:rsidRPr="008B5269">
        <w:rPr>
          <w:b/>
          <w:bCs/>
        </w:rPr>
        <w:t>(</w:t>
      </w:r>
      <w:r w:rsidRPr="008B5269">
        <w:rPr>
          <w:b/>
          <w:bCs/>
        </w:rPr>
        <w:t>a</w:t>
      </w:r>
      <w:r w:rsidR="00E7228D" w:rsidRPr="008B5269">
        <w:rPr>
          <w:b/>
          <w:bCs/>
        </w:rPr>
        <w:t xml:space="preserve">) </w:t>
      </w:r>
      <w:r w:rsidR="00E7228D" w:rsidRPr="00D10123">
        <w:rPr>
          <w:i/>
          <w:iCs/>
        </w:rPr>
        <w:t>S. thompsoni</w:t>
      </w:r>
      <w:r w:rsidR="00E7228D" w:rsidRPr="00D10123">
        <w:t xml:space="preserve"> were caught on expedition PS112 with the R.V. </w:t>
      </w:r>
      <w:r w:rsidR="00E7228D" w:rsidRPr="00D10123">
        <w:rPr>
          <w:i/>
          <w:iCs/>
        </w:rPr>
        <w:t>Polarstern</w:t>
      </w:r>
      <w:r w:rsidR="00E7228D" w:rsidRPr="00D10123">
        <w:t xml:space="preserve"> near Elephant Island (blue circle). </w:t>
      </w:r>
      <w:r w:rsidR="00E7228D" w:rsidRPr="008B5269">
        <w:rPr>
          <w:b/>
          <w:bCs/>
        </w:rPr>
        <w:t>(</w:t>
      </w:r>
      <w:r w:rsidRPr="008B5269">
        <w:rPr>
          <w:b/>
          <w:bCs/>
        </w:rPr>
        <w:t>b</w:t>
      </w:r>
      <w:r w:rsidR="00E7228D" w:rsidRPr="008B5269">
        <w:rPr>
          <w:b/>
          <w:bCs/>
        </w:rPr>
        <w:t xml:space="preserve">) </w:t>
      </w:r>
      <w:r w:rsidR="00E7228D" w:rsidRPr="00D10123">
        <w:rPr>
          <w:i/>
          <w:iCs/>
        </w:rPr>
        <w:t>S. fusiformis</w:t>
      </w:r>
      <w:r w:rsidR="00E7228D" w:rsidRPr="00D10123">
        <w:t xml:space="preserve"> were sampled </w:t>
      </w:r>
      <w:r w:rsidR="00E7228D" w:rsidRPr="00D10123">
        <w:rPr>
          <w:lang w:eastAsia="en-GB"/>
        </w:rPr>
        <w:t>in the bay of Villefranche-sur-Mer, France.</w:t>
      </w:r>
      <w:r w:rsidR="00E7228D" w:rsidRPr="00D10123">
        <w:t xml:space="preserve"> At the mouth of the bay, Point B, environmental data and field samples were collected to estimate </w:t>
      </w:r>
      <w:r w:rsidR="00E7228D" w:rsidRPr="00D10123">
        <w:rPr>
          <w:i/>
          <w:iCs/>
        </w:rPr>
        <w:t>in</w:t>
      </w:r>
      <w:r w:rsidR="00246C8C">
        <w:rPr>
          <w:i/>
          <w:iCs/>
        </w:rPr>
        <w:t xml:space="preserve"> </w:t>
      </w:r>
      <w:r w:rsidR="00E7228D" w:rsidRPr="00D10123">
        <w:rPr>
          <w:i/>
          <w:iCs/>
        </w:rPr>
        <w:t>situ</w:t>
      </w:r>
      <w:r w:rsidR="00E7228D" w:rsidRPr="00D10123">
        <w:t xml:space="preserve"> growth at</w:t>
      </w:r>
    </w:p>
    <w:p w:rsidR="00E7228D" w:rsidRDefault="00E7228D" w:rsidP="002272BF">
      <w:pPr>
        <w:pStyle w:val="NoSpacing"/>
      </w:pPr>
      <w:r w:rsidRPr="00D10123">
        <w:t>regular intervals (green circle).</w:t>
      </w:r>
    </w:p>
    <w:p w:rsidR="002272BF" w:rsidRDefault="002272BF" w:rsidP="008B5269">
      <w:pPr>
        <w:pStyle w:val="NoSpacing"/>
      </w:pPr>
    </w:p>
    <w:p w:rsidR="002272BF" w:rsidRPr="00D10123" w:rsidRDefault="002272BF" w:rsidP="008B5269">
      <w:pPr>
        <w:pStyle w:val="NoSpacing"/>
      </w:pPr>
    </w:p>
    <w:p w:rsidR="00E7228D" w:rsidRDefault="00E7228D" w:rsidP="00E7228D"/>
    <w:p w:rsidR="001D12DA" w:rsidRPr="00290562" w:rsidRDefault="00353900" w:rsidP="002272BF">
      <w:pPr>
        <w:jc w:val="center"/>
      </w:pPr>
      <w:r>
        <w:rPr>
          <w:noProof/>
          <w14:ligatures w14:val="standardContextual"/>
        </w:rPr>
        <w:drawing>
          <wp:inline distT="0" distB="0" distL="0" distR="0">
            <wp:extent cx="1850564" cy="4739054"/>
            <wp:effectExtent l="3492" t="0" r="0" b="0"/>
            <wp:docPr id="7709388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38800" name="Picture 770938800"/>
                    <pic:cNvPicPr/>
                  </pic:nvPicPr>
                  <pic:blipFill rotWithShape="1">
                    <a:blip r:embed="rId8">
                      <a:extLst>
                        <a:ext uri="{28A0092B-C50C-407E-A947-70E740481C1C}">
                          <a14:useLocalDpi xmlns:a14="http://schemas.microsoft.com/office/drawing/2010/main" val="0"/>
                        </a:ext>
                      </a:extLst>
                    </a:blip>
                    <a:srcRect l="43873" t="6721" r="20842" b="29427"/>
                    <a:stretch/>
                  </pic:blipFill>
                  <pic:spPr bwMode="auto">
                    <a:xfrm rot="16200000">
                      <a:off x="0" y="0"/>
                      <a:ext cx="1851719" cy="4742012"/>
                    </a:xfrm>
                    <a:prstGeom prst="rect">
                      <a:avLst/>
                    </a:prstGeom>
                    <a:ln>
                      <a:noFill/>
                    </a:ln>
                    <a:extLst>
                      <a:ext uri="{53640926-AAD7-44D8-BBD7-CCE9431645EC}">
                        <a14:shadowObscured xmlns:a14="http://schemas.microsoft.com/office/drawing/2010/main"/>
                      </a:ext>
                    </a:extLst>
                  </pic:spPr>
                </pic:pic>
              </a:graphicData>
            </a:graphic>
          </wp:inline>
        </w:drawing>
      </w:r>
    </w:p>
    <w:p w:rsidR="00DE7F84" w:rsidRDefault="00E7228D" w:rsidP="00AE0968">
      <w:pPr>
        <w:pStyle w:val="NoSpacing"/>
      </w:pPr>
      <w:r w:rsidRPr="00290562">
        <w:rPr>
          <w:b/>
          <w:bCs/>
        </w:rPr>
        <w:t>Figure S</w:t>
      </w:r>
      <w:r>
        <w:rPr>
          <w:b/>
          <w:bCs/>
        </w:rPr>
        <w:t>2</w:t>
      </w:r>
      <w:r w:rsidRPr="00290562">
        <w:rPr>
          <w:b/>
          <w:bCs/>
        </w:rPr>
        <w:t>.</w:t>
      </w:r>
      <w:r>
        <w:t xml:space="preserve"> Field sampling by snorkeling using ziploc-bags </w:t>
      </w:r>
      <w:r w:rsidRPr="00353900">
        <w:rPr>
          <w:b/>
          <w:bCs/>
        </w:rPr>
        <w:t>(</w:t>
      </w:r>
      <w:r w:rsidR="00353900" w:rsidRPr="00353900">
        <w:rPr>
          <w:b/>
          <w:bCs/>
        </w:rPr>
        <w:t>a</w:t>
      </w:r>
      <w:r w:rsidRPr="00353900">
        <w:rPr>
          <w:b/>
          <w:bCs/>
        </w:rPr>
        <w:t xml:space="preserve">) </w:t>
      </w:r>
      <w:r>
        <w:t xml:space="preserve">and beaker </w:t>
      </w:r>
      <w:r w:rsidRPr="00353900">
        <w:rPr>
          <w:b/>
          <w:bCs/>
        </w:rPr>
        <w:t>(</w:t>
      </w:r>
      <w:r w:rsidR="00353900" w:rsidRPr="00353900">
        <w:rPr>
          <w:b/>
          <w:bCs/>
        </w:rPr>
        <w:t>b</w:t>
      </w:r>
      <w:r w:rsidRPr="00353900">
        <w:rPr>
          <w:b/>
          <w:bCs/>
        </w:rPr>
        <w:t>)</w:t>
      </w:r>
      <w:r>
        <w:t>. In order to catch short chains, it may be advisable to let the chain slide slowly into the bag. For catching long chains (&gt; 10 buds chain</w:t>
      </w:r>
      <w:r w:rsidRPr="00647473">
        <w:rPr>
          <w:vertAlign w:val="superscript"/>
        </w:rPr>
        <w:t>-1</w:t>
      </w:r>
      <w:r>
        <w:t xml:space="preserve">), it is most useful to carefully pick both ends of a chain and transfer them in the bag. Photo credit: </w:t>
      </w:r>
      <w:r w:rsidRPr="00D12D8B">
        <w:t>A. Jan; 2021, Oceanological Observatory of Villefranche-sur-</w:t>
      </w:r>
      <w:r>
        <w:t>M</w:t>
      </w:r>
      <w:r w:rsidRPr="00D12D8B">
        <w:t>er, France.</w:t>
      </w:r>
      <w:r w:rsidR="00DE7F84">
        <w:br w:type="page"/>
      </w:r>
    </w:p>
    <w:p w:rsidR="00F2438A" w:rsidRDefault="0028765C">
      <w:r>
        <w:rPr>
          <w:noProof/>
          <w14:ligatures w14:val="standardContextual"/>
        </w:rPr>
        <w:lastRenderedPageBreak/>
        <w:drawing>
          <wp:inline distT="0" distB="0" distL="0" distR="0">
            <wp:extent cx="5731510" cy="4450080"/>
            <wp:effectExtent l="0" t="0" r="0" b="0"/>
            <wp:docPr id="1213858918"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58918" name="Graphic 1213858918"/>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731510" cy="4450080"/>
                    </a:xfrm>
                    <a:prstGeom prst="rect">
                      <a:avLst/>
                    </a:prstGeom>
                  </pic:spPr>
                </pic:pic>
              </a:graphicData>
            </a:graphic>
          </wp:inline>
        </w:drawing>
      </w:r>
    </w:p>
    <w:p w:rsidR="00C35554" w:rsidRPr="00D865C2" w:rsidRDefault="00A120E6" w:rsidP="00D865C2">
      <w:pPr>
        <w:pStyle w:val="NoSpacing"/>
      </w:pPr>
      <w:r w:rsidRPr="00290562">
        <w:rPr>
          <w:b/>
          <w:bCs/>
        </w:rPr>
        <w:t>Figure S</w:t>
      </w:r>
      <w:r>
        <w:rPr>
          <w:b/>
          <w:bCs/>
        </w:rPr>
        <w:t>3</w:t>
      </w:r>
      <w:r w:rsidRPr="00290562">
        <w:rPr>
          <w:b/>
          <w:bCs/>
        </w:rPr>
        <w:t>. Growth and development</w:t>
      </w:r>
      <w:r>
        <w:rPr>
          <w:b/>
          <w:bCs/>
        </w:rPr>
        <w:t>al</w:t>
      </w:r>
      <w:r w:rsidRPr="00290562">
        <w:rPr>
          <w:b/>
          <w:bCs/>
        </w:rPr>
        <w:t xml:space="preserve"> data of </w:t>
      </w:r>
      <w:r w:rsidR="00D865C2">
        <w:rPr>
          <w:b/>
          <w:bCs/>
        </w:rPr>
        <w:t xml:space="preserve">blastozooids of </w:t>
      </w:r>
      <w:r w:rsidRPr="00290562">
        <w:rPr>
          <w:b/>
          <w:bCs/>
          <w:i/>
          <w:iCs/>
        </w:rPr>
        <w:t>S. thompsoni</w:t>
      </w:r>
      <w:r w:rsidRPr="00290562">
        <w:rPr>
          <w:b/>
          <w:bCs/>
        </w:rPr>
        <w:t xml:space="preserve"> maintained in kreisel tanks</w:t>
      </w:r>
      <w:r w:rsidRPr="00290562">
        <w:rPr>
          <w:b/>
          <w:bCs/>
          <w:i/>
          <w:iCs/>
        </w:rPr>
        <w:t>.</w:t>
      </w:r>
      <w:r w:rsidR="00D865C2">
        <w:rPr>
          <w:color w:val="D9D9D9" w:themeColor="background1" w:themeShade="D9"/>
        </w:rPr>
        <w:t xml:space="preserve"> </w:t>
      </w:r>
      <w:r w:rsidRPr="00D865C2">
        <w:rPr>
          <w:b/>
          <w:bCs/>
        </w:rPr>
        <w:t>(</w:t>
      </w:r>
      <w:r w:rsidR="0028765C">
        <w:rPr>
          <w:b/>
          <w:bCs/>
        </w:rPr>
        <w:t>a</w:t>
      </w:r>
      <w:r w:rsidRPr="00D865C2">
        <w:rPr>
          <w:b/>
          <w:bCs/>
        </w:rPr>
        <w:t>)</w:t>
      </w:r>
      <w:r w:rsidRPr="000C5DC1">
        <w:t xml:space="preserve"> Mean OAL [mm] ± standard</w:t>
      </w:r>
      <w:r w:rsidRPr="00290562">
        <w:t xml:space="preserve"> deviation for </w:t>
      </w:r>
      <w:r w:rsidRPr="00D865C2">
        <w:t>each chain</w:t>
      </w:r>
      <w:r w:rsidR="00763468">
        <w:t xml:space="preserve"> (n=19) </w:t>
      </w:r>
      <w:r w:rsidRPr="00D865C2">
        <w:t xml:space="preserve">and sampling timepoint (day number) are shown. </w:t>
      </w:r>
      <w:r w:rsidRPr="00D865C2">
        <w:rPr>
          <w:b/>
          <w:bCs/>
        </w:rPr>
        <w:t>(</w:t>
      </w:r>
      <w:r w:rsidR="0028765C">
        <w:rPr>
          <w:b/>
          <w:bCs/>
        </w:rPr>
        <w:t>b</w:t>
      </w:r>
      <w:r w:rsidRPr="00D865C2">
        <w:rPr>
          <w:b/>
          <w:bCs/>
        </w:rPr>
        <w:t>)</w:t>
      </w:r>
      <w:r w:rsidRPr="00D865C2">
        <w:t xml:space="preserve"> Boxplot of stage dependency according to </w:t>
      </w:r>
      <w:r w:rsidRPr="00D865C2">
        <w:fldChar w:fldCharType="begin" w:fldLock="1"/>
      </w:r>
      <w:r w:rsidRPr="00D865C2">
        <w:instrText>ADDIN CSL_CITATION {"citationItems":[{"id":"ITEM-1","itemData":{"author":[{"dropping-particle":"","family":"Foxton","given":"P.","non-dropping-particle":"","parse-names":false,"suffix":""}],"id":"ITEM-1","issued":{"date-parts":[["1966"]]},"page":"1–116","publisher":"Discovery Reports 34","title":"The distribution and life history of &lt;i&gt;Salpa thompsoni&lt;/i&gt; Foxton with observations on a related species &lt;i&gt;S.gerlachei&lt;/i&gt;, Foxton","type":"chapter"},"uris":["http://www.mendeley.com/documents/?uuid=8c8da551-5d04-4dad-a255-2595d7fcee04"]}],"mendeley":{"formattedCitation":"(Foxton, 1966)","manualFormatting":"Foxton (1966)","plainTextFormattedCitation":"(Foxton, 1966)","previouslyFormattedCitation":"(Foxton, 1966)"},"properties":{"noteIndex":0},"schema":"https://github.com/citation-style-language/schema/raw/master/csl-citation.json"}</w:instrText>
      </w:r>
      <w:r w:rsidRPr="00D865C2">
        <w:fldChar w:fldCharType="separate"/>
      </w:r>
      <w:r w:rsidRPr="00D865C2">
        <w:t>Foxton (1966)</w:t>
      </w:r>
      <w:r w:rsidRPr="00D865C2">
        <w:fldChar w:fldCharType="end"/>
      </w:r>
      <w:r w:rsidRPr="00D865C2">
        <w:t xml:space="preserve"> on OAL [mm]. Colors indicate the numbers of days spent in the kreisel tank (0= immediately after field sampling; 5= after maintenance of 5 days in the kreisel tank).</w:t>
      </w:r>
      <w:r w:rsidR="00D865C2" w:rsidRPr="00D865C2">
        <w:t xml:space="preserve"> </w:t>
      </w:r>
      <w:r w:rsidR="00D865C2" w:rsidRPr="00D865C2">
        <w:rPr>
          <w:b/>
          <w:bCs/>
        </w:rPr>
        <w:t>(</w:t>
      </w:r>
      <w:r w:rsidR="0028765C">
        <w:rPr>
          <w:b/>
          <w:bCs/>
        </w:rPr>
        <w:t>c</w:t>
      </w:r>
      <w:r w:rsidR="00D865C2" w:rsidRPr="00D865C2">
        <w:rPr>
          <w:b/>
          <w:bCs/>
        </w:rPr>
        <w:t>)</w:t>
      </w:r>
      <w:r w:rsidR="00D865C2">
        <w:t xml:space="preserve"> </w:t>
      </w:r>
      <w:r w:rsidR="00D865C2" w:rsidRPr="00D865C2">
        <w:t>Relative g</w:t>
      </w:r>
      <w:r w:rsidR="00C35554" w:rsidRPr="00D865C2">
        <w:t xml:space="preserve">rowth rates </w:t>
      </w:r>
      <w:r w:rsidR="00D865C2" w:rsidRPr="00D865C2">
        <w:t xml:space="preserve">(% per day) </w:t>
      </w:r>
      <w:r w:rsidR="00C35554" w:rsidRPr="00D865C2">
        <w:t>of individuals cross-combined were calculated as a function of initial</w:t>
      </w:r>
      <w:r w:rsidR="00D865C2" w:rsidRPr="00D865C2">
        <w:t xml:space="preserve"> OAL</w:t>
      </w:r>
      <w:r w:rsidR="00C35554" w:rsidRPr="00D865C2">
        <w:t xml:space="preserve">. Different colors indicate the </w:t>
      </w:r>
      <w:r w:rsidR="00D865C2" w:rsidRPr="00D865C2">
        <w:t xml:space="preserve">initial </w:t>
      </w:r>
      <w:r w:rsidR="00C35554" w:rsidRPr="00D865C2">
        <w:t xml:space="preserve">stages according to </w:t>
      </w:r>
      <w:r w:rsidR="00C35554" w:rsidRPr="00D865C2">
        <w:fldChar w:fldCharType="begin" w:fldLock="1"/>
      </w:r>
      <w:r w:rsidR="00C35554" w:rsidRPr="00D865C2">
        <w:instrText>ADDIN CSL_CITATION {"citationItems":[{"id":"ITEM-1","itemData":{"author":[{"dropping-particle":"","family":"Foxton","given":"P.","non-dropping-particle":"","parse-names":false,"suffix":""}],"id":"ITEM-1","issued":{"date-parts":[["1966"]]},"page":"1–116","publisher":"Discovery Reports 34","title":"The distribution and life history of &lt;i&gt;Salpa thompsoni&lt;/i&gt; Foxton with observations on a related species &lt;i&gt;S.gerlachei&lt;/i&gt;, Foxton","type":"chapter"},"uris":["http://www.mendeley.com/documents/?uuid=8c8da551-5d04-4dad-a255-2595d7fcee04"]}],"mendeley":{"formattedCitation":"(Foxton, 1966)","manualFormatting":"Foxton, (1966)","plainTextFormattedCitation":"(Foxton, 1966)"},"properties":{"noteIndex":0},"schema":"https://github.com/citation-style-language/schema/raw/master/csl-citation.json"}</w:instrText>
      </w:r>
      <w:r w:rsidR="00C35554" w:rsidRPr="00D865C2">
        <w:fldChar w:fldCharType="separate"/>
      </w:r>
      <w:r w:rsidR="00C35554" w:rsidRPr="00D865C2">
        <w:t>Foxton (1966)</w:t>
      </w:r>
      <w:r w:rsidR="00C35554" w:rsidRPr="00D865C2">
        <w:fldChar w:fldCharType="end"/>
      </w:r>
      <w:r w:rsidR="00C35554" w:rsidRPr="00D865C2">
        <w:t xml:space="preserve">. </w:t>
      </w:r>
      <w:r w:rsidR="00D865C2" w:rsidRPr="00D865C2">
        <w:rPr>
          <w:b/>
          <w:bCs/>
        </w:rPr>
        <w:t>(</w:t>
      </w:r>
      <w:r w:rsidR="0028765C">
        <w:rPr>
          <w:b/>
          <w:bCs/>
        </w:rPr>
        <w:t>d</w:t>
      </w:r>
      <w:r w:rsidR="00D865C2" w:rsidRPr="00D865C2">
        <w:rPr>
          <w:b/>
          <w:bCs/>
        </w:rPr>
        <w:t>)</w:t>
      </w:r>
      <w:r w:rsidR="00D865C2">
        <w:rPr>
          <w:szCs w:val="20"/>
        </w:rPr>
        <w:t xml:space="preserve"> </w:t>
      </w:r>
      <w:r w:rsidR="00C35554" w:rsidRPr="008D0284">
        <w:rPr>
          <w:szCs w:val="20"/>
        </w:rPr>
        <w:t>Raw (indicated in grey) and mean and standard deviation (indicated in black) of development rates (i.e., the time it takes to transit from one stage to the next</w:t>
      </w:r>
      <w:r w:rsidR="00C35554" w:rsidRPr="008D0284">
        <w:rPr>
          <w:i/>
          <w:iCs/>
          <w:szCs w:val="20"/>
        </w:rPr>
        <w:t>.</w:t>
      </w:r>
      <w:r w:rsidR="00C35554" w:rsidRPr="008D0284">
        <w:rPr>
          <w:szCs w:val="20"/>
        </w:rPr>
        <w:t xml:space="preserve"> The dashed horizontal line marks the putative threshold for the increase/decrease of daily rates.</w:t>
      </w:r>
    </w:p>
    <w:p w:rsidR="009F1230" w:rsidRDefault="0028765C">
      <w:pPr>
        <w:spacing w:before="0" w:after="0"/>
        <w:jc w:val="left"/>
      </w:pPr>
      <w:r>
        <w:br w:type="page"/>
      </w:r>
    </w:p>
    <w:p w:rsidR="00555182" w:rsidRPr="004E6CAD" w:rsidRDefault="004E6CAD" w:rsidP="004E6CAD">
      <w:r>
        <w:rPr>
          <w:noProof/>
          <w14:ligatures w14:val="standardContextual"/>
        </w:rPr>
        <w:lastRenderedPageBreak/>
        <w:drawing>
          <wp:inline distT="0" distB="0" distL="0" distR="0">
            <wp:extent cx="5731510" cy="4450080"/>
            <wp:effectExtent l="0" t="0" r="0" b="0"/>
            <wp:docPr id="263692617"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692617" name="Graphic 263692617"/>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731510" cy="4450080"/>
                    </a:xfrm>
                    <a:prstGeom prst="rect">
                      <a:avLst/>
                    </a:prstGeom>
                  </pic:spPr>
                </pic:pic>
              </a:graphicData>
            </a:graphic>
          </wp:inline>
        </w:drawing>
      </w:r>
    </w:p>
    <w:p w:rsidR="00763468" w:rsidRDefault="00763468" w:rsidP="00763468">
      <w:pPr>
        <w:pStyle w:val="NoSpacing"/>
        <w:rPr>
          <w:i/>
          <w:iCs/>
        </w:rPr>
      </w:pPr>
      <w:r w:rsidRPr="00290562">
        <w:rPr>
          <w:b/>
          <w:bCs/>
        </w:rPr>
        <w:t>Figure S</w:t>
      </w:r>
      <w:r>
        <w:rPr>
          <w:b/>
          <w:bCs/>
        </w:rPr>
        <w:t>4</w:t>
      </w:r>
      <w:r w:rsidRPr="00290562">
        <w:rPr>
          <w:b/>
          <w:bCs/>
        </w:rPr>
        <w:t>. Growth and development</w:t>
      </w:r>
      <w:r>
        <w:rPr>
          <w:b/>
          <w:bCs/>
        </w:rPr>
        <w:t>al</w:t>
      </w:r>
      <w:r w:rsidRPr="00290562">
        <w:rPr>
          <w:b/>
          <w:bCs/>
        </w:rPr>
        <w:t xml:space="preserve"> data of </w:t>
      </w:r>
      <w:r>
        <w:rPr>
          <w:b/>
          <w:bCs/>
        </w:rPr>
        <w:t>blastozooids of</w:t>
      </w:r>
      <w:r w:rsidRPr="00290562">
        <w:rPr>
          <w:b/>
          <w:bCs/>
        </w:rPr>
        <w:t xml:space="preserve"> </w:t>
      </w:r>
      <w:r w:rsidRPr="00290562">
        <w:rPr>
          <w:b/>
          <w:bCs/>
          <w:i/>
          <w:iCs/>
        </w:rPr>
        <w:t>S. fusiformis</w:t>
      </w:r>
      <w:r w:rsidRPr="00290562">
        <w:rPr>
          <w:b/>
          <w:bCs/>
        </w:rPr>
        <w:t xml:space="preserve"> maintained in kreisel tanks</w:t>
      </w:r>
      <w:r w:rsidRPr="00290562">
        <w:rPr>
          <w:b/>
          <w:bCs/>
          <w:i/>
          <w:iCs/>
        </w:rPr>
        <w:t>.</w:t>
      </w:r>
      <w:r w:rsidRPr="00290562">
        <w:rPr>
          <w:i/>
          <w:iCs/>
        </w:rPr>
        <w:t xml:space="preserve"> </w:t>
      </w:r>
    </w:p>
    <w:p w:rsidR="00763468" w:rsidRDefault="00763468" w:rsidP="00763468">
      <w:pPr>
        <w:pStyle w:val="NoSpacing"/>
        <w:rPr>
          <w:szCs w:val="20"/>
        </w:rPr>
      </w:pPr>
      <w:r w:rsidRPr="00D865C2">
        <w:rPr>
          <w:b/>
          <w:bCs/>
        </w:rPr>
        <w:t>(</w:t>
      </w:r>
      <w:r w:rsidR="004E6CAD">
        <w:rPr>
          <w:b/>
          <w:bCs/>
        </w:rPr>
        <w:t>a</w:t>
      </w:r>
      <w:r w:rsidRPr="00D865C2">
        <w:rPr>
          <w:b/>
          <w:bCs/>
        </w:rPr>
        <w:t>)</w:t>
      </w:r>
      <w:r w:rsidRPr="000C5DC1">
        <w:t xml:space="preserve"> Mean OAL [mm] ± standard</w:t>
      </w:r>
      <w:r w:rsidRPr="00290562">
        <w:t xml:space="preserve"> deviation for </w:t>
      </w:r>
      <w:r w:rsidRPr="00D865C2">
        <w:t>each chain</w:t>
      </w:r>
      <w:r>
        <w:t xml:space="preserve"> (n=6)</w:t>
      </w:r>
      <w:r w:rsidRPr="00D865C2">
        <w:t xml:space="preserve"> and sampling timepoint (day number) are shown. </w:t>
      </w:r>
      <w:r w:rsidRPr="00D865C2">
        <w:rPr>
          <w:b/>
          <w:bCs/>
        </w:rPr>
        <w:t>(</w:t>
      </w:r>
      <w:r w:rsidR="004E6CAD">
        <w:rPr>
          <w:b/>
          <w:bCs/>
        </w:rPr>
        <w:t>b</w:t>
      </w:r>
      <w:r w:rsidRPr="00D865C2">
        <w:rPr>
          <w:b/>
          <w:bCs/>
        </w:rPr>
        <w:t>)</w:t>
      </w:r>
      <w:r w:rsidRPr="00D865C2">
        <w:t xml:space="preserve"> Boxplot of stage dependency according to </w:t>
      </w:r>
      <w:r w:rsidRPr="00D865C2">
        <w:fldChar w:fldCharType="begin" w:fldLock="1"/>
      </w:r>
      <w:r w:rsidRPr="00D865C2">
        <w:instrText>ADDIN CSL_CITATION {"citationItems":[{"id":"ITEM-1","itemData":{"author":[{"dropping-particle":"","family":"Foxton","given":"P.","non-dropping-particle":"","parse-names":false,"suffix":""}],"id":"ITEM-1","issued":{"date-parts":[["1966"]]},"page":"1–116","publisher":"Discovery Reports 34","title":"The distribution and life history of &lt;i&gt;Salpa thompsoni&lt;/i&gt; Foxton with observations on a related species &lt;i&gt;S.gerlachei&lt;/i&gt;, Foxton","type":"chapter"},"uris":["http://www.mendeley.com/documents/?uuid=8c8da551-5d04-4dad-a255-2595d7fcee04"]}],"mendeley":{"formattedCitation":"(Foxton, 1966)","manualFormatting":"Foxton (1966)","plainTextFormattedCitation":"(Foxton, 1966)","previouslyFormattedCitation":"(Foxton, 1966)"},"properties":{"noteIndex":0},"schema":"https://github.com/citation-style-language/schema/raw/master/csl-citation.json"}</w:instrText>
      </w:r>
      <w:r w:rsidRPr="00D865C2">
        <w:fldChar w:fldCharType="separate"/>
      </w:r>
      <w:r w:rsidRPr="00D865C2">
        <w:t>Foxton (1966)</w:t>
      </w:r>
      <w:r w:rsidRPr="00D865C2">
        <w:fldChar w:fldCharType="end"/>
      </w:r>
      <w:r w:rsidRPr="00D865C2">
        <w:t xml:space="preserve"> on OAL [mm]. Colors indicate the numbers of days spent in the kreisel tank</w:t>
      </w:r>
      <w:r>
        <w:t xml:space="preserve">. </w:t>
      </w:r>
      <w:r w:rsidRPr="00D865C2">
        <w:rPr>
          <w:b/>
          <w:bCs/>
        </w:rPr>
        <w:t>(</w:t>
      </w:r>
      <w:r w:rsidR="004E6CAD">
        <w:rPr>
          <w:b/>
          <w:bCs/>
        </w:rPr>
        <w:t>c</w:t>
      </w:r>
      <w:r w:rsidRPr="00D865C2">
        <w:rPr>
          <w:b/>
          <w:bCs/>
        </w:rPr>
        <w:t>)</w:t>
      </w:r>
      <w:r>
        <w:t xml:space="preserve"> </w:t>
      </w:r>
      <w:r w:rsidRPr="00D865C2">
        <w:t xml:space="preserve">Relative growth rates (% per day) of individuals cross-combined were calculated as a function of initial OAL. Different colors indicate the initial stages according to </w:t>
      </w:r>
      <w:r w:rsidRPr="00D865C2">
        <w:fldChar w:fldCharType="begin" w:fldLock="1"/>
      </w:r>
      <w:r w:rsidRPr="00D865C2">
        <w:instrText>ADDIN CSL_CITATION {"citationItems":[{"id":"ITEM-1","itemData":{"author":[{"dropping-particle":"","family":"Foxton","given":"P.","non-dropping-particle":"","parse-names":false,"suffix":""}],"id":"ITEM-1","issued":{"date-parts":[["1966"]]},"page":"1–116","publisher":"Discovery Reports 34","title":"The distribution and life history of &lt;i&gt;Salpa thompsoni&lt;/i&gt; Foxton with observations on a related species &lt;i&gt;S.gerlachei&lt;/i&gt;, Foxton","type":"chapter"},"uris":["http://www.mendeley.com/documents/?uuid=8c8da551-5d04-4dad-a255-2595d7fcee04"]}],"mendeley":{"formattedCitation":"(Foxton, 1966)","manualFormatting":"Foxton, (1966)","plainTextFormattedCitation":"(Foxton, 1966)"},"properties":{"noteIndex":0},"schema":"https://github.com/citation-style-language/schema/raw/master/csl-citation.json"}</w:instrText>
      </w:r>
      <w:r w:rsidRPr="00D865C2">
        <w:fldChar w:fldCharType="separate"/>
      </w:r>
      <w:r w:rsidRPr="00D865C2">
        <w:t>Foxton (1966)</w:t>
      </w:r>
      <w:r w:rsidRPr="00D865C2">
        <w:fldChar w:fldCharType="end"/>
      </w:r>
      <w:r w:rsidRPr="00D865C2">
        <w:t xml:space="preserve">. </w:t>
      </w:r>
      <w:r w:rsidRPr="00D865C2">
        <w:rPr>
          <w:b/>
          <w:bCs/>
        </w:rPr>
        <w:t>(</w:t>
      </w:r>
      <w:r w:rsidR="004E6CAD">
        <w:rPr>
          <w:b/>
          <w:bCs/>
        </w:rPr>
        <w:t>d</w:t>
      </w:r>
      <w:r w:rsidRPr="00D865C2">
        <w:rPr>
          <w:b/>
          <w:bCs/>
        </w:rPr>
        <w:t>)</w:t>
      </w:r>
      <w:r>
        <w:rPr>
          <w:szCs w:val="20"/>
        </w:rPr>
        <w:t xml:space="preserve"> </w:t>
      </w:r>
      <w:r w:rsidRPr="00571DD5">
        <w:rPr>
          <w:szCs w:val="20"/>
        </w:rPr>
        <w:t xml:space="preserve">Raw (indicated in grey) and mean and standard deviation (indicated in black) of development rates (i.e., the time it takes to transit from one stage to the next) in relation to mean initial stage (according to </w:t>
      </w:r>
      <w:r w:rsidRPr="00571DD5">
        <w:rPr>
          <w:szCs w:val="20"/>
        </w:rPr>
        <w:fldChar w:fldCharType="begin" w:fldLock="1"/>
      </w:r>
      <w:r w:rsidRPr="00571DD5">
        <w:rPr>
          <w:szCs w:val="20"/>
        </w:rPr>
        <w:instrText>ADDIN CSL_CITATION {"citationItems":[{"id":"ITEM-1","itemData":{"author":[{"dropping-particle":"","family":"Foxton","given":"P.","non-dropping-particle":"","parse-names":false,"suffix":""}],"id":"ITEM-1","issued":{"date-parts":[["1966"]]},"page":"1–116","publisher":"Discovery Reports 34","title":"The distribution and life history of &lt;i&gt;Salpa thompsoni&lt;/i&gt; Foxton with observations on a related species &lt;i&gt;S.gerlachei&lt;/i&gt;, Foxton","type":"chapter"},"uris":["http://www.mendeley.com/documents/?uuid=8c8da551-5d04-4dad-a255-2595d7fcee04"]}],"mendeley":{"formattedCitation":"(Foxton, 1966)","manualFormatting":"Foxton, (1966)","plainTextFormattedCitation":"(Foxton, 1966)"},"properties":{"noteIndex":0},"schema":"https://github.com/citation-style-language/schema/raw/master/csl-citation.json"}</w:instrText>
      </w:r>
      <w:r w:rsidRPr="00571DD5">
        <w:rPr>
          <w:szCs w:val="20"/>
        </w:rPr>
        <w:fldChar w:fldCharType="separate"/>
      </w:r>
      <w:r w:rsidRPr="00571DD5">
        <w:rPr>
          <w:noProof/>
          <w:szCs w:val="20"/>
        </w:rPr>
        <w:t>Foxton (1966)</w:t>
      </w:r>
      <w:r w:rsidRPr="00571DD5">
        <w:rPr>
          <w:szCs w:val="20"/>
        </w:rPr>
        <w:fldChar w:fldCharType="end"/>
      </w:r>
      <w:r w:rsidRPr="00571DD5">
        <w:rPr>
          <w:szCs w:val="20"/>
        </w:rPr>
        <w:t xml:space="preserve">) are shown. For </w:t>
      </w:r>
      <w:r w:rsidR="001638EB">
        <w:rPr>
          <w:szCs w:val="20"/>
        </w:rPr>
        <w:t>blastozooids</w:t>
      </w:r>
      <w:r w:rsidRPr="00571DD5">
        <w:rPr>
          <w:szCs w:val="20"/>
        </w:rPr>
        <w:t xml:space="preserve"> of </w:t>
      </w:r>
      <w:r w:rsidRPr="00571DD5">
        <w:rPr>
          <w:i/>
          <w:iCs/>
          <w:szCs w:val="20"/>
        </w:rPr>
        <w:t>S. fusiformis</w:t>
      </w:r>
      <w:r w:rsidRPr="00571DD5">
        <w:rPr>
          <w:szCs w:val="20"/>
        </w:rPr>
        <w:t>, the developmental rate was calculated considering all stages (solid circle) and neglecting stage 0 (filled circle). The dashed horizontal line marks the putative threshold for the increase/decrease of daily rates.</w:t>
      </w:r>
    </w:p>
    <w:p w:rsidR="00763468" w:rsidRDefault="00763468">
      <w:pPr>
        <w:spacing w:before="0" w:after="0"/>
        <w:jc w:val="left"/>
        <w:rPr>
          <w:sz w:val="20"/>
        </w:rPr>
      </w:pPr>
    </w:p>
    <w:p w:rsidR="00EF7D3F" w:rsidRDefault="00EF7D3F" w:rsidP="00EF7D3F">
      <w:pPr>
        <w:pStyle w:val="NoSpacing"/>
        <w:jc w:val="center"/>
      </w:pPr>
    </w:p>
    <w:p w:rsidR="008B5A79" w:rsidRDefault="008B5A79" w:rsidP="00EF7D3F">
      <w:pPr>
        <w:rPr>
          <w:rFonts w:cs="Times New Roman"/>
          <w:b/>
          <w:bCs/>
          <w:sz w:val="20"/>
          <w:szCs w:val="20"/>
        </w:rPr>
      </w:pPr>
    </w:p>
    <w:p w:rsidR="008B5A79" w:rsidRDefault="008B5A79" w:rsidP="00EF7D3F">
      <w:pPr>
        <w:rPr>
          <w:rFonts w:cs="Times New Roman"/>
          <w:b/>
          <w:bCs/>
          <w:sz w:val="20"/>
          <w:szCs w:val="20"/>
        </w:rPr>
      </w:pPr>
      <w:r>
        <w:rPr>
          <w:rFonts w:cs="Times New Roman"/>
          <w:b/>
          <w:bCs/>
          <w:noProof/>
          <w:sz w:val="20"/>
          <w:szCs w:val="20"/>
          <w14:ligatures w14:val="standardContextual"/>
        </w:rPr>
        <w:lastRenderedPageBreak/>
        <w:drawing>
          <wp:inline distT="0" distB="0" distL="0" distR="0">
            <wp:extent cx="5731510" cy="3180715"/>
            <wp:effectExtent l="0" t="0" r="0" b="0"/>
            <wp:docPr id="1503466760"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466760" name="Graphic 1503466760"/>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731510" cy="3180715"/>
                    </a:xfrm>
                    <a:prstGeom prst="rect">
                      <a:avLst/>
                    </a:prstGeom>
                  </pic:spPr>
                </pic:pic>
              </a:graphicData>
            </a:graphic>
          </wp:inline>
        </w:drawing>
      </w:r>
    </w:p>
    <w:p w:rsidR="00EF7D3F" w:rsidRDefault="00EF7D3F" w:rsidP="00EF7D3F">
      <w:pPr>
        <w:rPr>
          <w:rFonts w:cs="Times New Roman"/>
          <w:sz w:val="20"/>
          <w:szCs w:val="20"/>
        </w:rPr>
      </w:pPr>
      <w:r w:rsidRPr="000D46D4">
        <w:rPr>
          <w:rFonts w:cs="Times New Roman"/>
          <w:b/>
          <w:bCs/>
          <w:sz w:val="20"/>
          <w:szCs w:val="20"/>
        </w:rPr>
        <w:t>Figure S</w:t>
      </w:r>
      <w:r w:rsidR="004E6CAD">
        <w:rPr>
          <w:rFonts w:cs="Times New Roman"/>
          <w:b/>
          <w:bCs/>
          <w:sz w:val="20"/>
          <w:szCs w:val="20"/>
        </w:rPr>
        <w:t>5</w:t>
      </w:r>
      <w:r w:rsidRPr="000D46D4">
        <w:rPr>
          <w:rFonts w:cs="Times New Roman"/>
          <w:b/>
          <w:bCs/>
          <w:sz w:val="20"/>
          <w:szCs w:val="20"/>
        </w:rPr>
        <w:t>. Abundance [</w:t>
      </w:r>
      <w:proofErr w:type="spellStart"/>
      <w:r w:rsidRPr="000D46D4">
        <w:rPr>
          <w:rFonts w:cs="Times New Roman"/>
          <w:b/>
          <w:bCs/>
          <w:sz w:val="20"/>
          <w:szCs w:val="20"/>
        </w:rPr>
        <w:t>indiv</w:t>
      </w:r>
      <w:proofErr w:type="spellEnd"/>
      <w:r w:rsidRPr="000D46D4">
        <w:rPr>
          <w:rFonts w:cs="Times New Roman"/>
          <w:b/>
          <w:bCs/>
          <w:sz w:val="20"/>
          <w:szCs w:val="20"/>
        </w:rPr>
        <w:t>/m</w:t>
      </w:r>
      <w:r w:rsidRPr="000D46D4">
        <w:rPr>
          <w:rFonts w:cs="Times New Roman"/>
          <w:b/>
          <w:bCs/>
          <w:sz w:val="20"/>
          <w:szCs w:val="20"/>
          <w:vertAlign w:val="superscript"/>
        </w:rPr>
        <w:t>3</w:t>
      </w:r>
      <w:r w:rsidRPr="000D46D4">
        <w:rPr>
          <w:rFonts w:cs="Times New Roman"/>
          <w:b/>
          <w:bCs/>
          <w:sz w:val="20"/>
          <w:szCs w:val="20"/>
        </w:rPr>
        <w:t xml:space="preserve">] of salps during salp bloom in Villefranche-sur-Mer (2021) and </w:t>
      </w:r>
      <w:r w:rsidR="00D44700">
        <w:rPr>
          <w:rFonts w:cs="Times New Roman"/>
          <w:b/>
          <w:bCs/>
          <w:sz w:val="20"/>
          <w:szCs w:val="20"/>
        </w:rPr>
        <w:t>cohort analysis</w:t>
      </w:r>
      <w:r w:rsidRPr="000D46D4">
        <w:rPr>
          <w:rFonts w:cs="Times New Roman"/>
          <w:b/>
          <w:bCs/>
          <w:i/>
          <w:iCs/>
          <w:sz w:val="20"/>
          <w:szCs w:val="20"/>
        </w:rPr>
        <w:t>.</w:t>
      </w:r>
      <w:r w:rsidRPr="00D44700">
        <w:rPr>
          <w:rFonts w:cs="Times New Roman"/>
          <w:b/>
          <w:bCs/>
          <w:i/>
          <w:iCs/>
          <w:sz w:val="20"/>
          <w:szCs w:val="20"/>
        </w:rPr>
        <w:t xml:space="preserve"> </w:t>
      </w:r>
      <w:r w:rsidRPr="00D44700">
        <w:rPr>
          <w:rFonts w:cs="Times New Roman"/>
          <w:b/>
          <w:bCs/>
          <w:sz w:val="20"/>
          <w:szCs w:val="20"/>
        </w:rPr>
        <w:t>(</w:t>
      </w:r>
      <w:r w:rsidR="00D44700" w:rsidRPr="00D44700">
        <w:rPr>
          <w:rFonts w:cs="Times New Roman"/>
          <w:b/>
          <w:bCs/>
          <w:sz w:val="20"/>
          <w:szCs w:val="20"/>
        </w:rPr>
        <w:t>a</w:t>
      </w:r>
      <w:r w:rsidRPr="00D44700">
        <w:rPr>
          <w:rFonts w:cs="Times New Roman"/>
          <w:b/>
          <w:bCs/>
          <w:sz w:val="20"/>
          <w:szCs w:val="20"/>
        </w:rPr>
        <w:t>) </w:t>
      </w:r>
      <w:r w:rsidRPr="000D46D4">
        <w:rPr>
          <w:rFonts w:cs="Times New Roman"/>
          <w:sz w:val="20"/>
          <w:szCs w:val="20"/>
        </w:rPr>
        <w:t xml:space="preserve">Abundance is given separately for </w:t>
      </w:r>
      <w:r w:rsidRPr="000D46D4">
        <w:rPr>
          <w:rFonts w:cs="Times New Roman"/>
          <w:i/>
          <w:iCs/>
          <w:sz w:val="20"/>
          <w:szCs w:val="20"/>
        </w:rPr>
        <w:t xml:space="preserve">S. fusiformis </w:t>
      </w:r>
      <w:r w:rsidRPr="000D46D4">
        <w:rPr>
          <w:rFonts w:cs="Times New Roman"/>
          <w:sz w:val="20"/>
          <w:szCs w:val="20"/>
        </w:rPr>
        <w:t xml:space="preserve">and </w:t>
      </w:r>
      <w:r w:rsidRPr="000D46D4">
        <w:rPr>
          <w:rFonts w:cs="Times New Roman"/>
          <w:i/>
          <w:iCs/>
          <w:sz w:val="20"/>
          <w:szCs w:val="20"/>
        </w:rPr>
        <w:t>T. democratica</w:t>
      </w:r>
      <w:r w:rsidRPr="000D46D4">
        <w:rPr>
          <w:rFonts w:cs="Times New Roman"/>
          <w:sz w:val="20"/>
          <w:szCs w:val="20"/>
        </w:rPr>
        <w:t xml:space="preserve"> and both forms, </w:t>
      </w:r>
      <w:r w:rsidR="00D44700">
        <w:rPr>
          <w:rFonts w:cs="Times New Roman"/>
          <w:sz w:val="20"/>
          <w:szCs w:val="20"/>
        </w:rPr>
        <w:t>blastozooids (</w:t>
      </w:r>
      <w:proofErr w:type="spellStart"/>
      <w:r w:rsidR="00D44700">
        <w:rPr>
          <w:rFonts w:cs="Times New Roman"/>
          <w:sz w:val="20"/>
          <w:szCs w:val="20"/>
        </w:rPr>
        <w:t>Bz</w:t>
      </w:r>
      <w:proofErr w:type="spellEnd"/>
      <w:r w:rsidR="00D44700">
        <w:rPr>
          <w:rFonts w:cs="Times New Roman"/>
          <w:sz w:val="20"/>
          <w:szCs w:val="20"/>
        </w:rPr>
        <w:t>)</w:t>
      </w:r>
      <w:r w:rsidRPr="000D46D4">
        <w:rPr>
          <w:rFonts w:cs="Times New Roman"/>
          <w:sz w:val="20"/>
          <w:szCs w:val="20"/>
        </w:rPr>
        <w:t xml:space="preserve"> and </w:t>
      </w:r>
      <w:r w:rsidR="00D44700">
        <w:rPr>
          <w:rFonts w:cs="Times New Roman"/>
          <w:sz w:val="20"/>
          <w:szCs w:val="20"/>
        </w:rPr>
        <w:t>oozoids (Oz)</w:t>
      </w:r>
      <w:r w:rsidRPr="000D46D4">
        <w:rPr>
          <w:rFonts w:cs="Times New Roman"/>
          <w:sz w:val="20"/>
          <w:szCs w:val="20"/>
        </w:rPr>
        <w:t xml:space="preserve">. </w:t>
      </w:r>
      <w:r w:rsidRPr="00D44700">
        <w:rPr>
          <w:rFonts w:cs="Times New Roman"/>
          <w:b/>
          <w:bCs/>
          <w:sz w:val="20"/>
          <w:szCs w:val="20"/>
        </w:rPr>
        <w:t>(</w:t>
      </w:r>
      <w:r w:rsidR="00D44700" w:rsidRPr="00D44700">
        <w:rPr>
          <w:rFonts w:cs="Times New Roman"/>
          <w:b/>
          <w:bCs/>
          <w:sz w:val="20"/>
          <w:szCs w:val="20"/>
        </w:rPr>
        <w:t>b</w:t>
      </w:r>
      <w:r w:rsidRPr="00D44700">
        <w:rPr>
          <w:rFonts w:cs="Times New Roman"/>
          <w:b/>
          <w:bCs/>
          <w:sz w:val="20"/>
          <w:szCs w:val="20"/>
        </w:rPr>
        <w:t>)</w:t>
      </w:r>
      <w:r w:rsidRPr="000D46D4">
        <w:rPr>
          <w:rFonts w:cs="Times New Roman"/>
          <w:sz w:val="20"/>
          <w:szCs w:val="20"/>
        </w:rPr>
        <w:t xml:space="preserve"> Extracted mean OAL [mm] and standard deviation from cohort analysis via mixtools (Benaglia et al., 2009) were used as insert for the calculation of relative </w:t>
      </w:r>
      <w:r w:rsidRPr="000D46D4">
        <w:rPr>
          <w:rFonts w:cs="Times New Roman"/>
          <w:i/>
          <w:iCs/>
          <w:sz w:val="20"/>
          <w:szCs w:val="20"/>
        </w:rPr>
        <w:t>in situ</w:t>
      </w:r>
      <w:r w:rsidRPr="000D46D4">
        <w:rPr>
          <w:rFonts w:cs="Times New Roman"/>
          <w:sz w:val="20"/>
          <w:szCs w:val="20"/>
        </w:rPr>
        <w:t xml:space="preserve"> growth rate.</w:t>
      </w:r>
    </w:p>
    <w:p w:rsidR="000D46D4" w:rsidRPr="00290562" w:rsidRDefault="000D46D4" w:rsidP="002272BF">
      <w:pPr>
        <w:pStyle w:val="NoSpacing"/>
      </w:pPr>
    </w:p>
    <w:p w:rsidR="000D46D4" w:rsidRPr="00290562" w:rsidRDefault="000D46D4" w:rsidP="000D46D4">
      <w:pPr>
        <w:pStyle w:val="NoSpacing"/>
        <w:jc w:val="center"/>
      </w:pPr>
    </w:p>
    <w:p w:rsidR="000D46D4" w:rsidRDefault="000D46D4" w:rsidP="000D46D4">
      <w:pPr>
        <w:pStyle w:val="NoSpacing"/>
        <w:jc w:val="center"/>
      </w:pPr>
    </w:p>
    <w:p w:rsidR="00493028" w:rsidRDefault="00493028" w:rsidP="000D46D4">
      <w:pPr>
        <w:pStyle w:val="NoSpacing"/>
        <w:jc w:val="center"/>
      </w:pPr>
    </w:p>
    <w:p w:rsidR="00493028" w:rsidRDefault="00493028" w:rsidP="000D46D4">
      <w:pPr>
        <w:pStyle w:val="NoSpacing"/>
        <w:jc w:val="center"/>
      </w:pPr>
    </w:p>
    <w:p w:rsidR="00493028" w:rsidRDefault="00493028" w:rsidP="000D46D4">
      <w:pPr>
        <w:pStyle w:val="NoSpacing"/>
        <w:jc w:val="center"/>
      </w:pPr>
    </w:p>
    <w:p w:rsidR="00493028" w:rsidRDefault="00493028" w:rsidP="000D46D4">
      <w:pPr>
        <w:pStyle w:val="NoSpacing"/>
        <w:jc w:val="center"/>
      </w:pPr>
    </w:p>
    <w:p w:rsidR="00493028" w:rsidRPr="00290562" w:rsidRDefault="00493028" w:rsidP="000D46D4">
      <w:pPr>
        <w:pStyle w:val="NoSpacing"/>
        <w:jc w:val="center"/>
      </w:pPr>
    </w:p>
    <w:p w:rsidR="000D46D4" w:rsidRPr="00290562" w:rsidRDefault="000D46D4" w:rsidP="000D46D4">
      <w:pPr>
        <w:pStyle w:val="NoSpacing"/>
      </w:pPr>
    </w:p>
    <w:p w:rsidR="002272BF" w:rsidRDefault="002272BF" w:rsidP="000D46D4">
      <w:pPr>
        <w:rPr>
          <w:b/>
          <w:bCs/>
          <w:sz w:val="20"/>
          <w:szCs w:val="20"/>
        </w:rPr>
      </w:pPr>
      <w:r>
        <w:rPr>
          <w:b/>
          <w:bCs/>
          <w:noProof/>
          <w:sz w:val="20"/>
          <w:szCs w:val="20"/>
          <w14:ligatures w14:val="standardContextual"/>
        </w:rPr>
        <w:drawing>
          <wp:inline distT="0" distB="0" distL="0" distR="0">
            <wp:extent cx="5731510" cy="2225040"/>
            <wp:effectExtent l="0" t="0" r="0" b="0"/>
            <wp:docPr id="286288883"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288883" name="Graphic 286288883"/>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731510" cy="2225040"/>
                    </a:xfrm>
                    <a:prstGeom prst="rect">
                      <a:avLst/>
                    </a:prstGeom>
                  </pic:spPr>
                </pic:pic>
              </a:graphicData>
            </a:graphic>
          </wp:inline>
        </w:drawing>
      </w:r>
    </w:p>
    <w:p w:rsidR="002272BF" w:rsidRDefault="002272BF" w:rsidP="000D46D4">
      <w:pPr>
        <w:rPr>
          <w:b/>
          <w:bCs/>
          <w:sz w:val="20"/>
          <w:szCs w:val="20"/>
        </w:rPr>
      </w:pPr>
    </w:p>
    <w:p w:rsidR="000D46D4" w:rsidRDefault="000D46D4" w:rsidP="000D46D4">
      <w:pPr>
        <w:rPr>
          <w:sz w:val="20"/>
          <w:szCs w:val="20"/>
        </w:rPr>
      </w:pPr>
      <w:r w:rsidRPr="000D46D4">
        <w:rPr>
          <w:b/>
          <w:bCs/>
          <w:sz w:val="20"/>
          <w:szCs w:val="20"/>
        </w:rPr>
        <w:t>Figure S</w:t>
      </w:r>
      <w:r w:rsidR="002272BF">
        <w:rPr>
          <w:b/>
          <w:bCs/>
          <w:sz w:val="20"/>
          <w:szCs w:val="20"/>
        </w:rPr>
        <w:t>6</w:t>
      </w:r>
      <w:r w:rsidRPr="000D46D4">
        <w:rPr>
          <w:b/>
          <w:bCs/>
          <w:sz w:val="20"/>
          <w:szCs w:val="20"/>
        </w:rPr>
        <w:t xml:space="preserve">. Growth and developmental data of </w:t>
      </w:r>
      <w:r w:rsidR="002B7C6A">
        <w:rPr>
          <w:b/>
          <w:bCs/>
          <w:sz w:val="20"/>
          <w:szCs w:val="20"/>
        </w:rPr>
        <w:t>oozoids</w:t>
      </w:r>
      <w:r w:rsidRPr="000D46D4">
        <w:rPr>
          <w:b/>
          <w:bCs/>
          <w:sz w:val="20"/>
          <w:szCs w:val="20"/>
        </w:rPr>
        <w:t xml:space="preserve"> of </w:t>
      </w:r>
      <w:r w:rsidRPr="000D46D4">
        <w:rPr>
          <w:b/>
          <w:bCs/>
          <w:i/>
          <w:iCs/>
          <w:sz w:val="20"/>
          <w:szCs w:val="20"/>
        </w:rPr>
        <w:t>S. fusiformis</w:t>
      </w:r>
      <w:r w:rsidRPr="000D46D4">
        <w:rPr>
          <w:b/>
          <w:bCs/>
          <w:sz w:val="20"/>
          <w:szCs w:val="20"/>
        </w:rPr>
        <w:t xml:space="preserve"> maintained in kreisel tank</w:t>
      </w:r>
      <w:r w:rsidRPr="000D46D4">
        <w:rPr>
          <w:b/>
          <w:bCs/>
          <w:i/>
          <w:iCs/>
          <w:sz w:val="20"/>
          <w:szCs w:val="20"/>
        </w:rPr>
        <w:t>.</w:t>
      </w:r>
      <w:r w:rsidRPr="000D46D4">
        <w:rPr>
          <w:i/>
          <w:iCs/>
          <w:sz w:val="20"/>
          <w:szCs w:val="20"/>
        </w:rPr>
        <w:t xml:space="preserve"> </w:t>
      </w:r>
      <w:r w:rsidRPr="000D46D4">
        <w:rPr>
          <w:sz w:val="20"/>
          <w:szCs w:val="20"/>
        </w:rPr>
        <w:t>(</w:t>
      </w:r>
      <w:r w:rsidR="002B7C6A">
        <w:rPr>
          <w:sz w:val="20"/>
          <w:szCs w:val="20"/>
        </w:rPr>
        <w:t>a</w:t>
      </w:r>
      <w:r w:rsidRPr="000D46D4">
        <w:rPr>
          <w:sz w:val="20"/>
          <w:szCs w:val="20"/>
        </w:rPr>
        <w:t>) Mean OAL [mm] ± standard deviation for each group of sampled solitaries (n=6) and sampling timepoint (day number) are shown. (</w:t>
      </w:r>
      <w:r w:rsidR="002B7C6A">
        <w:rPr>
          <w:sz w:val="20"/>
          <w:szCs w:val="20"/>
        </w:rPr>
        <w:t>b</w:t>
      </w:r>
      <w:r w:rsidRPr="000D46D4">
        <w:rPr>
          <w:sz w:val="20"/>
          <w:szCs w:val="20"/>
        </w:rPr>
        <w:t xml:space="preserve">) Boxplot of stage dependency according to </w:t>
      </w:r>
      <w:r w:rsidRPr="000D46D4">
        <w:rPr>
          <w:sz w:val="20"/>
          <w:szCs w:val="20"/>
        </w:rPr>
        <w:fldChar w:fldCharType="begin" w:fldLock="1"/>
      </w:r>
      <w:r w:rsidRPr="000D46D4">
        <w:rPr>
          <w:sz w:val="20"/>
          <w:szCs w:val="20"/>
        </w:rPr>
        <w:instrText>ADDIN CSL_CITATION {"citationItems":[{"id":"ITEM-1","itemData":{"author":[{"dropping-particle":"","family":"Foxton","given":"P.","non-dropping-particle":"","parse-names":false,"suffix":""}],"id":"ITEM-1","issued":{"date-parts":[["1966"]]},"page":"1–116","publisher":"Discovery Reports 34","title":"The distribution and life history of &lt;i&gt;Salpa thompsoni&lt;/i&gt; Foxton with observations on a related species &lt;i&gt;S.gerlachei&lt;/i&gt;, Foxton","type":"chapter"},"uris":["http://www.mendeley.com/documents/?uuid=8c8da551-5d04-4dad-a255-2595d7fcee04"]}],"mendeley":{"formattedCitation":"(Foxton, 1966)","manualFormatting":"Foxton (1966)","plainTextFormattedCitation":"(Foxton, 1966)","previouslyFormattedCitation":"(Foxton, 1966)"},"properties":{"noteIndex":0},"schema":"https://github.com/citation-style-language/schema/raw/master/csl-citation.json"}</w:instrText>
      </w:r>
      <w:r w:rsidRPr="000D46D4">
        <w:rPr>
          <w:sz w:val="20"/>
          <w:szCs w:val="20"/>
        </w:rPr>
        <w:fldChar w:fldCharType="separate"/>
      </w:r>
      <w:r w:rsidRPr="000D46D4">
        <w:rPr>
          <w:noProof/>
          <w:sz w:val="20"/>
          <w:szCs w:val="20"/>
        </w:rPr>
        <w:t>Foxton (1966)</w:t>
      </w:r>
      <w:r w:rsidRPr="000D46D4">
        <w:rPr>
          <w:sz w:val="20"/>
          <w:szCs w:val="20"/>
        </w:rPr>
        <w:fldChar w:fldCharType="end"/>
      </w:r>
      <w:r w:rsidRPr="000D46D4">
        <w:rPr>
          <w:sz w:val="20"/>
          <w:szCs w:val="20"/>
        </w:rPr>
        <w:t xml:space="preserve"> on OAL [mm]. Colors indicate numbers of days spent in the kreisel tank. </w:t>
      </w:r>
    </w:p>
    <w:p w:rsidR="009462F8" w:rsidRPr="009462F8" w:rsidRDefault="009462F8">
      <w:pPr>
        <w:rPr>
          <w:sz w:val="20"/>
          <w:szCs w:val="20"/>
        </w:rPr>
      </w:pPr>
    </w:p>
    <w:sectPr w:rsidR="009462F8" w:rsidRPr="009462F8">
      <w:footerReference w:type="even"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41F7" w:rsidRDefault="003841F7" w:rsidP="00E8122A">
      <w:pPr>
        <w:spacing w:before="0" w:after="0"/>
      </w:pPr>
      <w:r>
        <w:separator/>
      </w:r>
    </w:p>
  </w:endnote>
  <w:endnote w:type="continuationSeparator" w:id="0">
    <w:p w:rsidR="003841F7" w:rsidRDefault="003841F7" w:rsidP="00E8122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92341271"/>
      <w:docPartObj>
        <w:docPartGallery w:val="Page Numbers (Bottom of Page)"/>
        <w:docPartUnique/>
      </w:docPartObj>
    </w:sdtPr>
    <w:sdtContent>
      <w:p w:rsidR="00E8122A" w:rsidRDefault="00E8122A" w:rsidP="00343A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E8122A" w:rsidRDefault="00E8122A" w:rsidP="00E812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954052"/>
      <w:docPartObj>
        <w:docPartGallery w:val="Page Numbers (Bottom of Page)"/>
        <w:docPartUnique/>
      </w:docPartObj>
    </w:sdtPr>
    <w:sdtContent>
      <w:p w:rsidR="00E8122A" w:rsidRDefault="00E8122A" w:rsidP="00343A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E8122A" w:rsidRDefault="00E8122A" w:rsidP="00E812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41F7" w:rsidRDefault="003841F7" w:rsidP="00E8122A">
      <w:pPr>
        <w:spacing w:before="0" w:after="0"/>
      </w:pPr>
      <w:r>
        <w:separator/>
      </w:r>
    </w:p>
  </w:footnote>
  <w:footnote w:type="continuationSeparator" w:id="0">
    <w:p w:rsidR="003841F7" w:rsidRDefault="003841F7" w:rsidP="00E8122A">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28D"/>
    <w:rsid w:val="000060EC"/>
    <w:rsid w:val="000116F5"/>
    <w:rsid w:val="00021E1D"/>
    <w:rsid w:val="000220C3"/>
    <w:rsid w:val="000351FD"/>
    <w:rsid w:val="00043217"/>
    <w:rsid w:val="00056279"/>
    <w:rsid w:val="00073024"/>
    <w:rsid w:val="00076A1E"/>
    <w:rsid w:val="00090D0A"/>
    <w:rsid w:val="00094E54"/>
    <w:rsid w:val="0009535C"/>
    <w:rsid w:val="000A4742"/>
    <w:rsid w:val="000B5277"/>
    <w:rsid w:val="000C1E71"/>
    <w:rsid w:val="000D2EA9"/>
    <w:rsid w:val="000D46D4"/>
    <w:rsid w:val="00105CFD"/>
    <w:rsid w:val="00124883"/>
    <w:rsid w:val="0013265F"/>
    <w:rsid w:val="00142BD2"/>
    <w:rsid w:val="00157A1B"/>
    <w:rsid w:val="00161585"/>
    <w:rsid w:val="001638EB"/>
    <w:rsid w:val="00164563"/>
    <w:rsid w:val="00182C10"/>
    <w:rsid w:val="001D12DA"/>
    <w:rsid w:val="001D160C"/>
    <w:rsid w:val="001D560E"/>
    <w:rsid w:val="001E4445"/>
    <w:rsid w:val="001E4E54"/>
    <w:rsid w:val="001F3F76"/>
    <w:rsid w:val="002165CD"/>
    <w:rsid w:val="002272BF"/>
    <w:rsid w:val="00233976"/>
    <w:rsid w:val="00240585"/>
    <w:rsid w:val="00242353"/>
    <w:rsid w:val="00242F3E"/>
    <w:rsid w:val="002464A0"/>
    <w:rsid w:val="00246C8C"/>
    <w:rsid w:val="0024762C"/>
    <w:rsid w:val="002504F8"/>
    <w:rsid w:val="00255181"/>
    <w:rsid w:val="0026171B"/>
    <w:rsid w:val="00261C9A"/>
    <w:rsid w:val="00264675"/>
    <w:rsid w:val="00264FDA"/>
    <w:rsid w:val="002708A2"/>
    <w:rsid w:val="00272D18"/>
    <w:rsid w:val="0028083E"/>
    <w:rsid w:val="0028765C"/>
    <w:rsid w:val="00293257"/>
    <w:rsid w:val="002A291C"/>
    <w:rsid w:val="002B3422"/>
    <w:rsid w:val="002B7C6A"/>
    <w:rsid w:val="002D1674"/>
    <w:rsid w:val="002D4266"/>
    <w:rsid w:val="002E6B3F"/>
    <w:rsid w:val="002F6E8A"/>
    <w:rsid w:val="0032197C"/>
    <w:rsid w:val="0033137F"/>
    <w:rsid w:val="00344D53"/>
    <w:rsid w:val="00353900"/>
    <w:rsid w:val="003566A5"/>
    <w:rsid w:val="00372D6E"/>
    <w:rsid w:val="003768B7"/>
    <w:rsid w:val="003841F7"/>
    <w:rsid w:val="00384B46"/>
    <w:rsid w:val="00395503"/>
    <w:rsid w:val="003A23FB"/>
    <w:rsid w:val="003B34A8"/>
    <w:rsid w:val="003C14D4"/>
    <w:rsid w:val="003C6A45"/>
    <w:rsid w:val="003D0EDE"/>
    <w:rsid w:val="003D11BE"/>
    <w:rsid w:val="003D4560"/>
    <w:rsid w:val="003D4A13"/>
    <w:rsid w:val="003F595E"/>
    <w:rsid w:val="004125E1"/>
    <w:rsid w:val="00413A27"/>
    <w:rsid w:val="0042579B"/>
    <w:rsid w:val="0042666B"/>
    <w:rsid w:val="00432E32"/>
    <w:rsid w:val="00434437"/>
    <w:rsid w:val="00440BD7"/>
    <w:rsid w:val="00446DFD"/>
    <w:rsid w:val="00473AD4"/>
    <w:rsid w:val="004806FD"/>
    <w:rsid w:val="0049142C"/>
    <w:rsid w:val="00493028"/>
    <w:rsid w:val="004A586E"/>
    <w:rsid w:val="004B19FE"/>
    <w:rsid w:val="004B72F4"/>
    <w:rsid w:val="004C5509"/>
    <w:rsid w:val="004C7213"/>
    <w:rsid w:val="004D3A2C"/>
    <w:rsid w:val="004E6CAD"/>
    <w:rsid w:val="004F2F02"/>
    <w:rsid w:val="0051552C"/>
    <w:rsid w:val="00542865"/>
    <w:rsid w:val="00544AA0"/>
    <w:rsid w:val="00547D2B"/>
    <w:rsid w:val="00553C30"/>
    <w:rsid w:val="00555182"/>
    <w:rsid w:val="00560BED"/>
    <w:rsid w:val="0056204D"/>
    <w:rsid w:val="0056223F"/>
    <w:rsid w:val="0056332E"/>
    <w:rsid w:val="00564081"/>
    <w:rsid w:val="00571DD5"/>
    <w:rsid w:val="005A1680"/>
    <w:rsid w:val="005A16DF"/>
    <w:rsid w:val="005A23E1"/>
    <w:rsid w:val="005A415D"/>
    <w:rsid w:val="005A4D39"/>
    <w:rsid w:val="005B5AFC"/>
    <w:rsid w:val="005D22B5"/>
    <w:rsid w:val="005F6C8C"/>
    <w:rsid w:val="006033CD"/>
    <w:rsid w:val="006052B2"/>
    <w:rsid w:val="00607E57"/>
    <w:rsid w:val="0062421A"/>
    <w:rsid w:val="006306B5"/>
    <w:rsid w:val="006313D4"/>
    <w:rsid w:val="00631F91"/>
    <w:rsid w:val="00685210"/>
    <w:rsid w:val="006A5DB9"/>
    <w:rsid w:val="006B3EA9"/>
    <w:rsid w:val="006C19FB"/>
    <w:rsid w:val="006D3C8E"/>
    <w:rsid w:val="006E19CD"/>
    <w:rsid w:val="006E1AAF"/>
    <w:rsid w:val="006E2D0B"/>
    <w:rsid w:val="006E2D7D"/>
    <w:rsid w:val="006E59D1"/>
    <w:rsid w:val="006E65EB"/>
    <w:rsid w:val="006F12CA"/>
    <w:rsid w:val="00700789"/>
    <w:rsid w:val="00705E5F"/>
    <w:rsid w:val="00723910"/>
    <w:rsid w:val="007264D9"/>
    <w:rsid w:val="0073698F"/>
    <w:rsid w:val="00756C79"/>
    <w:rsid w:val="00763468"/>
    <w:rsid w:val="00764CBA"/>
    <w:rsid w:val="007658ED"/>
    <w:rsid w:val="00766BC4"/>
    <w:rsid w:val="0079050E"/>
    <w:rsid w:val="00794915"/>
    <w:rsid w:val="00796639"/>
    <w:rsid w:val="007B14C8"/>
    <w:rsid w:val="007C0AC4"/>
    <w:rsid w:val="007E7366"/>
    <w:rsid w:val="00802CC9"/>
    <w:rsid w:val="00803A15"/>
    <w:rsid w:val="00814EB8"/>
    <w:rsid w:val="00820151"/>
    <w:rsid w:val="00820504"/>
    <w:rsid w:val="00824767"/>
    <w:rsid w:val="00840176"/>
    <w:rsid w:val="0085440A"/>
    <w:rsid w:val="00857A36"/>
    <w:rsid w:val="0086147B"/>
    <w:rsid w:val="00865AC9"/>
    <w:rsid w:val="008A0C05"/>
    <w:rsid w:val="008B168F"/>
    <w:rsid w:val="008B4D52"/>
    <w:rsid w:val="008B5269"/>
    <w:rsid w:val="008B5A79"/>
    <w:rsid w:val="008D0284"/>
    <w:rsid w:val="008D62F8"/>
    <w:rsid w:val="008E2E28"/>
    <w:rsid w:val="008E58F6"/>
    <w:rsid w:val="008F47EF"/>
    <w:rsid w:val="008F6AF4"/>
    <w:rsid w:val="00901A23"/>
    <w:rsid w:val="009057CF"/>
    <w:rsid w:val="009122D6"/>
    <w:rsid w:val="00923B89"/>
    <w:rsid w:val="00925BA1"/>
    <w:rsid w:val="00926E1F"/>
    <w:rsid w:val="009302DD"/>
    <w:rsid w:val="00930BA5"/>
    <w:rsid w:val="009419C5"/>
    <w:rsid w:val="009431E9"/>
    <w:rsid w:val="009436F3"/>
    <w:rsid w:val="009462F8"/>
    <w:rsid w:val="0096308A"/>
    <w:rsid w:val="00964706"/>
    <w:rsid w:val="00964A7B"/>
    <w:rsid w:val="00964B7D"/>
    <w:rsid w:val="0097154F"/>
    <w:rsid w:val="00971BCC"/>
    <w:rsid w:val="00993C93"/>
    <w:rsid w:val="009A0853"/>
    <w:rsid w:val="009B09AE"/>
    <w:rsid w:val="009C7460"/>
    <w:rsid w:val="009E1822"/>
    <w:rsid w:val="009F1230"/>
    <w:rsid w:val="00A10EF0"/>
    <w:rsid w:val="00A120E6"/>
    <w:rsid w:val="00A1291D"/>
    <w:rsid w:val="00A3157D"/>
    <w:rsid w:val="00A31FA6"/>
    <w:rsid w:val="00A358C7"/>
    <w:rsid w:val="00A40B50"/>
    <w:rsid w:val="00A4317B"/>
    <w:rsid w:val="00A4412D"/>
    <w:rsid w:val="00A45E1A"/>
    <w:rsid w:val="00A61F42"/>
    <w:rsid w:val="00A833BF"/>
    <w:rsid w:val="00A84579"/>
    <w:rsid w:val="00A958EF"/>
    <w:rsid w:val="00A97ECD"/>
    <w:rsid w:val="00AA0CF1"/>
    <w:rsid w:val="00AA70F3"/>
    <w:rsid w:val="00AB1995"/>
    <w:rsid w:val="00AD1AA2"/>
    <w:rsid w:val="00AD6B23"/>
    <w:rsid w:val="00AE0968"/>
    <w:rsid w:val="00AE1BD1"/>
    <w:rsid w:val="00AF55C3"/>
    <w:rsid w:val="00B04805"/>
    <w:rsid w:val="00B31B62"/>
    <w:rsid w:val="00B41933"/>
    <w:rsid w:val="00B41962"/>
    <w:rsid w:val="00B419F7"/>
    <w:rsid w:val="00B45D27"/>
    <w:rsid w:val="00B54398"/>
    <w:rsid w:val="00B65403"/>
    <w:rsid w:val="00B67D28"/>
    <w:rsid w:val="00B77580"/>
    <w:rsid w:val="00B9243A"/>
    <w:rsid w:val="00B93F06"/>
    <w:rsid w:val="00BB07DB"/>
    <w:rsid w:val="00BB2FEA"/>
    <w:rsid w:val="00BB7B9C"/>
    <w:rsid w:val="00BC1B08"/>
    <w:rsid w:val="00BC323D"/>
    <w:rsid w:val="00BD6AEF"/>
    <w:rsid w:val="00BE27B0"/>
    <w:rsid w:val="00BE3D23"/>
    <w:rsid w:val="00BF26F6"/>
    <w:rsid w:val="00BF275D"/>
    <w:rsid w:val="00BF7A23"/>
    <w:rsid w:val="00C00782"/>
    <w:rsid w:val="00C07BDF"/>
    <w:rsid w:val="00C10C97"/>
    <w:rsid w:val="00C165F5"/>
    <w:rsid w:val="00C20757"/>
    <w:rsid w:val="00C35554"/>
    <w:rsid w:val="00C66070"/>
    <w:rsid w:val="00C66A55"/>
    <w:rsid w:val="00CA3C00"/>
    <w:rsid w:val="00CA6A4A"/>
    <w:rsid w:val="00CB58DD"/>
    <w:rsid w:val="00CC2FC7"/>
    <w:rsid w:val="00CC5916"/>
    <w:rsid w:val="00CD373E"/>
    <w:rsid w:val="00CE3FBA"/>
    <w:rsid w:val="00CE59A7"/>
    <w:rsid w:val="00D030E9"/>
    <w:rsid w:val="00D10123"/>
    <w:rsid w:val="00D233F1"/>
    <w:rsid w:val="00D36587"/>
    <w:rsid w:val="00D42369"/>
    <w:rsid w:val="00D44700"/>
    <w:rsid w:val="00D467E2"/>
    <w:rsid w:val="00D5153C"/>
    <w:rsid w:val="00D62447"/>
    <w:rsid w:val="00D71039"/>
    <w:rsid w:val="00D865C2"/>
    <w:rsid w:val="00D87322"/>
    <w:rsid w:val="00DE7F84"/>
    <w:rsid w:val="00DF185D"/>
    <w:rsid w:val="00DF41E0"/>
    <w:rsid w:val="00E33EDF"/>
    <w:rsid w:val="00E53E1B"/>
    <w:rsid w:val="00E61406"/>
    <w:rsid w:val="00E71443"/>
    <w:rsid w:val="00E7228D"/>
    <w:rsid w:val="00E74E71"/>
    <w:rsid w:val="00E8122A"/>
    <w:rsid w:val="00EB6EA7"/>
    <w:rsid w:val="00EC287F"/>
    <w:rsid w:val="00EC4AA8"/>
    <w:rsid w:val="00EE588E"/>
    <w:rsid w:val="00EF2BC4"/>
    <w:rsid w:val="00EF7D3F"/>
    <w:rsid w:val="00F01276"/>
    <w:rsid w:val="00F02688"/>
    <w:rsid w:val="00F07995"/>
    <w:rsid w:val="00F07A28"/>
    <w:rsid w:val="00F1328C"/>
    <w:rsid w:val="00F20B51"/>
    <w:rsid w:val="00F2438A"/>
    <w:rsid w:val="00F507FC"/>
    <w:rsid w:val="00F5274D"/>
    <w:rsid w:val="00F56D10"/>
    <w:rsid w:val="00F70EFE"/>
    <w:rsid w:val="00F73482"/>
    <w:rsid w:val="00FB010E"/>
    <w:rsid w:val="00FB75D6"/>
    <w:rsid w:val="00FD3874"/>
    <w:rsid w:val="00FE02FE"/>
    <w:rsid w:val="00FE39CF"/>
    <w:rsid w:val="00FE73A5"/>
    <w:rsid w:val="00FF33A1"/>
    <w:rsid w:val="00FF418F"/>
    <w:rsid w:val="00FF52FC"/>
    <w:rsid w:val="00FF7981"/>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111E5"/>
  <w15:chartTrackingRefBased/>
  <w15:docId w15:val="{F3EAA2E1-DA75-F646-88B0-82F656DBE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28D"/>
    <w:pPr>
      <w:spacing w:before="120" w:after="120"/>
      <w:jc w:val="both"/>
    </w:pPr>
    <w:rPr>
      <w:rFonts w:ascii="Times New Roman" w:hAnsi="Times New Roman"/>
      <w:kern w:val="0"/>
      <w:lang w:val="en-US"/>
      <w14:ligatures w14:val="none"/>
    </w:rPr>
  </w:style>
  <w:style w:type="paragraph" w:styleId="Heading1">
    <w:name w:val="heading 1"/>
    <w:basedOn w:val="Normal"/>
    <w:next w:val="Normal"/>
    <w:link w:val="Heading1Char"/>
    <w:uiPriority w:val="9"/>
    <w:qFormat/>
    <w:rsid w:val="00E7228D"/>
    <w:pPr>
      <w:keepNext/>
      <w:keepLines/>
      <w:spacing w:before="240"/>
      <w:outlineLvl w:val="0"/>
    </w:pPr>
    <w:rPr>
      <w:rFonts w:eastAsiaTheme="majorEastAsia" w:cstheme="majorBidi"/>
      <w:b/>
      <w:color w:val="000000" w:themeColor="text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28D"/>
    <w:rPr>
      <w:rFonts w:ascii="Times New Roman" w:eastAsiaTheme="majorEastAsia" w:hAnsi="Times New Roman" w:cstheme="majorBidi"/>
      <w:b/>
      <w:color w:val="000000" w:themeColor="text1"/>
      <w:kern w:val="0"/>
      <w:sz w:val="32"/>
      <w:szCs w:val="32"/>
      <w:lang w:val="en-US"/>
      <w14:ligatures w14:val="none"/>
    </w:rPr>
  </w:style>
  <w:style w:type="paragraph" w:styleId="Footer">
    <w:name w:val="footer"/>
    <w:basedOn w:val="Normal"/>
    <w:link w:val="FooterChar"/>
    <w:uiPriority w:val="99"/>
    <w:unhideWhenUsed/>
    <w:rsid w:val="00E8122A"/>
    <w:pPr>
      <w:tabs>
        <w:tab w:val="center" w:pos="4513"/>
        <w:tab w:val="right" w:pos="9026"/>
      </w:tabs>
      <w:spacing w:before="0" w:after="0"/>
    </w:pPr>
  </w:style>
  <w:style w:type="character" w:customStyle="1" w:styleId="FooterChar">
    <w:name w:val="Footer Char"/>
    <w:basedOn w:val="DefaultParagraphFont"/>
    <w:link w:val="Footer"/>
    <w:uiPriority w:val="99"/>
    <w:rsid w:val="00E8122A"/>
    <w:rPr>
      <w:rFonts w:ascii="Times New Roman" w:hAnsi="Times New Roman"/>
      <w:kern w:val="0"/>
      <w:lang w:val="en-US"/>
      <w14:ligatures w14:val="none"/>
    </w:rPr>
  </w:style>
  <w:style w:type="character" w:styleId="PageNumber">
    <w:name w:val="page number"/>
    <w:basedOn w:val="DefaultParagraphFont"/>
    <w:uiPriority w:val="99"/>
    <w:semiHidden/>
    <w:unhideWhenUsed/>
    <w:rsid w:val="00E8122A"/>
  </w:style>
  <w:style w:type="paragraph" w:styleId="NoSpacing">
    <w:name w:val="No Spacing"/>
    <w:uiPriority w:val="1"/>
    <w:qFormat/>
    <w:rsid w:val="00D10123"/>
    <w:pPr>
      <w:jc w:val="both"/>
    </w:pPr>
    <w:rPr>
      <w:rFonts w:ascii="Times New Roman" w:hAnsi="Times New Roman"/>
      <w:kern w:val="0"/>
      <w:sz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2704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image" Target="media/image7.sv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sv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sv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4</Pages>
  <Words>1290</Words>
  <Characters>7358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svenja.j.mueller@gmail.com</dc:creator>
  <cp:keywords/>
  <dc:description/>
  <cp:lastModifiedBy>svenja.j.mueller@gmail.com</cp:lastModifiedBy>
  <cp:revision>63</cp:revision>
  <dcterms:created xsi:type="dcterms:W3CDTF">2023-06-07T10:42:00Z</dcterms:created>
  <dcterms:modified xsi:type="dcterms:W3CDTF">2024-01-24T13:53:00Z</dcterms:modified>
</cp:coreProperties>
</file>