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BC9A" w14:textId="45547F61" w:rsidR="00761074" w:rsidRPr="00761074" w:rsidRDefault="00761074" w:rsidP="00813237">
      <w:pPr>
        <w:spacing w:line="480" w:lineRule="auto"/>
        <w:jc w:val="both"/>
        <w:rPr>
          <w:b/>
          <w:noProof/>
          <w:u w:val="single"/>
          <w:lang w:val="en-US"/>
        </w:rPr>
      </w:pPr>
      <w:r w:rsidRPr="00761074">
        <w:rPr>
          <w:b/>
          <w:noProof/>
          <w:u w:val="single"/>
          <w:lang w:val="en-US"/>
        </w:rPr>
        <w:t>Supplementary appendixes</w:t>
      </w:r>
    </w:p>
    <w:p w14:paraId="5E46AE6F" w14:textId="77777777" w:rsidR="00761074" w:rsidRDefault="00761074" w:rsidP="00813237">
      <w:pPr>
        <w:spacing w:line="480" w:lineRule="auto"/>
        <w:jc w:val="both"/>
        <w:rPr>
          <w:b/>
          <w:noProof/>
          <w:lang w:val="en-US"/>
        </w:rPr>
      </w:pPr>
    </w:p>
    <w:p w14:paraId="61C384E9" w14:textId="049E58BC" w:rsidR="00813237" w:rsidRPr="00DE3D42" w:rsidRDefault="000A7DB3" w:rsidP="00813237">
      <w:pPr>
        <w:spacing w:line="480" w:lineRule="auto"/>
        <w:jc w:val="both"/>
        <w:rPr>
          <w:b/>
          <w:noProof/>
          <w:lang w:val="en-US"/>
        </w:rPr>
      </w:pPr>
      <w:r>
        <w:rPr>
          <w:b/>
          <w:noProof/>
          <w:lang w:val="en-US"/>
        </w:rPr>
        <w:t>Appendix 1. Details on the thermotolerance curve</w:t>
      </w:r>
    </w:p>
    <w:p w14:paraId="24CED1F6" w14:textId="6A7ED0C2" w:rsidR="00813237" w:rsidRDefault="00813237" w:rsidP="00813237">
      <w:pPr>
        <w:spacing w:line="480" w:lineRule="auto"/>
        <w:jc w:val="both"/>
        <w:rPr>
          <w:noProof/>
          <w:lang w:val="en-US"/>
        </w:rPr>
      </w:pPr>
      <w:r>
        <w:rPr>
          <w:noProof/>
          <w:lang w:val="en-US"/>
        </w:rPr>
        <w:t>The thermotolerance response curve built to discriminate between MHW-impacted and no</w:t>
      </w:r>
      <w:r w:rsidR="008C18AC">
        <w:rPr>
          <w:noProof/>
          <w:lang w:val="en-US"/>
        </w:rPr>
        <w:t>n-</w:t>
      </w:r>
      <w:r>
        <w:rPr>
          <w:noProof/>
          <w:lang w:val="en-US"/>
        </w:rPr>
        <w:t xml:space="preserve">impacted sites was based on the thermotolerance features of </w:t>
      </w:r>
      <w:r w:rsidRPr="00186D3F">
        <w:rPr>
          <w:i/>
          <w:noProof/>
          <w:lang w:val="en-US"/>
        </w:rPr>
        <w:t>P</w:t>
      </w:r>
      <w:r w:rsidR="008C18AC">
        <w:rPr>
          <w:i/>
          <w:noProof/>
          <w:lang w:val="en-US"/>
        </w:rPr>
        <w:t>aramuricea</w:t>
      </w:r>
      <w:r w:rsidRPr="00186D3F">
        <w:rPr>
          <w:i/>
          <w:noProof/>
          <w:lang w:val="en-US"/>
        </w:rPr>
        <w:t xml:space="preserve"> clavata</w:t>
      </w:r>
      <w:r>
        <w:rPr>
          <w:i/>
          <w:noProof/>
          <w:lang w:val="en-US"/>
        </w:rPr>
        <w:t xml:space="preserve"> </w:t>
      </w:r>
      <w:r>
        <w:rPr>
          <w:noProof/>
          <w:lang w:val="en-US"/>
        </w:rPr>
        <w:t xml:space="preserve">and </w:t>
      </w:r>
      <w:r w:rsidRPr="00186D3F">
        <w:rPr>
          <w:i/>
          <w:noProof/>
          <w:lang w:val="en-US"/>
        </w:rPr>
        <w:t>C</w:t>
      </w:r>
      <w:r w:rsidR="008C18AC">
        <w:rPr>
          <w:i/>
          <w:noProof/>
          <w:lang w:val="en-US"/>
        </w:rPr>
        <w:t>orallium</w:t>
      </w:r>
      <w:r w:rsidRPr="00186D3F">
        <w:rPr>
          <w:i/>
          <w:noProof/>
          <w:lang w:val="en-US"/>
        </w:rPr>
        <w:t xml:space="preserve"> rubrum</w:t>
      </w:r>
      <w:r w:rsidR="008C18AC">
        <w:rPr>
          <w:noProof/>
          <w:lang w:val="en-US"/>
        </w:rPr>
        <w:t>;</w:t>
      </w:r>
      <w:r>
        <w:rPr>
          <w:noProof/>
          <w:lang w:val="en-US"/>
        </w:rPr>
        <w:t xml:space="preserve"> </w:t>
      </w:r>
      <w:r w:rsidR="008C18AC">
        <w:rPr>
          <w:noProof/>
          <w:lang w:val="en-US"/>
        </w:rPr>
        <w:t>the dominant species</w:t>
      </w:r>
      <w:r>
        <w:rPr>
          <w:noProof/>
          <w:lang w:val="en-US"/>
        </w:rPr>
        <w:t xml:space="preserve"> </w:t>
      </w:r>
      <w:r w:rsidR="008C18AC">
        <w:rPr>
          <w:noProof/>
          <w:lang w:val="en-US"/>
        </w:rPr>
        <w:t xml:space="preserve">in </w:t>
      </w:r>
      <w:r>
        <w:rPr>
          <w:noProof/>
          <w:lang w:val="en-US"/>
        </w:rPr>
        <w:t>the here monitored assemblages</w:t>
      </w:r>
      <w:r w:rsidR="008C18AC">
        <w:rPr>
          <w:noProof/>
          <w:lang w:val="en-US"/>
        </w:rPr>
        <w:t xml:space="preserve"> and</w:t>
      </w:r>
      <w:r>
        <w:rPr>
          <w:noProof/>
          <w:lang w:val="en-US"/>
        </w:rPr>
        <w:t xml:space="preserve"> among the most sensitive coralligenou</w:t>
      </w:r>
      <w:bookmarkStart w:id="0" w:name="_GoBack"/>
      <w:bookmarkEnd w:id="0"/>
      <w:r>
        <w:rPr>
          <w:noProof/>
          <w:lang w:val="en-US"/>
        </w:rPr>
        <w:t>s species to marine heatwaves according to previous experimental (e.g.</w:t>
      </w:r>
      <w:r w:rsidR="000A7DB3">
        <w:rPr>
          <w:noProof/>
          <w:lang w:val="en-US"/>
        </w:rPr>
        <w:t>,</w:t>
      </w:r>
      <w:r>
        <w:rPr>
          <w:noProof/>
          <w:lang w:val="en-US"/>
        </w:rPr>
        <w:t xml:space="preserve"> </w:t>
      </w:r>
      <w:r w:rsidRPr="000A7DB3">
        <w:rPr>
          <w:noProof/>
          <w:color w:val="000000" w:themeColor="text1"/>
          <w:lang w:val="en-US"/>
        </w:rPr>
        <w:t>Torrents et al. 2008; Crisci et al. 2011;</w:t>
      </w:r>
      <w:r w:rsidR="00D142DF" w:rsidRPr="000A7DB3">
        <w:rPr>
          <w:noProof/>
          <w:color w:val="000000" w:themeColor="text1"/>
          <w:lang w:val="en-US"/>
        </w:rPr>
        <w:t xml:space="preserve"> </w:t>
      </w:r>
      <w:r w:rsidRPr="000A7DB3">
        <w:rPr>
          <w:noProof/>
          <w:color w:val="000000" w:themeColor="text1"/>
          <w:lang w:val="en-US"/>
        </w:rPr>
        <w:t>2017), and field studies (Cerrano et al. 2000; Garrabou et al. 200</w:t>
      </w:r>
      <w:r w:rsidR="00C9103D" w:rsidRPr="000A7DB3">
        <w:rPr>
          <w:noProof/>
          <w:color w:val="000000" w:themeColor="text1"/>
          <w:lang w:val="en-US"/>
        </w:rPr>
        <w:t>1</w:t>
      </w:r>
      <w:r w:rsidRPr="000A7DB3">
        <w:rPr>
          <w:noProof/>
          <w:color w:val="000000" w:themeColor="text1"/>
          <w:lang w:val="en-US"/>
        </w:rPr>
        <w:t>; 2009</w:t>
      </w:r>
      <w:r>
        <w:rPr>
          <w:noProof/>
          <w:lang w:val="en-US"/>
        </w:rPr>
        <w:t xml:space="preserve">). </w:t>
      </w:r>
    </w:p>
    <w:p w14:paraId="2D5992C0" w14:textId="77777777" w:rsidR="00813237" w:rsidRDefault="00813237" w:rsidP="00813237">
      <w:pPr>
        <w:spacing w:line="480" w:lineRule="auto"/>
        <w:jc w:val="both"/>
        <w:rPr>
          <w:noProof/>
          <w:lang w:val="en-US"/>
        </w:rPr>
      </w:pPr>
    </w:p>
    <w:p w14:paraId="605F950F" w14:textId="66ACD92C" w:rsidR="00813237" w:rsidRDefault="00813237" w:rsidP="00813237">
      <w:pPr>
        <w:spacing w:line="480" w:lineRule="auto"/>
        <w:jc w:val="both"/>
        <w:rPr>
          <w:noProof/>
          <w:lang w:val="en-US"/>
        </w:rPr>
      </w:pPr>
      <w:r>
        <w:rPr>
          <w:noProof/>
          <w:lang w:val="en-US"/>
        </w:rPr>
        <w:t>In particular,</w:t>
      </w:r>
      <w:r w:rsidRPr="001471BA">
        <w:rPr>
          <w:noProof/>
          <w:lang w:val="en-US"/>
        </w:rPr>
        <w:t xml:space="preserve"> thermotolerance </w:t>
      </w:r>
      <w:r>
        <w:rPr>
          <w:noProof/>
          <w:lang w:val="en-US"/>
        </w:rPr>
        <w:t xml:space="preserve">data for these two species were obtained from two previous ex-situ experiments conducted in </w:t>
      </w:r>
      <w:r w:rsidRPr="001471BA">
        <w:rPr>
          <w:noProof/>
          <w:lang w:val="en-US"/>
        </w:rPr>
        <w:t>controlled conditions</w:t>
      </w:r>
      <w:r>
        <w:rPr>
          <w:noProof/>
          <w:lang w:val="en-US"/>
        </w:rPr>
        <w:t xml:space="preserve"> </w:t>
      </w:r>
      <w:r w:rsidRPr="001471BA">
        <w:rPr>
          <w:noProof/>
          <w:lang w:val="en-US"/>
        </w:rPr>
        <w:t xml:space="preserve">at the </w:t>
      </w:r>
      <w:r>
        <w:rPr>
          <w:noProof/>
          <w:lang w:val="en-US"/>
        </w:rPr>
        <w:t>m</w:t>
      </w:r>
      <w:r w:rsidRPr="001471BA">
        <w:rPr>
          <w:noProof/>
          <w:lang w:val="en-US"/>
        </w:rPr>
        <w:t>esocosm</w:t>
      </w:r>
      <w:r>
        <w:rPr>
          <w:noProof/>
          <w:lang w:val="en-US"/>
        </w:rPr>
        <w:t xml:space="preserve">s </w:t>
      </w:r>
      <w:r w:rsidRPr="001471BA">
        <w:rPr>
          <w:noProof/>
          <w:lang w:val="en-US"/>
        </w:rPr>
        <w:t>facilit</w:t>
      </w:r>
      <w:r>
        <w:rPr>
          <w:noProof/>
          <w:lang w:val="en-US"/>
        </w:rPr>
        <w:t>ies</w:t>
      </w:r>
      <w:r w:rsidRPr="001471BA">
        <w:rPr>
          <w:noProof/>
          <w:lang w:val="en-US"/>
        </w:rPr>
        <w:t xml:space="preserve"> of the </w:t>
      </w:r>
      <w:r>
        <w:rPr>
          <w:noProof/>
          <w:lang w:val="en-US"/>
        </w:rPr>
        <w:t>Institut de Ciències del Mar</w:t>
      </w:r>
      <w:r w:rsidRPr="001471BA">
        <w:rPr>
          <w:noProof/>
          <w:lang w:val="en-US"/>
        </w:rPr>
        <w:t xml:space="preserve"> (ICM-CSIC, Barcelon</w:t>
      </w:r>
      <w:r>
        <w:rPr>
          <w:noProof/>
          <w:lang w:val="en-US"/>
        </w:rPr>
        <w:t>a;</w:t>
      </w:r>
      <w:r w:rsidRPr="001471BA">
        <w:rPr>
          <w:noProof/>
          <w:lang w:val="en-US"/>
        </w:rPr>
        <w:t xml:space="preserve"> </w:t>
      </w:r>
      <w:r w:rsidRPr="000A7DB3">
        <w:rPr>
          <w:noProof/>
          <w:color w:val="000000" w:themeColor="text1"/>
          <w:lang w:val="en-US"/>
        </w:rPr>
        <w:t>Crisci et al. 2011</w:t>
      </w:r>
      <w:r w:rsidR="00D142DF" w:rsidRPr="000A7DB3">
        <w:rPr>
          <w:noProof/>
          <w:color w:val="000000" w:themeColor="text1"/>
          <w:lang w:val="en-US"/>
        </w:rPr>
        <w:t>;</w:t>
      </w:r>
      <w:r w:rsidRPr="000A7DB3">
        <w:rPr>
          <w:noProof/>
          <w:color w:val="000000" w:themeColor="text1"/>
          <w:lang w:val="en-US"/>
        </w:rPr>
        <w:t xml:space="preserve"> 2017</w:t>
      </w:r>
      <w:r w:rsidRPr="001471BA">
        <w:rPr>
          <w:noProof/>
          <w:lang w:val="en-US"/>
        </w:rPr>
        <w:t xml:space="preserve">) and </w:t>
      </w:r>
      <w:r>
        <w:rPr>
          <w:noProof/>
          <w:lang w:val="en-US"/>
        </w:rPr>
        <w:t xml:space="preserve">the </w:t>
      </w:r>
      <w:r w:rsidRPr="001471BA">
        <w:rPr>
          <w:noProof/>
          <w:lang w:val="en-US"/>
        </w:rPr>
        <w:t>Centre Scientifique de Monaco (</w:t>
      </w:r>
      <w:r>
        <w:rPr>
          <w:noProof/>
          <w:lang w:val="en-US"/>
        </w:rPr>
        <w:t>CSM</w:t>
      </w:r>
      <w:r w:rsidRPr="001471BA">
        <w:rPr>
          <w:noProof/>
          <w:lang w:val="en-US"/>
        </w:rPr>
        <w:t>, Monaco</w:t>
      </w:r>
      <w:r>
        <w:rPr>
          <w:noProof/>
          <w:lang w:val="en-US"/>
        </w:rPr>
        <w:t>;</w:t>
      </w:r>
      <w:r w:rsidRPr="001471BA">
        <w:rPr>
          <w:noProof/>
          <w:lang w:val="en-US"/>
        </w:rPr>
        <w:t xml:space="preserve"> Torrents et al. 2008). Similar experimental design was applied in both experiments, which consist</w:t>
      </w:r>
      <w:r>
        <w:rPr>
          <w:noProof/>
          <w:lang w:val="en-US"/>
        </w:rPr>
        <w:t>ed</w:t>
      </w:r>
      <w:r w:rsidRPr="001471BA">
        <w:rPr>
          <w:noProof/>
          <w:lang w:val="en-US"/>
        </w:rPr>
        <w:t xml:space="preserve">, after an acclimatization phase, in testing the effect of constant (elevated T) on </w:t>
      </w:r>
      <w:r>
        <w:rPr>
          <w:noProof/>
          <w:lang w:val="en-US"/>
        </w:rPr>
        <w:t xml:space="preserve">various </w:t>
      </w:r>
      <w:r w:rsidRPr="001471BA">
        <w:rPr>
          <w:noProof/>
          <w:lang w:val="en-US"/>
        </w:rPr>
        <w:t>colonies</w:t>
      </w:r>
      <w:r>
        <w:rPr>
          <w:noProof/>
          <w:lang w:val="en-US"/>
        </w:rPr>
        <w:t xml:space="preserve"> (N=3 to 10) from different populations (N = 2 to 8)</w:t>
      </w:r>
      <w:r w:rsidRPr="001471BA">
        <w:rPr>
          <w:noProof/>
          <w:lang w:val="en-US"/>
        </w:rPr>
        <w:t>. The biological response considered was the first sign of tissue necrosis, which occurred after 2 to 84 days of exposure depending on treatments.</w:t>
      </w:r>
      <w:r>
        <w:rPr>
          <w:noProof/>
          <w:lang w:val="en-US"/>
        </w:rPr>
        <w:t xml:space="preserve"> </w:t>
      </w:r>
    </w:p>
    <w:p w14:paraId="4DE63AF6" w14:textId="77777777" w:rsidR="00813237" w:rsidRDefault="00813237" w:rsidP="00813237">
      <w:pPr>
        <w:spacing w:line="480" w:lineRule="auto"/>
        <w:jc w:val="both"/>
        <w:rPr>
          <w:noProof/>
          <w:lang w:val="en-US"/>
        </w:rPr>
      </w:pPr>
    </w:p>
    <w:p w14:paraId="1470D965" w14:textId="75038CF4" w:rsidR="00813237" w:rsidRPr="00DE3D42" w:rsidRDefault="00813237" w:rsidP="00813237">
      <w:pPr>
        <w:spacing w:line="480" w:lineRule="auto"/>
        <w:jc w:val="both"/>
        <w:rPr>
          <w:noProof/>
          <w:lang w:val="en-US"/>
        </w:rPr>
      </w:pPr>
      <w:r>
        <w:rPr>
          <w:noProof/>
          <w:lang w:val="en-US"/>
        </w:rPr>
        <w:t xml:space="preserve">For </w:t>
      </w:r>
      <w:r>
        <w:rPr>
          <w:i/>
          <w:noProof/>
          <w:lang w:val="en-US"/>
        </w:rPr>
        <w:t xml:space="preserve">P. clavata, </w:t>
      </w:r>
      <w:r>
        <w:rPr>
          <w:noProof/>
          <w:lang w:val="en-US"/>
        </w:rPr>
        <w:t xml:space="preserve">the </w:t>
      </w:r>
      <w:r w:rsidRPr="008A7073">
        <w:rPr>
          <w:noProof/>
          <w:lang w:val="en-US"/>
        </w:rPr>
        <w:t>experiments covered a T° range between 23-28</w:t>
      </w:r>
      <w:r>
        <w:rPr>
          <w:noProof/>
          <w:lang w:val="en-US"/>
        </w:rPr>
        <w:t xml:space="preserve"> </w:t>
      </w:r>
      <w:r w:rsidRPr="008A7073">
        <w:rPr>
          <w:noProof/>
          <w:lang w:val="en-US"/>
        </w:rPr>
        <w:t>°C</w:t>
      </w:r>
      <w:r>
        <w:rPr>
          <w:noProof/>
          <w:lang w:val="en-US"/>
        </w:rPr>
        <w:t xml:space="preserve">  on 3 replicates of 10 colonies from 2-8 populations (depending on the treatment), what facilitated the construction of a robust </w:t>
      </w:r>
      <w:r w:rsidRPr="001471BA">
        <w:rPr>
          <w:noProof/>
          <w:lang w:val="en-US"/>
        </w:rPr>
        <w:t xml:space="preserve">thermotolerance response </w:t>
      </w:r>
      <w:r>
        <w:rPr>
          <w:noProof/>
          <w:lang w:val="en-US"/>
        </w:rPr>
        <w:t xml:space="preserve">curve </w:t>
      </w:r>
      <w:r w:rsidRPr="001471BA">
        <w:rPr>
          <w:noProof/>
          <w:lang w:val="en-US"/>
        </w:rPr>
        <w:t>along the exposure/duration dimension</w:t>
      </w:r>
      <w:r>
        <w:rPr>
          <w:noProof/>
          <w:lang w:val="en-US"/>
        </w:rPr>
        <w:t xml:space="preserve">, based on </w:t>
      </w:r>
      <w:r w:rsidRPr="001471BA">
        <w:rPr>
          <w:noProof/>
          <w:lang w:val="en-US"/>
        </w:rPr>
        <w:t xml:space="preserve">the average result of all </w:t>
      </w:r>
      <w:r>
        <w:rPr>
          <w:noProof/>
          <w:lang w:val="en-US"/>
        </w:rPr>
        <w:t>populations and replicates</w:t>
      </w:r>
      <w:r w:rsidRPr="001471BA">
        <w:rPr>
          <w:noProof/>
          <w:lang w:val="en-US"/>
        </w:rPr>
        <w:t xml:space="preserve"> tested</w:t>
      </w:r>
      <w:r>
        <w:rPr>
          <w:noProof/>
          <w:lang w:val="en-US"/>
        </w:rPr>
        <w:t xml:space="preserve"> (up to 240 colonies) in each treatment. Conversely, the thermotolerance information from the </w:t>
      </w:r>
      <w:r w:rsidRPr="00186D3F">
        <w:rPr>
          <w:i/>
          <w:noProof/>
          <w:lang w:val="en-US"/>
        </w:rPr>
        <w:t xml:space="preserve">C. </w:t>
      </w:r>
      <w:r w:rsidRPr="00186D3F">
        <w:rPr>
          <w:i/>
          <w:noProof/>
          <w:lang w:val="en-US"/>
        </w:rPr>
        <w:lastRenderedPageBreak/>
        <w:t>rubrum</w:t>
      </w:r>
      <w:r>
        <w:rPr>
          <w:noProof/>
          <w:lang w:val="en-US"/>
        </w:rPr>
        <w:t xml:space="preserve"> experiments was more </w:t>
      </w:r>
      <w:r w:rsidR="008C18AC">
        <w:rPr>
          <w:noProof/>
          <w:lang w:val="en-US"/>
        </w:rPr>
        <w:t>limited</w:t>
      </w:r>
      <w:r>
        <w:rPr>
          <w:noProof/>
          <w:lang w:val="en-US"/>
        </w:rPr>
        <w:t xml:space="preserve">, covering the response of 3-6 colonies of at least 2 populations at only two different temperatures; 25 ºC and 27 ºC. Although this information was not enough to build a </w:t>
      </w:r>
      <w:r w:rsidRPr="00DE3D42">
        <w:rPr>
          <w:i/>
          <w:noProof/>
          <w:lang w:val="en-US"/>
        </w:rPr>
        <w:t>C. rubrum</w:t>
      </w:r>
      <w:r>
        <w:rPr>
          <w:noProof/>
          <w:lang w:val="en-US"/>
        </w:rPr>
        <w:t xml:space="preserve"> specific thermo</w:t>
      </w:r>
      <w:r w:rsidR="000A7DB3">
        <w:rPr>
          <w:noProof/>
          <w:lang w:val="en-US"/>
        </w:rPr>
        <w:t>to</w:t>
      </w:r>
      <w:r>
        <w:rPr>
          <w:noProof/>
          <w:lang w:val="en-US"/>
        </w:rPr>
        <w:t xml:space="preserve">lerance response curve such as the one obtained from </w:t>
      </w:r>
      <w:r w:rsidRPr="00DE3D42">
        <w:rPr>
          <w:i/>
          <w:noProof/>
          <w:lang w:val="en-US"/>
        </w:rPr>
        <w:t>P. clavata</w:t>
      </w:r>
      <w:r>
        <w:rPr>
          <w:noProof/>
          <w:lang w:val="en-US"/>
        </w:rPr>
        <w:t>, it evidenced the great similarities in the thermotolerance of these two vulnerable species, indicating that the thermal response curve of P</w:t>
      </w:r>
      <w:r w:rsidRPr="00DE3D42">
        <w:rPr>
          <w:i/>
          <w:noProof/>
          <w:lang w:val="en-US"/>
        </w:rPr>
        <w:t>. clavata</w:t>
      </w:r>
      <w:r>
        <w:rPr>
          <w:noProof/>
          <w:lang w:val="en-US"/>
        </w:rPr>
        <w:t xml:space="preserve"> is a good proxy for </w:t>
      </w:r>
      <w:r w:rsidRPr="00DE3D42">
        <w:rPr>
          <w:i/>
          <w:noProof/>
          <w:lang w:val="en-US"/>
        </w:rPr>
        <w:t>C. rubrum</w:t>
      </w:r>
      <w:r>
        <w:rPr>
          <w:i/>
          <w:noProof/>
          <w:lang w:val="en-US"/>
        </w:rPr>
        <w:t xml:space="preserve"> </w:t>
      </w:r>
      <w:r>
        <w:rPr>
          <w:noProof/>
          <w:lang w:val="en-US"/>
        </w:rPr>
        <w:t>as well</w:t>
      </w:r>
      <w:r>
        <w:rPr>
          <w:i/>
          <w:noProof/>
          <w:lang w:val="en-US"/>
        </w:rPr>
        <w:t xml:space="preserve"> </w:t>
      </w:r>
      <w:r>
        <w:rPr>
          <w:noProof/>
          <w:lang w:val="en-US"/>
        </w:rPr>
        <w:t xml:space="preserve">(as can be observed in </w:t>
      </w:r>
      <w:r w:rsidRPr="001471BA">
        <w:rPr>
          <w:noProof/>
          <w:lang w:val="en-US"/>
        </w:rPr>
        <w:t>Fig</w:t>
      </w:r>
      <w:r w:rsidR="000A7DB3">
        <w:rPr>
          <w:noProof/>
          <w:lang w:val="en-US"/>
        </w:rPr>
        <w:t>.</w:t>
      </w:r>
      <w:r w:rsidRPr="001471BA">
        <w:rPr>
          <w:noProof/>
          <w:lang w:val="en-US"/>
        </w:rPr>
        <w:t xml:space="preserve"> S</w:t>
      </w:r>
      <w:r>
        <w:rPr>
          <w:noProof/>
          <w:lang w:val="en-US"/>
        </w:rPr>
        <w:t xml:space="preserve">3, where the 2 mean </w:t>
      </w:r>
      <w:r w:rsidRPr="001471BA">
        <w:rPr>
          <w:noProof/>
          <w:lang w:val="en-US"/>
        </w:rPr>
        <w:t xml:space="preserve">data points </w:t>
      </w:r>
      <w:r>
        <w:rPr>
          <w:noProof/>
          <w:lang w:val="en-US"/>
        </w:rPr>
        <w:t xml:space="preserve">obtained from the </w:t>
      </w:r>
      <w:r w:rsidRPr="00DE3D42">
        <w:rPr>
          <w:i/>
          <w:noProof/>
          <w:lang w:val="en-US"/>
        </w:rPr>
        <w:t>C. rubrum</w:t>
      </w:r>
      <w:r>
        <w:rPr>
          <w:noProof/>
          <w:lang w:val="en-US"/>
        </w:rPr>
        <w:t xml:space="preserve"> experiments </w:t>
      </w:r>
      <w:r w:rsidRPr="001471BA">
        <w:rPr>
          <w:noProof/>
          <w:lang w:val="en-US"/>
        </w:rPr>
        <w:t xml:space="preserve">fit well to the nonlinear </w:t>
      </w:r>
      <w:r>
        <w:rPr>
          <w:noProof/>
          <w:lang w:val="en-US"/>
        </w:rPr>
        <w:t>5</w:t>
      </w:r>
      <w:r>
        <w:rPr>
          <w:noProof/>
          <w:vertAlign w:val="superscript"/>
          <w:lang w:val="en-US"/>
        </w:rPr>
        <w:t>th</w:t>
      </w:r>
      <w:r>
        <w:rPr>
          <w:noProof/>
          <w:lang w:val="en-US"/>
        </w:rPr>
        <w:t xml:space="preserve"> degree polynomial </w:t>
      </w:r>
      <w:r w:rsidRPr="001471BA">
        <w:rPr>
          <w:noProof/>
          <w:lang w:val="en-US"/>
        </w:rPr>
        <w:t xml:space="preserve">response curve </w:t>
      </w:r>
      <w:r>
        <w:rPr>
          <w:noProof/>
          <w:lang w:val="en-US"/>
        </w:rPr>
        <w:t>of</w:t>
      </w:r>
      <w:r w:rsidRPr="001471BA">
        <w:rPr>
          <w:noProof/>
          <w:lang w:val="en-US"/>
        </w:rPr>
        <w:t xml:space="preserve"> </w:t>
      </w:r>
      <w:r w:rsidRPr="001471BA">
        <w:rPr>
          <w:i/>
          <w:noProof/>
          <w:lang w:val="en-US"/>
        </w:rPr>
        <w:t>P.clavata</w:t>
      </w:r>
      <w:r>
        <w:rPr>
          <w:noProof/>
          <w:lang w:val="en-US"/>
        </w:rPr>
        <w:t xml:space="preserve">).   </w:t>
      </w:r>
    </w:p>
    <w:p w14:paraId="4850ABFE" w14:textId="77777777" w:rsidR="00813237" w:rsidRDefault="00813237" w:rsidP="00813237">
      <w:pPr>
        <w:spacing w:line="480" w:lineRule="auto"/>
        <w:jc w:val="both"/>
        <w:rPr>
          <w:b/>
          <w:lang w:val="en-US"/>
        </w:rPr>
      </w:pPr>
    </w:p>
    <w:p w14:paraId="59E300DE" w14:textId="709EFF62" w:rsidR="00813237" w:rsidRPr="00761074" w:rsidRDefault="00813237" w:rsidP="00813237">
      <w:pPr>
        <w:spacing w:line="480" w:lineRule="auto"/>
        <w:jc w:val="both"/>
        <w:rPr>
          <w:sz w:val="20"/>
          <w:szCs w:val="20"/>
          <w:u w:val="single"/>
          <w:lang w:val="en-US"/>
        </w:rPr>
      </w:pPr>
      <w:r w:rsidRPr="00761074">
        <w:rPr>
          <w:sz w:val="20"/>
          <w:szCs w:val="20"/>
          <w:u w:val="single"/>
          <w:lang w:val="en-US"/>
        </w:rPr>
        <w:t xml:space="preserve">References for </w:t>
      </w:r>
      <w:r w:rsidR="000A7DB3" w:rsidRPr="00761074">
        <w:rPr>
          <w:sz w:val="20"/>
          <w:szCs w:val="20"/>
          <w:u w:val="single"/>
          <w:lang w:val="en-US"/>
        </w:rPr>
        <w:t>Appendix</w:t>
      </w:r>
      <w:r w:rsidRPr="00761074">
        <w:rPr>
          <w:sz w:val="20"/>
          <w:szCs w:val="20"/>
          <w:u w:val="single"/>
          <w:lang w:val="en-US"/>
        </w:rPr>
        <w:t xml:space="preserve"> 1 </w:t>
      </w:r>
    </w:p>
    <w:p w14:paraId="74A53D6E" w14:textId="0AE33422" w:rsidR="00813237" w:rsidRPr="00761074" w:rsidRDefault="00813237" w:rsidP="00761074">
      <w:pPr>
        <w:widowControl w:val="0"/>
        <w:autoSpaceDE w:val="0"/>
        <w:autoSpaceDN w:val="0"/>
        <w:adjustRightInd w:val="0"/>
        <w:spacing w:line="360" w:lineRule="auto"/>
        <w:ind w:left="238" w:hanging="227"/>
        <w:jc w:val="both"/>
        <w:rPr>
          <w:rStyle w:val="Hyperlink"/>
          <w:rFonts w:eastAsia="Calibri" w:cs="Arial"/>
          <w:noProof/>
          <w:sz w:val="20"/>
          <w:szCs w:val="20"/>
          <w:lang w:val="en-US"/>
        </w:rPr>
      </w:pPr>
      <w:r w:rsidRPr="00761074">
        <w:rPr>
          <w:rFonts w:eastAsia="Calibri" w:cs="Arial"/>
          <w:noProof/>
          <w:color w:val="000000"/>
          <w:sz w:val="20"/>
          <w:szCs w:val="20"/>
          <w:lang w:val="en-US"/>
        </w:rPr>
        <w:t xml:space="preserve">Torrents, O., Tambuté, E., Caminiti, N., Garrabou, J. (2008). Upper thermal thresholds of shallow vs. deep populations of the precious Mediterranean red coral Corallium rubrum: assessing the potential effects of warming in the NW Mediterranean. </w:t>
      </w:r>
      <w:r w:rsidRPr="00761074">
        <w:rPr>
          <w:rFonts w:eastAsia="Calibri" w:cs="Arial"/>
          <w:i/>
          <w:noProof/>
          <w:color w:val="000000"/>
          <w:sz w:val="20"/>
          <w:szCs w:val="20"/>
          <w:lang w:val="en-US"/>
        </w:rPr>
        <w:t>J</w:t>
      </w:r>
      <w:r w:rsidR="00D142DF" w:rsidRPr="00761074">
        <w:rPr>
          <w:rFonts w:eastAsia="Calibri" w:cs="Arial"/>
          <w:i/>
          <w:noProof/>
          <w:color w:val="000000"/>
          <w:sz w:val="20"/>
          <w:szCs w:val="20"/>
          <w:lang w:val="en-US"/>
        </w:rPr>
        <w:t>.</w:t>
      </w:r>
      <w:r w:rsidRPr="00761074">
        <w:rPr>
          <w:rFonts w:eastAsia="Calibri" w:cs="Arial"/>
          <w:i/>
          <w:noProof/>
          <w:color w:val="000000"/>
          <w:sz w:val="20"/>
          <w:szCs w:val="20"/>
          <w:lang w:val="en-US"/>
        </w:rPr>
        <w:t xml:space="preserve"> </w:t>
      </w:r>
      <w:r w:rsidR="00D142DF" w:rsidRPr="00761074">
        <w:rPr>
          <w:rFonts w:eastAsia="Calibri" w:cs="Arial"/>
          <w:i/>
          <w:noProof/>
          <w:color w:val="000000"/>
          <w:sz w:val="20"/>
          <w:szCs w:val="20"/>
          <w:lang w:val="en-US"/>
        </w:rPr>
        <w:t>Exp.</w:t>
      </w:r>
      <w:r w:rsidRPr="00761074">
        <w:rPr>
          <w:rFonts w:eastAsia="Calibri" w:cs="Arial"/>
          <w:i/>
          <w:noProof/>
          <w:color w:val="000000"/>
          <w:sz w:val="20"/>
          <w:szCs w:val="20"/>
          <w:lang w:val="en-US"/>
        </w:rPr>
        <w:t xml:space="preserve"> Mar</w:t>
      </w:r>
      <w:r w:rsidR="00D142DF" w:rsidRPr="00761074">
        <w:rPr>
          <w:rFonts w:eastAsia="Calibri" w:cs="Arial"/>
          <w:i/>
          <w:noProof/>
          <w:color w:val="000000"/>
          <w:sz w:val="20"/>
          <w:szCs w:val="20"/>
          <w:lang w:val="en-US"/>
        </w:rPr>
        <w:t>.</w:t>
      </w:r>
      <w:r w:rsidRPr="00761074">
        <w:rPr>
          <w:rFonts w:eastAsia="Calibri" w:cs="Arial"/>
          <w:i/>
          <w:noProof/>
          <w:color w:val="000000"/>
          <w:sz w:val="20"/>
          <w:szCs w:val="20"/>
          <w:lang w:val="en-US"/>
        </w:rPr>
        <w:t xml:space="preserve"> Bio</w:t>
      </w:r>
      <w:r w:rsidR="00D142DF" w:rsidRPr="00761074">
        <w:rPr>
          <w:rFonts w:eastAsia="Calibri" w:cs="Arial"/>
          <w:i/>
          <w:noProof/>
          <w:color w:val="000000"/>
          <w:sz w:val="20"/>
          <w:szCs w:val="20"/>
          <w:lang w:val="en-US"/>
        </w:rPr>
        <w:t>l.</w:t>
      </w:r>
      <w:r w:rsidRPr="00761074">
        <w:rPr>
          <w:rFonts w:eastAsia="Calibri" w:cs="Arial"/>
          <w:i/>
          <w:noProof/>
          <w:color w:val="000000"/>
          <w:sz w:val="20"/>
          <w:szCs w:val="20"/>
          <w:lang w:val="en-US"/>
        </w:rPr>
        <w:t xml:space="preserve"> </w:t>
      </w:r>
      <w:r w:rsidR="00D142DF" w:rsidRPr="00761074">
        <w:rPr>
          <w:rFonts w:eastAsia="Calibri" w:cs="Arial"/>
          <w:i/>
          <w:noProof/>
          <w:color w:val="000000"/>
          <w:sz w:val="20"/>
          <w:szCs w:val="20"/>
          <w:lang w:val="en-US"/>
        </w:rPr>
        <w:t>Ecol</w:t>
      </w:r>
      <w:r w:rsidR="00D142DF" w:rsidRPr="00761074">
        <w:rPr>
          <w:rFonts w:eastAsia="Calibri" w:cs="Arial"/>
          <w:noProof/>
          <w:color w:val="000000"/>
          <w:sz w:val="20"/>
          <w:szCs w:val="20"/>
          <w:lang w:val="en-US"/>
        </w:rPr>
        <w:t>.</w:t>
      </w:r>
      <w:r w:rsidRPr="00761074">
        <w:rPr>
          <w:rFonts w:eastAsia="Calibri" w:cs="Arial"/>
          <w:noProof/>
          <w:color w:val="000000"/>
          <w:sz w:val="20"/>
          <w:szCs w:val="20"/>
          <w:lang w:val="en-US"/>
        </w:rPr>
        <w:t xml:space="preserve">, 357, 7-19. </w:t>
      </w:r>
      <w:hyperlink r:id="rId4" w:history="1">
        <w:r w:rsidRPr="00761074">
          <w:rPr>
            <w:rStyle w:val="Hyperlink"/>
            <w:rFonts w:eastAsia="Calibri" w:cs="Arial"/>
            <w:noProof/>
            <w:sz w:val="20"/>
            <w:szCs w:val="20"/>
            <w:lang w:val="en-US"/>
          </w:rPr>
          <w:t>https://doi.org/10.1016/j.jembe.2007.12.006</w:t>
        </w:r>
      </w:hyperlink>
    </w:p>
    <w:p w14:paraId="02329DAD" w14:textId="1363CD16" w:rsidR="00813237" w:rsidRPr="00761074" w:rsidRDefault="00813237" w:rsidP="00761074">
      <w:pPr>
        <w:widowControl w:val="0"/>
        <w:autoSpaceDE w:val="0"/>
        <w:autoSpaceDN w:val="0"/>
        <w:adjustRightInd w:val="0"/>
        <w:spacing w:line="360" w:lineRule="auto"/>
        <w:ind w:left="238" w:hanging="227"/>
        <w:jc w:val="both"/>
        <w:rPr>
          <w:rFonts w:eastAsia="Calibri" w:cs="Arial"/>
          <w:noProof/>
          <w:color w:val="000000"/>
          <w:sz w:val="20"/>
          <w:szCs w:val="20"/>
          <w:u w:val="single"/>
          <w:lang w:val="en-US"/>
        </w:rPr>
      </w:pPr>
      <w:r w:rsidRPr="00761074">
        <w:rPr>
          <w:rFonts w:eastAsia="Calibri" w:cs="Arial"/>
          <w:noProof/>
          <w:color w:val="000000"/>
          <w:sz w:val="20"/>
          <w:szCs w:val="20"/>
          <w:lang w:val="en-US"/>
        </w:rPr>
        <w:t xml:space="preserve">Cerrano, C., Bavestrello, G., Bianchi, C. N., Cattaneo-vietti, R., Bava, S., et al. (2000). A catastrophic mass-mortality episode of gorgonians and other organisms in the Ligurian Sea (northwestern Mediterranean), summer 1999. </w:t>
      </w:r>
      <w:r w:rsidRPr="00761074">
        <w:rPr>
          <w:rFonts w:eastAsia="Calibri" w:cs="Arial"/>
          <w:i/>
          <w:noProof/>
          <w:color w:val="000000"/>
          <w:sz w:val="20"/>
          <w:szCs w:val="20"/>
          <w:lang w:val="en-US"/>
        </w:rPr>
        <w:t>Ecol</w:t>
      </w:r>
      <w:r w:rsidR="00D142DF" w:rsidRPr="00761074">
        <w:rPr>
          <w:rFonts w:eastAsia="Calibri" w:cs="Arial"/>
          <w:i/>
          <w:noProof/>
          <w:color w:val="000000"/>
          <w:sz w:val="20"/>
          <w:szCs w:val="20"/>
          <w:lang w:val="en-US"/>
        </w:rPr>
        <w:t>.</w:t>
      </w:r>
      <w:r w:rsidRPr="00761074">
        <w:rPr>
          <w:rFonts w:eastAsia="Calibri" w:cs="Arial"/>
          <w:i/>
          <w:noProof/>
          <w:color w:val="000000"/>
          <w:sz w:val="20"/>
          <w:szCs w:val="20"/>
          <w:lang w:val="en-US"/>
        </w:rPr>
        <w:t xml:space="preserve"> </w:t>
      </w:r>
      <w:r w:rsidR="00D142DF" w:rsidRPr="00761074">
        <w:rPr>
          <w:rFonts w:eastAsia="Calibri" w:cs="Arial"/>
          <w:i/>
          <w:noProof/>
          <w:color w:val="000000"/>
          <w:sz w:val="20"/>
          <w:szCs w:val="20"/>
          <w:lang w:val="en-US"/>
        </w:rPr>
        <w:t>Lett.</w:t>
      </w:r>
      <w:r w:rsidRPr="00761074">
        <w:rPr>
          <w:rFonts w:eastAsia="Calibri" w:cs="Arial"/>
          <w:noProof/>
          <w:color w:val="000000"/>
          <w:sz w:val="20"/>
          <w:szCs w:val="20"/>
          <w:lang w:val="en-US"/>
        </w:rPr>
        <w:t xml:space="preserve"> 3, 284–293. </w:t>
      </w:r>
      <w:hyperlink r:id="rId5" w:history="1">
        <w:r w:rsidRPr="00761074">
          <w:rPr>
            <w:rStyle w:val="Hyperlink"/>
            <w:rFonts w:eastAsia="Calibri" w:cs="Arial"/>
            <w:noProof/>
            <w:sz w:val="20"/>
            <w:szCs w:val="20"/>
            <w:lang w:val="en-US"/>
          </w:rPr>
          <w:t>https://doi.org/10.1046/j.1461-0248.2000.00152.x</w:t>
        </w:r>
      </w:hyperlink>
    </w:p>
    <w:p w14:paraId="6AD79AEF" w14:textId="77777777" w:rsidR="00813237" w:rsidRPr="00761074" w:rsidRDefault="00813237" w:rsidP="00761074">
      <w:pPr>
        <w:widowControl w:val="0"/>
        <w:autoSpaceDE w:val="0"/>
        <w:autoSpaceDN w:val="0"/>
        <w:adjustRightInd w:val="0"/>
        <w:spacing w:line="360" w:lineRule="auto"/>
        <w:ind w:left="238" w:hanging="227"/>
        <w:jc w:val="both"/>
        <w:rPr>
          <w:rFonts w:eastAsia="Calibri" w:cs="Arial"/>
          <w:noProof/>
          <w:color w:val="0563C1" w:themeColor="hyperlink"/>
          <w:sz w:val="20"/>
          <w:szCs w:val="20"/>
          <w:u w:val="single"/>
          <w:lang w:val="en-US"/>
        </w:rPr>
      </w:pPr>
      <w:r w:rsidRPr="00761074">
        <w:rPr>
          <w:rFonts w:eastAsia="Calibri" w:cs="Arial"/>
          <w:noProof/>
          <w:color w:val="000000"/>
          <w:sz w:val="20"/>
          <w:szCs w:val="20"/>
          <w:lang w:val="en-US"/>
        </w:rPr>
        <w:t xml:space="preserve">Crisci, C., Bensoussan, N., Romano, J. C. &amp; Garrabou, J. (2011). Temperature anomalies and mortality events in marine communities: insights on factors behind differential mortality impacts in the NW Mediterranean. </w:t>
      </w:r>
      <w:r w:rsidRPr="00761074">
        <w:rPr>
          <w:rFonts w:eastAsia="Calibri" w:cs="Arial"/>
          <w:i/>
          <w:noProof/>
          <w:color w:val="000000"/>
          <w:sz w:val="20"/>
          <w:szCs w:val="20"/>
          <w:lang w:val="en-US"/>
        </w:rPr>
        <w:t>PLoS ONE</w:t>
      </w:r>
      <w:r w:rsidRPr="00761074">
        <w:rPr>
          <w:rFonts w:eastAsia="Calibri" w:cs="Arial"/>
          <w:noProof/>
          <w:color w:val="000000"/>
          <w:sz w:val="20"/>
          <w:szCs w:val="20"/>
          <w:lang w:val="en-US"/>
        </w:rPr>
        <w:t xml:space="preserve">,  6,  e23814. </w:t>
      </w:r>
      <w:hyperlink r:id="rId6" w:history="1">
        <w:r w:rsidRPr="00761074">
          <w:rPr>
            <w:rFonts w:eastAsia="Calibri" w:cs="Arial"/>
            <w:noProof/>
            <w:color w:val="0563C1" w:themeColor="hyperlink"/>
            <w:sz w:val="20"/>
            <w:szCs w:val="20"/>
            <w:u w:val="single"/>
            <w:lang w:val="en-US"/>
          </w:rPr>
          <w:t>https://doi.org/10.1371/journal.pone.0023814</w:t>
        </w:r>
      </w:hyperlink>
    </w:p>
    <w:p w14:paraId="6C5FBFA8" w14:textId="5BFC704A" w:rsidR="00813237" w:rsidRPr="00761074" w:rsidRDefault="00813237" w:rsidP="00761074">
      <w:pPr>
        <w:widowControl w:val="0"/>
        <w:autoSpaceDE w:val="0"/>
        <w:autoSpaceDN w:val="0"/>
        <w:adjustRightInd w:val="0"/>
        <w:spacing w:line="360" w:lineRule="auto"/>
        <w:ind w:left="238" w:hanging="227"/>
        <w:jc w:val="both"/>
        <w:rPr>
          <w:rStyle w:val="Hyperlink"/>
          <w:rFonts w:eastAsia="Calibri" w:cs="Arial"/>
          <w:noProof/>
          <w:sz w:val="20"/>
          <w:szCs w:val="20"/>
        </w:rPr>
      </w:pPr>
      <w:r w:rsidRPr="00761074">
        <w:rPr>
          <w:rFonts w:eastAsia="Calibri" w:cs="Arial"/>
          <w:noProof/>
          <w:color w:val="000000"/>
          <w:sz w:val="20"/>
          <w:szCs w:val="20"/>
        </w:rPr>
        <w:t xml:space="preserve">Crisci, C., Ledoux, J. B., Mokhtar-Jamaï, K., Bally, M., Bensoussan, N., et al. (2017). Regional and local environmental conditions do not shape the response to warming of a marine habitat-forming species. </w:t>
      </w:r>
      <w:r w:rsidRPr="00761074">
        <w:rPr>
          <w:rFonts w:eastAsia="Calibri" w:cs="Arial"/>
          <w:i/>
          <w:noProof/>
          <w:color w:val="000000"/>
          <w:sz w:val="20"/>
          <w:szCs w:val="20"/>
        </w:rPr>
        <w:t>Sci</w:t>
      </w:r>
      <w:r w:rsidR="00D142DF" w:rsidRPr="00761074">
        <w:rPr>
          <w:rFonts w:eastAsia="Calibri" w:cs="Arial"/>
          <w:i/>
          <w:noProof/>
          <w:color w:val="000000"/>
          <w:sz w:val="20"/>
          <w:szCs w:val="20"/>
        </w:rPr>
        <w:t>.</w:t>
      </w:r>
      <w:r w:rsidRPr="00761074">
        <w:rPr>
          <w:rFonts w:eastAsia="Calibri" w:cs="Arial"/>
          <w:i/>
          <w:noProof/>
          <w:color w:val="000000"/>
          <w:sz w:val="20"/>
          <w:szCs w:val="20"/>
        </w:rPr>
        <w:t xml:space="preserve"> Rep</w:t>
      </w:r>
      <w:r w:rsidR="00D142DF" w:rsidRPr="00761074">
        <w:rPr>
          <w:rFonts w:eastAsia="Calibri" w:cs="Arial"/>
          <w:i/>
          <w:noProof/>
          <w:color w:val="000000"/>
          <w:sz w:val="20"/>
          <w:szCs w:val="20"/>
        </w:rPr>
        <w:t>.</w:t>
      </w:r>
      <w:r w:rsidRPr="00761074">
        <w:rPr>
          <w:rFonts w:eastAsia="Calibri" w:cs="Arial"/>
          <w:noProof/>
          <w:color w:val="000000"/>
          <w:sz w:val="20"/>
          <w:szCs w:val="20"/>
        </w:rPr>
        <w:t xml:space="preserve">, 7, 50-69. </w:t>
      </w:r>
      <w:hyperlink r:id="rId7" w:history="1">
        <w:r w:rsidRPr="00761074">
          <w:rPr>
            <w:rStyle w:val="Hyperlink"/>
            <w:rFonts w:eastAsia="Calibri" w:cs="Arial"/>
            <w:noProof/>
            <w:sz w:val="20"/>
            <w:szCs w:val="20"/>
          </w:rPr>
          <w:t>https://doi.org/10.1038/s41598-017-05220-4</w:t>
        </w:r>
      </w:hyperlink>
    </w:p>
    <w:p w14:paraId="3048721D" w14:textId="498F62B5" w:rsidR="00813237" w:rsidRPr="00761074" w:rsidRDefault="00813237" w:rsidP="00761074">
      <w:pPr>
        <w:widowControl w:val="0"/>
        <w:autoSpaceDE w:val="0"/>
        <w:autoSpaceDN w:val="0"/>
        <w:adjustRightInd w:val="0"/>
        <w:spacing w:line="360" w:lineRule="auto"/>
        <w:ind w:left="238" w:hanging="227"/>
        <w:jc w:val="both"/>
        <w:rPr>
          <w:rFonts w:eastAsia="Calibri" w:cs="Arial"/>
          <w:noProof/>
          <w:color w:val="0070C0"/>
          <w:sz w:val="20"/>
          <w:szCs w:val="20"/>
        </w:rPr>
      </w:pPr>
      <w:r w:rsidRPr="00761074">
        <w:rPr>
          <w:rFonts w:eastAsia="Calibri" w:cs="Arial"/>
          <w:noProof/>
          <w:color w:val="000000" w:themeColor="text1"/>
          <w:sz w:val="20"/>
          <w:szCs w:val="20"/>
        </w:rPr>
        <w:t>Garrabou, J., Perez, T., Sartoretto, S. &amp; Harmelin, J. G. (2001). Mass mortality event in red coral (</w:t>
      </w:r>
      <w:r w:rsidRPr="00761074">
        <w:rPr>
          <w:rFonts w:eastAsia="Calibri" w:cs="Arial"/>
          <w:i/>
          <w:noProof/>
          <w:color w:val="000000" w:themeColor="text1"/>
          <w:sz w:val="20"/>
          <w:szCs w:val="20"/>
        </w:rPr>
        <w:t>Corallium rubrum</w:t>
      </w:r>
      <w:r w:rsidRPr="00761074">
        <w:rPr>
          <w:rFonts w:eastAsia="Calibri" w:cs="Arial"/>
          <w:noProof/>
          <w:color w:val="000000" w:themeColor="text1"/>
          <w:sz w:val="20"/>
          <w:szCs w:val="20"/>
        </w:rPr>
        <w:t xml:space="preserve">, Cnidaria, Anthozoa, Octocorallia) populations in Provence region (France, NW Mediterranean). </w:t>
      </w:r>
      <w:r w:rsidRPr="00761074">
        <w:rPr>
          <w:rFonts w:eastAsia="Calibri" w:cs="Arial"/>
          <w:i/>
          <w:noProof/>
          <w:color w:val="000000" w:themeColor="text1"/>
          <w:sz w:val="20"/>
          <w:szCs w:val="20"/>
        </w:rPr>
        <w:t>Mar</w:t>
      </w:r>
      <w:r w:rsidR="00D142DF" w:rsidRPr="00761074">
        <w:rPr>
          <w:rFonts w:eastAsia="Calibri" w:cs="Arial"/>
          <w:i/>
          <w:noProof/>
          <w:color w:val="000000" w:themeColor="text1"/>
          <w:sz w:val="20"/>
          <w:szCs w:val="20"/>
        </w:rPr>
        <w:t>.</w:t>
      </w:r>
      <w:r w:rsidRPr="00761074">
        <w:rPr>
          <w:rFonts w:eastAsia="Calibri" w:cs="Arial"/>
          <w:i/>
          <w:noProof/>
          <w:color w:val="000000" w:themeColor="text1"/>
          <w:sz w:val="20"/>
          <w:szCs w:val="20"/>
        </w:rPr>
        <w:t xml:space="preserve"> Ecol</w:t>
      </w:r>
      <w:r w:rsidR="00D142DF" w:rsidRPr="00761074">
        <w:rPr>
          <w:rFonts w:eastAsia="Calibri" w:cs="Arial"/>
          <w:i/>
          <w:noProof/>
          <w:color w:val="000000" w:themeColor="text1"/>
          <w:sz w:val="20"/>
          <w:szCs w:val="20"/>
        </w:rPr>
        <w:t>.</w:t>
      </w:r>
      <w:r w:rsidRPr="00761074">
        <w:rPr>
          <w:rFonts w:eastAsia="Calibri" w:cs="Arial"/>
          <w:i/>
          <w:noProof/>
          <w:color w:val="000000" w:themeColor="text1"/>
          <w:sz w:val="20"/>
          <w:szCs w:val="20"/>
        </w:rPr>
        <w:t xml:space="preserve"> Prog</w:t>
      </w:r>
      <w:r w:rsidR="00D142DF" w:rsidRPr="00761074">
        <w:rPr>
          <w:rFonts w:eastAsia="Calibri" w:cs="Arial"/>
          <w:i/>
          <w:noProof/>
          <w:color w:val="000000" w:themeColor="text1"/>
          <w:sz w:val="20"/>
          <w:szCs w:val="20"/>
        </w:rPr>
        <w:t>.</w:t>
      </w:r>
      <w:r w:rsidRPr="00761074">
        <w:rPr>
          <w:rFonts w:eastAsia="Calibri" w:cs="Arial"/>
          <w:i/>
          <w:noProof/>
          <w:color w:val="000000" w:themeColor="text1"/>
          <w:sz w:val="20"/>
          <w:szCs w:val="20"/>
        </w:rPr>
        <w:t xml:space="preserve"> Ser</w:t>
      </w:r>
      <w:r w:rsidR="00D142DF" w:rsidRPr="00761074">
        <w:rPr>
          <w:rFonts w:eastAsia="Calibri" w:cs="Arial"/>
          <w:i/>
          <w:noProof/>
          <w:color w:val="000000" w:themeColor="text1"/>
          <w:sz w:val="20"/>
          <w:szCs w:val="20"/>
        </w:rPr>
        <w:t>.</w:t>
      </w:r>
      <w:r w:rsidRPr="00761074">
        <w:rPr>
          <w:rFonts w:eastAsia="Calibri" w:cs="Arial"/>
          <w:i/>
          <w:noProof/>
          <w:color w:val="000000" w:themeColor="text1"/>
          <w:sz w:val="20"/>
          <w:szCs w:val="20"/>
        </w:rPr>
        <w:t>,</w:t>
      </w:r>
      <w:r w:rsidRPr="00761074">
        <w:rPr>
          <w:rFonts w:eastAsia="Calibri" w:cs="Arial"/>
          <w:noProof/>
          <w:color w:val="000000" w:themeColor="text1"/>
          <w:sz w:val="20"/>
          <w:szCs w:val="20"/>
        </w:rPr>
        <w:t xml:space="preserve"> 217, 263–272. </w:t>
      </w:r>
      <w:hyperlink r:id="rId8" w:history="1">
        <w:r w:rsidRPr="00761074">
          <w:rPr>
            <w:rStyle w:val="Hyperlink"/>
            <w:rFonts w:eastAsia="Calibri" w:cs="Arial"/>
            <w:noProof/>
            <w:color w:val="0070C0"/>
            <w:sz w:val="20"/>
            <w:szCs w:val="20"/>
            <w:u w:val="none"/>
          </w:rPr>
          <w:t>https://doi.org/10.3354/meps217263</w:t>
        </w:r>
      </w:hyperlink>
    </w:p>
    <w:p w14:paraId="664E9388" w14:textId="3A0D4687" w:rsidR="00813237" w:rsidRPr="00761074" w:rsidRDefault="00813237" w:rsidP="00761074">
      <w:pPr>
        <w:widowControl w:val="0"/>
        <w:autoSpaceDE w:val="0"/>
        <w:autoSpaceDN w:val="0"/>
        <w:adjustRightInd w:val="0"/>
        <w:spacing w:line="360" w:lineRule="auto"/>
        <w:ind w:left="238" w:hanging="227"/>
        <w:jc w:val="both"/>
        <w:rPr>
          <w:rFonts w:eastAsia="Calibri" w:cs="Arial"/>
          <w:noProof/>
          <w:color w:val="000000" w:themeColor="text1"/>
          <w:sz w:val="20"/>
          <w:szCs w:val="20"/>
        </w:rPr>
      </w:pPr>
      <w:r w:rsidRPr="00761074">
        <w:rPr>
          <w:rFonts w:eastAsia="Calibri" w:cs="Arial"/>
          <w:noProof/>
          <w:color w:val="000000" w:themeColor="text1"/>
          <w:sz w:val="20"/>
          <w:szCs w:val="20"/>
          <w:lang w:val="en-US"/>
        </w:rPr>
        <w:t xml:space="preserve">Garrabou, J., Coma, R., Bensoussan, N., Bally, M., Chevaldonne, P., Cigliano, M., et al. (2009). Mass mortality in Northwestern Mediterranean rocky benthic communities: effects of the 2003 heat wave. </w:t>
      </w:r>
      <w:r w:rsidRPr="00761074">
        <w:rPr>
          <w:rFonts w:eastAsia="Calibri" w:cs="Arial"/>
          <w:i/>
          <w:noProof/>
          <w:color w:val="000000" w:themeColor="text1"/>
          <w:sz w:val="20"/>
          <w:szCs w:val="20"/>
          <w:lang w:val="en-US"/>
        </w:rPr>
        <w:t>Global Change Biol</w:t>
      </w:r>
      <w:r w:rsidR="00D142DF" w:rsidRPr="00761074">
        <w:rPr>
          <w:rFonts w:eastAsia="Calibri" w:cs="Arial"/>
          <w:noProof/>
          <w:color w:val="000000" w:themeColor="text1"/>
          <w:sz w:val="20"/>
          <w:szCs w:val="20"/>
          <w:lang w:val="en-US"/>
        </w:rPr>
        <w:t>.</w:t>
      </w:r>
      <w:r w:rsidRPr="00761074">
        <w:rPr>
          <w:rFonts w:eastAsia="Calibri" w:cs="Arial"/>
          <w:noProof/>
          <w:color w:val="000000" w:themeColor="text1"/>
          <w:sz w:val="20"/>
          <w:szCs w:val="20"/>
          <w:lang w:val="en-US"/>
        </w:rPr>
        <w:t xml:space="preserve">, 15, 1090–1103. </w:t>
      </w:r>
      <w:hyperlink r:id="rId9" w:history="1">
        <w:r w:rsidRPr="00761074">
          <w:rPr>
            <w:rStyle w:val="Hyperlink"/>
            <w:rFonts w:eastAsia="Calibri" w:cs="Arial"/>
            <w:noProof/>
            <w:color w:val="0070C0"/>
            <w:sz w:val="20"/>
            <w:szCs w:val="20"/>
            <w:u w:val="none"/>
            <w:lang w:val="en-US"/>
          </w:rPr>
          <w:t>https://doi.org/10.1111/j.1365-2486.2008.01823.x</w:t>
        </w:r>
      </w:hyperlink>
    </w:p>
    <w:p w14:paraId="37B32130" w14:textId="4FB2902E" w:rsidR="00813237" w:rsidRPr="00761074" w:rsidRDefault="00813237" w:rsidP="005138D3">
      <w:pPr>
        <w:spacing w:line="480" w:lineRule="auto"/>
        <w:jc w:val="both"/>
        <w:rPr>
          <w:b/>
          <w:sz w:val="20"/>
          <w:szCs w:val="20"/>
          <w:u w:val="single"/>
          <w:lang w:val="en-US"/>
        </w:rPr>
      </w:pPr>
    </w:p>
    <w:p w14:paraId="1052173F" w14:textId="205115EF" w:rsidR="00761074" w:rsidRDefault="00761074" w:rsidP="005138D3">
      <w:pPr>
        <w:spacing w:line="480" w:lineRule="auto"/>
        <w:jc w:val="both"/>
        <w:rPr>
          <w:b/>
          <w:sz w:val="28"/>
          <w:szCs w:val="28"/>
          <w:u w:val="single"/>
          <w:lang w:val="en-US"/>
        </w:rPr>
      </w:pPr>
    </w:p>
    <w:p w14:paraId="61C33D0D" w14:textId="6BE32DBA" w:rsidR="00761074" w:rsidRDefault="00761074" w:rsidP="005138D3">
      <w:pPr>
        <w:spacing w:line="480" w:lineRule="auto"/>
        <w:jc w:val="both"/>
        <w:rPr>
          <w:b/>
          <w:sz w:val="28"/>
          <w:szCs w:val="28"/>
          <w:u w:val="single"/>
          <w:lang w:val="en-US"/>
        </w:rPr>
      </w:pPr>
    </w:p>
    <w:p w14:paraId="5F0F71A5" w14:textId="77777777" w:rsidR="00761074" w:rsidRDefault="00761074" w:rsidP="00761074">
      <w:pPr>
        <w:spacing w:line="480" w:lineRule="auto"/>
        <w:jc w:val="both"/>
        <w:rPr>
          <w:b/>
          <w:lang w:val="en-US"/>
        </w:rPr>
      </w:pPr>
      <w:r w:rsidRPr="00BE3F90">
        <w:rPr>
          <w:b/>
          <w:lang w:val="en-US"/>
        </w:rPr>
        <w:lastRenderedPageBreak/>
        <w:t>Appendix S</w:t>
      </w:r>
      <w:r>
        <w:rPr>
          <w:b/>
          <w:lang w:val="en-US"/>
        </w:rPr>
        <w:t>2</w:t>
      </w:r>
      <w:r w:rsidRPr="00BE3F90">
        <w:rPr>
          <w:b/>
          <w:lang w:val="en-US"/>
        </w:rPr>
        <w:t xml:space="preserve">. Methodology followed to assess </w:t>
      </w:r>
      <w:r>
        <w:rPr>
          <w:b/>
          <w:lang w:val="en-US"/>
        </w:rPr>
        <w:t>the trait</w:t>
      </w:r>
      <w:r w:rsidRPr="00BE3F90">
        <w:rPr>
          <w:b/>
          <w:lang w:val="en-US"/>
        </w:rPr>
        <w:t xml:space="preserve"> values of the functional traits  used in the study and derived from Teixidó et al. 2018. </w:t>
      </w:r>
    </w:p>
    <w:p w14:paraId="6E879D2E" w14:textId="77777777" w:rsidR="00761074" w:rsidRPr="00813237" w:rsidRDefault="00761074" w:rsidP="00761074">
      <w:pPr>
        <w:spacing w:line="480" w:lineRule="auto"/>
        <w:jc w:val="both"/>
        <w:rPr>
          <w:b/>
          <w:lang w:val="en-US"/>
        </w:rPr>
      </w:pPr>
    </w:p>
    <w:p w14:paraId="63A5F089" w14:textId="77777777" w:rsidR="00761074" w:rsidRPr="002914A1" w:rsidRDefault="00761074" w:rsidP="00761074">
      <w:pPr>
        <w:spacing w:line="480" w:lineRule="auto"/>
        <w:jc w:val="both"/>
        <w:rPr>
          <w:lang w:val="en-US"/>
        </w:rPr>
      </w:pPr>
      <w:r>
        <w:rPr>
          <w:lang w:val="en-US"/>
        </w:rPr>
        <w:t xml:space="preserve">The coarsely categorized traits values of the 111 taxa found in this study were coded based on the expertise of team members (e.g. J. Garrabou, C. Linares, D. Gómez for invertebrates and P. López-Sendino for algae) and other experts on Mediterranean benthic taxonomy (e.g. M. Zabala, J.M Gili, A. Santín), according to the information available on </w:t>
      </w:r>
      <w:r w:rsidRPr="00BE3F90">
        <w:rPr>
          <w:lang w:val="en-US"/>
        </w:rPr>
        <w:t xml:space="preserve">descriptions, drawings and photographs from </w:t>
      </w:r>
      <w:r>
        <w:rPr>
          <w:lang w:val="en-US"/>
        </w:rPr>
        <w:t xml:space="preserve">taxonomic </w:t>
      </w:r>
      <w:r w:rsidRPr="00BE3F90">
        <w:rPr>
          <w:lang w:val="en-US"/>
        </w:rPr>
        <w:t>monographs (</w:t>
      </w:r>
      <w:r w:rsidRPr="00A05192">
        <w:rPr>
          <w:color w:val="000000" w:themeColor="text1"/>
          <w:lang w:val="en-US"/>
        </w:rPr>
        <w:t>e.g.</w:t>
      </w:r>
      <w:r>
        <w:rPr>
          <w:color w:val="000000" w:themeColor="text1"/>
          <w:lang w:val="en-US"/>
        </w:rPr>
        <w:t>,</w:t>
      </w:r>
      <w:r w:rsidRPr="00A05192">
        <w:rPr>
          <w:color w:val="000000" w:themeColor="text1"/>
          <w:lang w:val="en-US"/>
        </w:rPr>
        <w:t xml:space="preserve"> Zabala and Maluquer, 1988),  identification guides (e.g.</w:t>
      </w:r>
      <w:r>
        <w:rPr>
          <w:color w:val="000000" w:themeColor="text1"/>
          <w:lang w:val="en-US"/>
        </w:rPr>
        <w:t>,</w:t>
      </w:r>
      <w:r w:rsidRPr="00A05192">
        <w:rPr>
          <w:color w:val="000000" w:themeColor="text1"/>
          <w:lang w:val="en-US"/>
        </w:rPr>
        <w:t xml:space="preserve"> Weinberg 1996; Rodriguez-Prieto et al. 2013), o</w:t>
      </w:r>
      <w:r w:rsidRPr="00BE3F90">
        <w:rPr>
          <w:lang w:val="en-US"/>
        </w:rPr>
        <w:t>nline databases (e.g.</w:t>
      </w:r>
      <w:r>
        <w:rPr>
          <w:lang w:val="en-US"/>
        </w:rPr>
        <w:t>,</w:t>
      </w:r>
      <w:r w:rsidRPr="00BE3F90">
        <w:rPr>
          <w:lang w:val="en-US"/>
        </w:rPr>
        <w:t xml:space="preserve"> </w:t>
      </w:r>
      <w:r w:rsidRPr="008D749B">
        <w:rPr>
          <w:color w:val="4472C4" w:themeColor="accent1"/>
          <w:lang w:val="en-US"/>
        </w:rPr>
        <w:t xml:space="preserve">http://www.algaebase.org/, http://doris.ffessm.fr/ or </w:t>
      </w:r>
      <w:hyperlink r:id="rId10" w:history="1">
        <w:r w:rsidRPr="001167F6">
          <w:rPr>
            <w:rStyle w:val="Hyperlink"/>
            <w:lang w:val="en-US"/>
          </w:rPr>
          <w:t>http://corspecies.medrecover.org/</w:t>
        </w:r>
      </w:hyperlink>
      <w:r>
        <w:rPr>
          <w:lang w:val="en-US"/>
        </w:rPr>
        <w:t xml:space="preserve">, </w:t>
      </w:r>
      <w:hyperlink r:id="rId11" w:history="1">
        <w:r w:rsidRPr="003E6AE0">
          <w:rPr>
            <w:rStyle w:val="Hyperlink"/>
            <w:lang w:val="en-US"/>
          </w:rPr>
          <w:t>https://coraltraits.org</w:t>
        </w:r>
      </w:hyperlink>
      <w:r w:rsidRPr="00BE3F90">
        <w:rPr>
          <w:lang w:val="en-US"/>
        </w:rPr>
        <w:t>)</w:t>
      </w:r>
      <w:r>
        <w:rPr>
          <w:lang w:val="en-US"/>
        </w:rPr>
        <w:t xml:space="preserve"> and previous scientific publications (e.g., </w:t>
      </w:r>
      <w:r w:rsidRPr="00A05192">
        <w:rPr>
          <w:color w:val="000000" w:themeColor="text1"/>
          <w:lang w:val="en-US"/>
        </w:rPr>
        <w:t xml:space="preserve">Gili </w:t>
      </w:r>
      <w:r>
        <w:rPr>
          <w:color w:val="000000" w:themeColor="text1"/>
          <w:lang w:val="en-US"/>
        </w:rPr>
        <w:t>&amp;</w:t>
      </w:r>
      <w:r w:rsidRPr="00A05192">
        <w:rPr>
          <w:color w:val="000000" w:themeColor="text1"/>
          <w:lang w:val="en-US"/>
        </w:rPr>
        <w:t xml:space="preserve"> Coma, 1998; Teixidó et al. 2011; 2018).  When </w:t>
      </w:r>
      <w:r w:rsidRPr="00C86946">
        <w:rPr>
          <w:lang w:val="en-US"/>
        </w:rPr>
        <w:t xml:space="preserve">information of </w:t>
      </w:r>
      <w:r>
        <w:rPr>
          <w:lang w:val="en-US"/>
        </w:rPr>
        <w:t xml:space="preserve">a given trait was not directly available for a given taxa, (e.g.  taxa that could not be identified to the species level in the field or via photographs or identified taxa but with missing information for a given trait in the above mentioned resources), team experts </w:t>
      </w:r>
      <w:r w:rsidRPr="00C86946">
        <w:rPr>
          <w:lang w:val="en-US"/>
        </w:rPr>
        <w:t>coded the</w:t>
      </w:r>
      <w:r>
        <w:rPr>
          <w:lang w:val="en-US"/>
        </w:rPr>
        <w:t>ir</w:t>
      </w:r>
      <w:r w:rsidRPr="00C86946">
        <w:rPr>
          <w:lang w:val="en-US"/>
        </w:rPr>
        <w:t xml:space="preserve"> trait value</w:t>
      </w:r>
      <w:r>
        <w:rPr>
          <w:lang w:val="en-US"/>
        </w:rPr>
        <w:t>s</w:t>
      </w:r>
      <w:r w:rsidRPr="00C86946">
        <w:rPr>
          <w:lang w:val="en-US"/>
        </w:rPr>
        <w:t xml:space="preserve"> according to</w:t>
      </w:r>
      <w:r>
        <w:rPr>
          <w:lang w:val="en-US"/>
        </w:rPr>
        <w:t xml:space="preserve">; i) </w:t>
      </w:r>
      <w:r w:rsidRPr="00C86946">
        <w:rPr>
          <w:lang w:val="en-US"/>
        </w:rPr>
        <w:t xml:space="preserve">the </w:t>
      </w:r>
      <w:r>
        <w:rPr>
          <w:lang w:val="en-US"/>
        </w:rPr>
        <w:t xml:space="preserve">trait value of the </w:t>
      </w:r>
      <w:r w:rsidRPr="00C86946">
        <w:rPr>
          <w:lang w:val="en-US"/>
        </w:rPr>
        <w:t xml:space="preserve">most </w:t>
      </w:r>
      <w:r>
        <w:rPr>
          <w:lang w:val="en-US"/>
        </w:rPr>
        <w:t xml:space="preserve">similar and taxonomically </w:t>
      </w:r>
      <w:r w:rsidRPr="00C86946">
        <w:rPr>
          <w:lang w:val="en-US"/>
        </w:rPr>
        <w:t xml:space="preserve">related species with </w:t>
      </w:r>
      <w:r>
        <w:rPr>
          <w:lang w:val="en-US"/>
        </w:rPr>
        <w:t xml:space="preserve">direct </w:t>
      </w:r>
      <w:r w:rsidRPr="00C86946">
        <w:rPr>
          <w:lang w:val="en-US"/>
        </w:rPr>
        <w:t xml:space="preserve">information available </w:t>
      </w:r>
      <w:r>
        <w:rPr>
          <w:lang w:val="en-US"/>
        </w:rPr>
        <w:t xml:space="preserve">on the above mentioned sources and, ii) </w:t>
      </w:r>
      <w:r w:rsidRPr="00C86946">
        <w:rPr>
          <w:lang w:val="en-US"/>
        </w:rPr>
        <w:t xml:space="preserve"> the more commonly observed </w:t>
      </w:r>
      <w:r>
        <w:rPr>
          <w:lang w:val="en-US"/>
        </w:rPr>
        <w:t xml:space="preserve">values </w:t>
      </w:r>
      <w:r w:rsidRPr="00C86946">
        <w:rPr>
          <w:lang w:val="en-US"/>
        </w:rPr>
        <w:t>for that</w:t>
      </w:r>
      <w:r>
        <w:rPr>
          <w:lang w:val="en-US"/>
        </w:rPr>
        <w:t xml:space="preserve"> trait and</w:t>
      </w:r>
      <w:r w:rsidRPr="00C86946">
        <w:rPr>
          <w:lang w:val="en-US"/>
        </w:rPr>
        <w:t xml:space="preserve"> taxa in the field</w:t>
      </w:r>
      <w:r>
        <w:rPr>
          <w:lang w:val="en-US"/>
        </w:rPr>
        <w:t xml:space="preserve"> by the team experts. </w:t>
      </w:r>
      <w:r w:rsidRPr="006011EE">
        <w:rPr>
          <w:lang w:val="en-US"/>
        </w:rPr>
        <w:t xml:space="preserve">The detailed sources used to assess the </w:t>
      </w:r>
      <w:r>
        <w:rPr>
          <w:lang w:val="en-US"/>
        </w:rPr>
        <w:t>nominal/ranked categories</w:t>
      </w:r>
      <w:r w:rsidRPr="006011EE">
        <w:rPr>
          <w:lang w:val="en-US"/>
        </w:rPr>
        <w:t xml:space="preserve"> of traits are shown below in Table S</w:t>
      </w:r>
      <w:r>
        <w:rPr>
          <w:lang w:val="en-US"/>
        </w:rPr>
        <w:t>5</w:t>
      </w:r>
      <w:r w:rsidRPr="006011EE">
        <w:rPr>
          <w:lang w:val="en-US"/>
        </w:rPr>
        <w:t>.</w:t>
      </w:r>
    </w:p>
    <w:p w14:paraId="7009974D" w14:textId="77777777" w:rsidR="00761074" w:rsidRDefault="00761074" w:rsidP="00761074">
      <w:pPr>
        <w:spacing w:line="480" w:lineRule="auto"/>
        <w:jc w:val="both"/>
        <w:rPr>
          <w:sz w:val="22"/>
          <w:szCs w:val="22"/>
          <w:u w:val="single"/>
          <w:lang w:val="en-US"/>
        </w:rPr>
      </w:pPr>
    </w:p>
    <w:p w14:paraId="3AFE5584" w14:textId="77777777" w:rsidR="00761074" w:rsidRPr="00A05192" w:rsidRDefault="00761074" w:rsidP="00761074">
      <w:pPr>
        <w:spacing w:line="480" w:lineRule="auto"/>
        <w:jc w:val="both"/>
        <w:rPr>
          <w:u w:val="single"/>
          <w:lang w:val="en-US"/>
        </w:rPr>
      </w:pPr>
      <w:r w:rsidRPr="00A05192">
        <w:rPr>
          <w:u w:val="single"/>
          <w:lang w:val="en-US"/>
        </w:rPr>
        <w:t xml:space="preserve">References for Appendix 1 </w:t>
      </w:r>
    </w:p>
    <w:p w14:paraId="4A237C33" w14:textId="77777777" w:rsidR="00761074" w:rsidRPr="00761074" w:rsidRDefault="00761074" w:rsidP="00761074">
      <w:pPr>
        <w:spacing w:line="360" w:lineRule="auto"/>
        <w:jc w:val="both"/>
        <w:rPr>
          <w:rFonts w:eastAsiaTheme="minorHAnsi"/>
          <w:noProof/>
          <w:sz w:val="20"/>
          <w:szCs w:val="20"/>
          <w:lang w:val="en-US"/>
        </w:rPr>
      </w:pPr>
      <w:r w:rsidRPr="00761074">
        <w:rPr>
          <w:rFonts w:eastAsiaTheme="minorHAnsi"/>
          <w:noProof/>
          <w:sz w:val="20"/>
          <w:szCs w:val="20"/>
          <w:lang w:val="en-US"/>
        </w:rPr>
        <w:t xml:space="preserve">Coma, R., Ribes, M., Zabala, M., Gili, J.M. (1998). Growth in a modular colonial marine     invertebrate. Estuarine, </w:t>
      </w:r>
      <w:r w:rsidRPr="00761074">
        <w:rPr>
          <w:rFonts w:eastAsiaTheme="minorHAnsi"/>
          <w:i/>
          <w:noProof/>
          <w:sz w:val="20"/>
          <w:szCs w:val="20"/>
          <w:lang w:val="en-US"/>
        </w:rPr>
        <w:t>Coastal and Shelf Science</w:t>
      </w:r>
      <w:r w:rsidRPr="00761074">
        <w:rPr>
          <w:rFonts w:eastAsiaTheme="minorHAnsi"/>
          <w:noProof/>
          <w:sz w:val="20"/>
          <w:szCs w:val="20"/>
          <w:lang w:val="en-US"/>
        </w:rPr>
        <w:t xml:space="preserve"> 47: 459–470. </w:t>
      </w:r>
    </w:p>
    <w:p w14:paraId="4E6082CC" w14:textId="77777777" w:rsidR="00761074" w:rsidRPr="00761074" w:rsidRDefault="00761074" w:rsidP="00761074">
      <w:pPr>
        <w:spacing w:line="360" w:lineRule="auto"/>
        <w:jc w:val="both"/>
        <w:rPr>
          <w:rFonts w:eastAsiaTheme="minorHAnsi"/>
          <w:noProof/>
          <w:sz w:val="20"/>
          <w:szCs w:val="20"/>
        </w:rPr>
      </w:pPr>
      <w:r w:rsidRPr="00761074">
        <w:rPr>
          <w:rFonts w:eastAsiaTheme="minorHAnsi"/>
          <w:noProof/>
          <w:sz w:val="20"/>
          <w:szCs w:val="20"/>
        </w:rPr>
        <w:t xml:space="preserve">Gili, J.M., Coma, R. (1998) Benthic suspension feeders: their para- mount role in littoral marine food webs. </w:t>
      </w:r>
      <w:r w:rsidRPr="00761074">
        <w:rPr>
          <w:rFonts w:eastAsiaTheme="minorHAnsi"/>
          <w:i/>
          <w:noProof/>
          <w:sz w:val="20"/>
          <w:szCs w:val="20"/>
        </w:rPr>
        <w:t>Trends in Ecol. Evol</w:t>
      </w:r>
      <w:r w:rsidRPr="00761074">
        <w:rPr>
          <w:rFonts w:eastAsiaTheme="minorHAnsi"/>
          <w:noProof/>
          <w:sz w:val="20"/>
          <w:szCs w:val="20"/>
        </w:rPr>
        <w:t xml:space="preserve">. 13, 316-321 </w:t>
      </w:r>
    </w:p>
    <w:p w14:paraId="6786B6E1" w14:textId="77777777" w:rsidR="00761074" w:rsidRPr="00761074" w:rsidRDefault="00761074" w:rsidP="00761074">
      <w:pPr>
        <w:widowControl w:val="0"/>
        <w:autoSpaceDE w:val="0"/>
        <w:autoSpaceDN w:val="0"/>
        <w:adjustRightInd w:val="0"/>
        <w:spacing w:line="360" w:lineRule="auto"/>
        <w:ind w:left="238" w:hanging="227"/>
        <w:jc w:val="both"/>
        <w:rPr>
          <w:rFonts w:eastAsia="Calibri" w:cs="Arial"/>
          <w:noProof/>
          <w:color w:val="000000" w:themeColor="text1"/>
          <w:sz w:val="20"/>
          <w:szCs w:val="20"/>
          <w:lang w:val="en-US"/>
        </w:rPr>
      </w:pPr>
      <w:r w:rsidRPr="00761074">
        <w:rPr>
          <w:rFonts w:eastAsia="Calibri" w:cs="Arial"/>
          <w:noProof/>
          <w:color w:val="000000" w:themeColor="text1"/>
          <w:sz w:val="20"/>
          <w:szCs w:val="20"/>
          <w:lang w:val="en-US"/>
        </w:rPr>
        <w:t>Rodríguez-Prieto, C., Ballesteros, E., Boisset, F. &amp; Afonso-Carrillo, J. (2013). Guía</w:t>
      </w:r>
      <w:r w:rsidRPr="00761074">
        <w:rPr>
          <w:rFonts w:eastAsia="Calibri" w:cs="Arial"/>
          <w:noProof/>
          <w:color w:val="0563C1" w:themeColor="hyperlink"/>
          <w:sz w:val="20"/>
          <w:szCs w:val="20"/>
          <w:u w:val="single"/>
          <w:lang w:val="en-US"/>
        </w:rPr>
        <w:t xml:space="preserve"> </w:t>
      </w:r>
      <w:r w:rsidRPr="00761074">
        <w:rPr>
          <w:rFonts w:eastAsia="Calibri" w:cs="Arial"/>
          <w:noProof/>
          <w:color w:val="000000" w:themeColor="text1"/>
          <w:sz w:val="20"/>
          <w:szCs w:val="20"/>
          <w:lang w:val="en-US"/>
        </w:rPr>
        <w:t xml:space="preserve">de las macroalgas y </w:t>
      </w:r>
      <w:r w:rsidRPr="00761074">
        <w:rPr>
          <w:rFonts w:eastAsia="Calibri" w:cs="Arial"/>
          <w:noProof/>
          <w:color w:val="000000" w:themeColor="text1"/>
          <w:sz w:val="20"/>
          <w:szCs w:val="20"/>
          <w:lang w:val="en-US"/>
        </w:rPr>
        <w:lastRenderedPageBreak/>
        <w:t>fanerógamas marinas del Mediterráneo Occidental. Omega,</w:t>
      </w:r>
      <w:r w:rsidRPr="00761074">
        <w:rPr>
          <w:rFonts w:eastAsia="Calibri" w:cs="Arial"/>
          <w:noProof/>
          <w:color w:val="0563C1" w:themeColor="hyperlink"/>
          <w:sz w:val="20"/>
          <w:szCs w:val="20"/>
          <w:u w:val="single"/>
          <w:lang w:val="en-US"/>
        </w:rPr>
        <w:t xml:space="preserve"> </w:t>
      </w:r>
      <w:r w:rsidRPr="00761074">
        <w:rPr>
          <w:rFonts w:eastAsia="Calibri" w:cs="Arial"/>
          <w:noProof/>
          <w:color w:val="000000" w:themeColor="text1"/>
          <w:sz w:val="20"/>
          <w:szCs w:val="20"/>
          <w:lang w:val="en-US"/>
        </w:rPr>
        <w:t xml:space="preserve">Barcelona. 656 pp. </w:t>
      </w:r>
    </w:p>
    <w:p w14:paraId="3622CFB9" w14:textId="77777777" w:rsidR="00761074" w:rsidRPr="00761074" w:rsidRDefault="00761074" w:rsidP="00761074">
      <w:pPr>
        <w:widowControl w:val="0"/>
        <w:autoSpaceDE w:val="0"/>
        <w:autoSpaceDN w:val="0"/>
        <w:adjustRightInd w:val="0"/>
        <w:spacing w:line="360" w:lineRule="auto"/>
        <w:ind w:left="238" w:hanging="227"/>
        <w:jc w:val="both"/>
        <w:rPr>
          <w:rFonts w:eastAsia="Calibri" w:cs="Arial"/>
          <w:noProof/>
          <w:color w:val="000000" w:themeColor="text1"/>
          <w:sz w:val="20"/>
          <w:szCs w:val="20"/>
          <w:lang w:val="en-US"/>
        </w:rPr>
      </w:pPr>
      <w:r w:rsidRPr="00761074">
        <w:rPr>
          <w:rFonts w:eastAsia="Calibri" w:cs="Arial"/>
          <w:noProof/>
          <w:color w:val="000000" w:themeColor="text1"/>
          <w:sz w:val="20"/>
          <w:szCs w:val="20"/>
          <w:lang w:val="en-US"/>
        </w:rPr>
        <w:t xml:space="preserve">Teixidó, N., Garrabou, J. &amp; Harmelin, J. G. (2011). Low dynamics, high longevity and persistence of sessile structural species dwelling on Mediterranean coralligenous outcrops. </w:t>
      </w:r>
      <w:r w:rsidRPr="00761074">
        <w:rPr>
          <w:rFonts w:eastAsia="Calibri" w:cs="Arial"/>
          <w:i/>
          <w:noProof/>
          <w:color w:val="000000" w:themeColor="text1"/>
          <w:sz w:val="20"/>
          <w:szCs w:val="20"/>
          <w:lang w:val="en-US"/>
        </w:rPr>
        <w:t>PLoS ONE</w:t>
      </w:r>
      <w:r w:rsidRPr="00761074">
        <w:rPr>
          <w:rFonts w:eastAsia="Calibri" w:cs="Arial"/>
          <w:noProof/>
          <w:color w:val="000000" w:themeColor="text1"/>
          <w:sz w:val="20"/>
          <w:szCs w:val="20"/>
          <w:lang w:val="en-US"/>
        </w:rPr>
        <w:t xml:space="preserve">, 6(8):e23744. </w:t>
      </w:r>
      <w:hyperlink r:id="rId12" w:history="1">
        <w:r w:rsidRPr="00761074">
          <w:rPr>
            <w:rStyle w:val="Hyperlink"/>
            <w:rFonts w:eastAsia="Calibri" w:cs="Arial"/>
            <w:noProof/>
            <w:sz w:val="20"/>
            <w:szCs w:val="20"/>
            <w:lang w:val="en-US"/>
          </w:rPr>
          <w:t>https://doi.org/10.1371/journal.pone.0023744</w:t>
        </w:r>
      </w:hyperlink>
    </w:p>
    <w:p w14:paraId="7087BAF4" w14:textId="77777777" w:rsidR="00761074" w:rsidRPr="00761074" w:rsidRDefault="00761074" w:rsidP="00761074">
      <w:pPr>
        <w:widowControl w:val="0"/>
        <w:autoSpaceDE w:val="0"/>
        <w:autoSpaceDN w:val="0"/>
        <w:adjustRightInd w:val="0"/>
        <w:spacing w:line="360" w:lineRule="auto"/>
        <w:ind w:left="238" w:hanging="227"/>
        <w:jc w:val="both"/>
        <w:rPr>
          <w:rFonts w:eastAsia="Calibri" w:cs="Arial"/>
          <w:noProof/>
          <w:color w:val="0563C1" w:themeColor="hyperlink"/>
          <w:sz w:val="20"/>
          <w:szCs w:val="20"/>
          <w:u w:val="single"/>
          <w:lang w:val="en-US"/>
        </w:rPr>
      </w:pPr>
      <w:r w:rsidRPr="00761074">
        <w:rPr>
          <w:rFonts w:eastAsia="Calibri" w:cs="Arial"/>
          <w:noProof/>
          <w:color w:val="000000" w:themeColor="text1"/>
          <w:sz w:val="20"/>
          <w:szCs w:val="20"/>
          <w:lang w:val="en-US"/>
        </w:rPr>
        <w:t>Teixidó, N., Gambi, M.C., Parravacini, V. </w:t>
      </w:r>
      <w:r w:rsidRPr="00761074">
        <w:rPr>
          <w:rFonts w:eastAsia="Calibri" w:cs="Arial"/>
          <w:iCs/>
          <w:noProof/>
          <w:color w:val="000000" w:themeColor="text1"/>
          <w:sz w:val="20"/>
          <w:szCs w:val="20"/>
          <w:lang w:val="en-US"/>
        </w:rPr>
        <w:t>Kroeker, K</w:t>
      </w:r>
      <w:r w:rsidRPr="00761074">
        <w:rPr>
          <w:rFonts w:eastAsia="Calibri" w:cs="Arial"/>
          <w:i/>
          <w:iCs/>
          <w:noProof/>
          <w:color w:val="000000" w:themeColor="text1"/>
          <w:sz w:val="20"/>
          <w:szCs w:val="20"/>
          <w:lang w:val="en-US"/>
        </w:rPr>
        <w:t xml:space="preserve">., </w:t>
      </w:r>
      <w:r w:rsidRPr="00761074">
        <w:rPr>
          <w:rFonts w:eastAsia="Calibri" w:cs="Arial"/>
          <w:iCs/>
          <w:noProof/>
          <w:color w:val="000000" w:themeColor="text1"/>
          <w:sz w:val="20"/>
          <w:szCs w:val="20"/>
          <w:lang w:val="en-US"/>
        </w:rPr>
        <w:t>Micheli F., Villegér, S. &amp; Ballesteros, E.</w:t>
      </w:r>
      <w:r w:rsidRPr="00761074">
        <w:rPr>
          <w:rFonts w:eastAsia="Calibri" w:cs="Arial"/>
          <w:noProof/>
          <w:color w:val="000000" w:themeColor="text1"/>
          <w:sz w:val="20"/>
          <w:szCs w:val="20"/>
          <w:lang w:val="en-US"/>
        </w:rPr>
        <w:t> (2018). Functional biodiversity loss along natural CO</w:t>
      </w:r>
      <w:r w:rsidRPr="00761074">
        <w:rPr>
          <w:rFonts w:eastAsia="Calibri" w:cs="Arial"/>
          <w:noProof/>
          <w:color w:val="000000" w:themeColor="text1"/>
          <w:sz w:val="20"/>
          <w:szCs w:val="20"/>
          <w:vertAlign w:val="subscript"/>
          <w:lang w:val="en-US"/>
        </w:rPr>
        <w:t>2</w:t>
      </w:r>
      <w:r w:rsidRPr="00761074">
        <w:rPr>
          <w:rFonts w:eastAsia="Calibri" w:cs="Arial"/>
          <w:noProof/>
          <w:color w:val="000000" w:themeColor="text1"/>
          <w:sz w:val="20"/>
          <w:szCs w:val="20"/>
          <w:lang w:val="en-US"/>
        </w:rPr>
        <w:t> gradients. </w:t>
      </w:r>
      <w:r w:rsidRPr="00761074">
        <w:rPr>
          <w:rFonts w:eastAsia="Calibri" w:cs="Arial"/>
          <w:i/>
          <w:iCs/>
          <w:noProof/>
          <w:color w:val="000000" w:themeColor="text1"/>
          <w:sz w:val="20"/>
          <w:szCs w:val="20"/>
          <w:lang w:val="en-US"/>
        </w:rPr>
        <w:t>Nat. Comm.</w:t>
      </w:r>
      <w:r w:rsidRPr="00761074">
        <w:rPr>
          <w:rFonts w:eastAsia="Calibri" w:cs="Arial"/>
          <w:noProof/>
          <w:color w:val="000000" w:themeColor="text1"/>
          <w:sz w:val="20"/>
          <w:szCs w:val="20"/>
          <w:lang w:val="en-US"/>
        </w:rPr>
        <w:t> </w:t>
      </w:r>
      <w:r w:rsidRPr="00761074">
        <w:rPr>
          <w:rFonts w:eastAsia="Calibri" w:cs="Arial"/>
          <w:b/>
          <w:bCs/>
          <w:noProof/>
          <w:color w:val="000000" w:themeColor="text1"/>
          <w:sz w:val="20"/>
          <w:szCs w:val="20"/>
          <w:lang w:val="en-US"/>
        </w:rPr>
        <w:t>9, </w:t>
      </w:r>
      <w:r w:rsidRPr="00761074">
        <w:rPr>
          <w:rFonts w:eastAsia="Calibri" w:cs="Arial"/>
          <w:noProof/>
          <w:color w:val="000000" w:themeColor="text1"/>
          <w:sz w:val="20"/>
          <w:szCs w:val="20"/>
          <w:lang w:val="en-US"/>
        </w:rPr>
        <w:t xml:space="preserve">5149. </w:t>
      </w:r>
      <w:hyperlink r:id="rId13" w:history="1">
        <w:r w:rsidRPr="00761074">
          <w:rPr>
            <w:rFonts w:eastAsia="Calibri" w:cs="Arial"/>
            <w:noProof/>
            <w:color w:val="0563C1" w:themeColor="hyperlink"/>
            <w:sz w:val="20"/>
            <w:szCs w:val="20"/>
            <w:u w:val="single"/>
            <w:lang w:val="en-US"/>
          </w:rPr>
          <w:t>https://doi:10.1038/s41467-018-07592-1</w:t>
        </w:r>
      </w:hyperlink>
    </w:p>
    <w:p w14:paraId="221C1F2C" w14:textId="77777777" w:rsidR="00761074" w:rsidRPr="00761074" w:rsidRDefault="00761074" w:rsidP="00761074">
      <w:pPr>
        <w:widowControl w:val="0"/>
        <w:autoSpaceDE w:val="0"/>
        <w:autoSpaceDN w:val="0"/>
        <w:adjustRightInd w:val="0"/>
        <w:spacing w:line="360" w:lineRule="auto"/>
        <w:ind w:left="238" w:hanging="227"/>
        <w:jc w:val="both"/>
        <w:rPr>
          <w:rFonts w:eastAsia="Calibri" w:cs="Arial"/>
          <w:noProof/>
          <w:color w:val="0563C1" w:themeColor="hyperlink"/>
          <w:sz w:val="20"/>
          <w:szCs w:val="20"/>
          <w:u w:val="single"/>
          <w:lang w:val="en-US"/>
        </w:rPr>
      </w:pPr>
      <w:r w:rsidRPr="00761074">
        <w:rPr>
          <w:rFonts w:eastAsiaTheme="minorHAnsi"/>
          <w:sz w:val="20"/>
          <w:szCs w:val="20"/>
        </w:rPr>
        <w:t>Weinberg S. (1996), Decouvrir la Mediterranee, ed. Nathan nature, 352p</w:t>
      </w:r>
    </w:p>
    <w:p w14:paraId="2BE4B0A1" w14:textId="77777777" w:rsidR="00761074" w:rsidRPr="00761074" w:rsidRDefault="00761074" w:rsidP="00761074">
      <w:pPr>
        <w:widowControl w:val="0"/>
        <w:autoSpaceDE w:val="0"/>
        <w:autoSpaceDN w:val="0"/>
        <w:adjustRightInd w:val="0"/>
        <w:spacing w:line="360" w:lineRule="auto"/>
        <w:ind w:left="238" w:hanging="227"/>
        <w:jc w:val="both"/>
        <w:rPr>
          <w:rFonts w:eastAsia="Calibri" w:cs="Arial"/>
          <w:noProof/>
          <w:color w:val="0563C1" w:themeColor="hyperlink"/>
          <w:sz w:val="20"/>
          <w:szCs w:val="20"/>
          <w:u w:val="single"/>
          <w:lang w:val="en-US"/>
        </w:rPr>
      </w:pPr>
      <w:r w:rsidRPr="00761074">
        <w:rPr>
          <w:rFonts w:eastAsiaTheme="minorHAnsi"/>
          <w:noProof/>
          <w:sz w:val="20"/>
          <w:szCs w:val="20"/>
          <w:lang w:val="en-US"/>
        </w:rPr>
        <w:t>Zabala M., Maluquer P., (1988), Illustrated key for the classification of Mediterranean Bryozoans, Treballs del museu de zoologia, U.K., 294p</w:t>
      </w:r>
    </w:p>
    <w:p w14:paraId="7F58DB90" w14:textId="77777777" w:rsidR="00761074" w:rsidRPr="00761074" w:rsidRDefault="00761074" w:rsidP="00761074">
      <w:pPr>
        <w:spacing w:line="360" w:lineRule="auto"/>
        <w:jc w:val="both"/>
        <w:rPr>
          <w:sz w:val="20"/>
          <w:szCs w:val="20"/>
          <w:lang w:val="en-US"/>
        </w:rPr>
      </w:pPr>
    </w:p>
    <w:p w14:paraId="055E205A" w14:textId="77777777" w:rsidR="00761074" w:rsidRPr="00761074" w:rsidRDefault="00761074" w:rsidP="00761074">
      <w:pPr>
        <w:spacing w:line="360" w:lineRule="auto"/>
        <w:jc w:val="both"/>
        <w:rPr>
          <w:b/>
          <w:sz w:val="20"/>
          <w:szCs w:val="20"/>
          <w:u w:val="single"/>
          <w:lang w:val="en-US"/>
        </w:rPr>
      </w:pPr>
    </w:p>
    <w:p w14:paraId="4A3C89D7" w14:textId="77777777" w:rsidR="004B670E" w:rsidRPr="00761074" w:rsidRDefault="004B670E" w:rsidP="00761074">
      <w:pPr>
        <w:spacing w:line="360" w:lineRule="auto"/>
        <w:jc w:val="both"/>
        <w:rPr>
          <w:sz w:val="20"/>
          <w:szCs w:val="20"/>
          <w:lang w:val="en-US"/>
        </w:rPr>
      </w:pPr>
    </w:p>
    <w:sectPr w:rsidR="004B670E" w:rsidRPr="00761074" w:rsidSect="00123299">
      <w:pgSz w:w="11900" w:h="16840"/>
      <w:pgMar w:top="1418" w:right="1701" w:bottom="1418"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9D"/>
    <w:rsid w:val="000602B9"/>
    <w:rsid w:val="00071EDA"/>
    <w:rsid w:val="00081254"/>
    <w:rsid w:val="000A6BA1"/>
    <w:rsid w:val="000A7DB3"/>
    <w:rsid w:val="00104578"/>
    <w:rsid w:val="00123299"/>
    <w:rsid w:val="001471BA"/>
    <w:rsid w:val="0015463B"/>
    <w:rsid w:val="00160D88"/>
    <w:rsid w:val="00186D3F"/>
    <w:rsid w:val="001B649C"/>
    <w:rsid w:val="001F4B6A"/>
    <w:rsid w:val="001F7BF6"/>
    <w:rsid w:val="0024139D"/>
    <w:rsid w:val="0025371F"/>
    <w:rsid w:val="002728E2"/>
    <w:rsid w:val="00285A53"/>
    <w:rsid w:val="00290C96"/>
    <w:rsid w:val="002914A1"/>
    <w:rsid w:val="002917F2"/>
    <w:rsid w:val="00295DB0"/>
    <w:rsid w:val="002C002E"/>
    <w:rsid w:val="002C7B36"/>
    <w:rsid w:val="002F05A1"/>
    <w:rsid w:val="0037146A"/>
    <w:rsid w:val="003B4201"/>
    <w:rsid w:val="004542B1"/>
    <w:rsid w:val="004658A4"/>
    <w:rsid w:val="00490663"/>
    <w:rsid w:val="004B670E"/>
    <w:rsid w:val="004E0298"/>
    <w:rsid w:val="005138D3"/>
    <w:rsid w:val="00561E5B"/>
    <w:rsid w:val="005973B1"/>
    <w:rsid w:val="005B1A7B"/>
    <w:rsid w:val="005B1BC0"/>
    <w:rsid w:val="005B1C39"/>
    <w:rsid w:val="006011EE"/>
    <w:rsid w:val="00617005"/>
    <w:rsid w:val="0062009C"/>
    <w:rsid w:val="00660EEA"/>
    <w:rsid w:val="006B4CA7"/>
    <w:rsid w:val="006C2DEA"/>
    <w:rsid w:val="00720F89"/>
    <w:rsid w:val="007319DE"/>
    <w:rsid w:val="00732699"/>
    <w:rsid w:val="0074652F"/>
    <w:rsid w:val="00761074"/>
    <w:rsid w:val="00767F55"/>
    <w:rsid w:val="007A2189"/>
    <w:rsid w:val="007A5D0F"/>
    <w:rsid w:val="007B1808"/>
    <w:rsid w:val="007E7120"/>
    <w:rsid w:val="00805BA5"/>
    <w:rsid w:val="00812DBD"/>
    <w:rsid w:val="00813237"/>
    <w:rsid w:val="008A7073"/>
    <w:rsid w:val="008C18AC"/>
    <w:rsid w:val="008D749B"/>
    <w:rsid w:val="009102DF"/>
    <w:rsid w:val="00972CC8"/>
    <w:rsid w:val="009D5750"/>
    <w:rsid w:val="009E74B9"/>
    <w:rsid w:val="009E7C2C"/>
    <w:rsid w:val="00A46DF4"/>
    <w:rsid w:val="00A83D54"/>
    <w:rsid w:val="00AD3F6A"/>
    <w:rsid w:val="00B6505F"/>
    <w:rsid w:val="00BE3F90"/>
    <w:rsid w:val="00C4085D"/>
    <w:rsid w:val="00C54D74"/>
    <w:rsid w:val="00C868EB"/>
    <w:rsid w:val="00C86946"/>
    <w:rsid w:val="00C9103D"/>
    <w:rsid w:val="00CA3618"/>
    <w:rsid w:val="00CA4022"/>
    <w:rsid w:val="00CD6BEB"/>
    <w:rsid w:val="00D142DF"/>
    <w:rsid w:val="00DE3D42"/>
    <w:rsid w:val="00DF16A4"/>
    <w:rsid w:val="00DF1CE8"/>
    <w:rsid w:val="00E039F4"/>
    <w:rsid w:val="00E253A4"/>
    <w:rsid w:val="00E51DAB"/>
    <w:rsid w:val="00EA3493"/>
    <w:rsid w:val="00ED4855"/>
    <w:rsid w:val="00EE282C"/>
    <w:rsid w:val="00F6712B"/>
    <w:rsid w:val="00F86B7F"/>
    <w:rsid w:val="00FE2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E10F"/>
  <w15:chartTrackingRefBased/>
  <w15:docId w15:val="{4CA00448-749D-6345-AFEA-A9648BEA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B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4139D"/>
  </w:style>
  <w:style w:type="character" w:styleId="Hyperlink">
    <w:name w:val="Hyperlink"/>
    <w:basedOn w:val="DefaultParagraphFont"/>
    <w:uiPriority w:val="99"/>
    <w:unhideWhenUsed/>
    <w:rsid w:val="0024139D"/>
    <w:rPr>
      <w:color w:val="0563C1" w:themeColor="hyperlink"/>
      <w:u w:val="single"/>
    </w:rPr>
  </w:style>
  <w:style w:type="table" w:styleId="TableGrid">
    <w:name w:val="Table Grid"/>
    <w:basedOn w:val="TableNormal"/>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4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05A1"/>
    <w:rPr>
      <w:color w:val="605E5C"/>
      <w:shd w:val="clear" w:color="auto" w:fill="E1DFDD"/>
    </w:rPr>
  </w:style>
  <w:style w:type="character" w:styleId="FollowedHyperlink">
    <w:name w:val="FollowedHyperlink"/>
    <w:basedOn w:val="DefaultParagraphFont"/>
    <w:uiPriority w:val="99"/>
    <w:semiHidden/>
    <w:unhideWhenUsed/>
    <w:rsid w:val="00123299"/>
    <w:rPr>
      <w:color w:val="954F72" w:themeColor="followedHyperlink"/>
      <w:u w:val="single"/>
    </w:rPr>
  </w:style>
  <w:style w:type="numbering" w:customStyle="1" w:styleId="NoList1">
    <w:name w:val="No List1"/>
    <w:next w:val="NoList"/>
    <w:uiPriority w:val="99"/>
    <w:semiHidden/>
    <w:unhideWhenUsed/>
    <w:rsid w:val="006011EE"/>
  </w:style>
  <w:style w:type="table" w:customStyle="1" w:styleId="TableGrid7">
    <w:name w:val="Table Grid7"/>
    <w:basedOn w:val="TableNormal"/>
    <w:next w:val="TableGrid"/>
    <w:uiPriority w:val="39"/>
    <w:rsid w:val="0060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1EE"/>
    <w:rPr>
      <w:rFonts w:eastAsiaTheme="minorHAnsi"/>
      <w:sz w:val="18"/>
      <w:szCs w:val="18"/>
    </w:rPr>
  </w:style>
  <w:style w:type="character" w:customStyle="1" w:styleId="BalloonTextChar">
    <w:name w:val="Balloon Text Char"/>
    <w:basedOn w:val="DefaultParagraphFont"/>
    <w:link w:val="BalloonText"/>
    <w:uiPriority w:val="99"/>
    <w:semiHidden/>
    <w:rsid w:val="006011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67449">
      <w:bodyDiv w:val="1"/>
      <w:marLeft w:val="0"/>
      <w:marRight w:val="0"/>
      <w:marTop w:val="0"/>
      <w:marBottom w:val="0"/>
      <w:divBdr>
        <w:top w:val="none" w:sz="0" w:space="0" w:color="auto"/>
        <w:left w:val="none" w:sz="0" w:space="0" w:color="auto"/>
        <w:bottom w:val="none" w:sz="0" w:space="0" w:color="auto"/>
        <w:right w:val="none" w:sz="0" w:space="0" w:color="auto"/>
      </w:divBdr>
      <w:divsChild>
        <w:div w:id="471482755">
          <w:marLeft w:val="0"/>
          <w:marRight w:val="0"/>
          <w:marTop w:val="0"/>
          <w:marBottom w:val="0"/>
          <w:divBdr>
            <w:top w:val="none" w:sz="0" w:space="0" w:color="auto"/>
            <w:left w:val="none" w:sz="0" w:space="0" w:color="auto"/>
            <w:bottom w:val="none" w:sz="0" w:space="0" w:color="auto"/>
            <w:right w:val="none" w:sz="0" w:space="0" w:color="auto"/>
          </w:divBdr>
          <w:divsChild>
            <w:div w:id="1541239603">
              <w:marLeft w:val="0"/>
              <w:marRight w:val="0"/>
              <w:marTop w:val="0"/>
              <w:marBottom w:val="0"/>
              <w:divBdr>
                <w:top w:val="none" w:sz="0" w:space="0" w:color="auto"/>
                <w:left w:val="none" w:sz="0" w:space="0" w:color="auto"/>
                <w:bottom w:val="none" w:sz="0" w:space="0" w:color="auto"/>
                <w:right w:val="none" w:sz="0" w:space="0" w:color="auto"/>
              </w:divBdr>
              <w:divsChild>
                <w:div w:id="748189944">
                  <w:marLeft w:val="0"/>
                  <w:marRight w:val="0"/>
                  <w:marTop w:val="0"/>
                  <w:marBottom w:val="0"/>
                  <w:divBdr>
                    <w:top w:val="none" w:sz="0" w:space="0" w:color="auto"/>
                    <w:left w:val="none" w:sz="0" w:space="0" w:color="auto"/>
                    <w:bottom w:val="none" w:sz="0" w:space="0" w:color="auto"/>
                    <w:right w:val="none" w:sz="0" w:space="0" w:color="auto"/>
                  </w:divBdr>
                  <w:divsChild>
                    <w:div w:id="20828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meps217263" TargetMode="External"/><Relationship Id="rId13" Type="http://schemas.openxmlformats.org/officeDocument/2006/relationships/hyperlink" Target="https://doi:10.1038/s41467-018-07592-1" TargetMode="External"/><Relationship Id="rId3" Type="http://schemas.openxmlformats.org/officeDocument/2006/relationships/webSettings" Target="webSettings.xml"/><Relationship Id="rId7" Type="http://schemas.openxmlformats.org/officeDocument/2006/relationships/hyperlink" Target="https://doi.org/10.1038/s41598-017-05220-4" TargetMode="External"/><Relationship Id="rId12" Type="http://schemas.openxmlformats.org/officeDocument/2006/relationships/hyperlink" Target="https://doi.org/10.1371/journal.pone.00237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71/journal.pone.0023814" TargetMode="External"/><Relationship Id="rId11" Type="http://schemas.openxmlformats.org/officeDocument/2006/relationships/hyperlink" Target="https://coraltraits.org" TargetMode="External"/><Relationship Id="rId5" Type="http://schemas.openxmlformats.org/officeDocument/2006/relationships/hyperlink" Target="https://doi.org/10.1046/j.1461-0248.2000.00152.x" TargetMode="External"/><Relationship Id="rId15" Type="http://schemas.openxmlformats.org/officeDocument/2006/relationships/theme" Target="theme/theme1.xml"/><Relationship Id="rId10" Type="http://schemas.openxmlformats.org/officeDocument/2006/relationships/hyperlink" Target="http://corspecies.medrecover.org/" TargetMode="External"/><Relationship Id="rId4" Type="http://schemas.openxmlformats.org/officeDocument/2006/relationships/hyperlink" Target="https://doi.org/10.1016/j.jembe.2007.12.006" TargetMode="External"/><Relationship Id="rId9" Type="http://schemas.openxmlformats.org/officeDocument/2006/relationships/hyperlink" Target="https://doi.org/10.1111/j.1365-2486.2008.01823.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Dani</cp:lastModifiedBy>
  <cp:revision>3</cp:revision>
  <dcterms:created xsi:type="dcterms:W3CDTF">2020-11-23T08:44:00Z</dcterms:created>
  <dcterms:modified xsi:type="dcterms:W3CDTF">2021-01-20T09:26:00Z</dcterms:modified>
</cp:coreProperties>
</file>