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AAACA" w14:textId="5A85F9D2" w:rsidR="003F725B" w:rsidRPr="003F725B" w:rsidRDefault="003F725B" w:rsidP="003F725B">
      <w:pPr>
        <w:spacing w:line="480" w:lineRule="auto"/>
        <w:jc w:val="both"/>
        <w:rPr>
          <w:rFonts w:ascii="Times New Roman" w:hAnsi="Times New Roman" w:cs="Times New Roman"/>
          <w:b/>
          <w:bCs/>
          <w:sz w:val="22"/>
          <w:szCs w:val="22"/>
        </w:rPr>
      </w:pPr>
      <w:r w:rsidRPr="003F725B">
        <w:rPr>
          <w:rFonts w:ascii="Times New Roman" w:hAnsi="Times New Roman" w:cs="Times New Roman"/>
          <w:b/>
          <w:bCs/>
          <w:sz w:val="22"/>
          <w:szCs w:val="22"/>
        </w:rPr>
        <w:t>Annex S1: Detail</w:t>
      </w:r>
      <w:r>
        <w:rPr>
          <w:rFonts w:ascii="Times New Roman" w:hAnsi="Times New Roman" w:cs="Times New Roman"/>
          <w:b/>
          <w:bCs/>
          <w:sz w:val="22"/>
          <w:szCs w:val="22"/>
        </w:rPr>
        <w:t xml:space="preserve">ed </w:t>
      </w:r>
      <w:r w:rsidRPr="003F725B">
        <w:rPr>
          <w:rFonts w:ascii="Times New Roman" w:hAnsi="Times New Roman" w:cs="Times New Roman"/>
          <w:b/>
          <w:bCs/>
          <w:sz w:val="22"/>
          <w:szCs w:val="22"/>
        </w:rPr>
        <w:t>material and methods</w:t>
      </w:r>
    </w:p>
    <w:p w14:paraId="47EB9E14" w14:textId="3574FF17" w:rsidR="003F725B" w:rsidRPr="003F725B" w:rsidRDefault="003F725B" w:rsidP="003F725B">
      <w:pPr>
        <w:pStyle w:val="Paragraphedeliste"/>
        <w:numPr>
          <w:ilvl w:val="0"/>
          <w:numId w:val="1"/>
        </w:numPr>
        <w:spacing w:line="480" w:lineRule="auto"/>
        <w:jc w:val="both"/>
        <w:rPr>
          <w:rFonts w:ascii="Times New Roman" w:hAnsi="Times New Roman" w:cs="Times New Roman"/>
          <w:b/>
          <w:bCs/>
          <w:sz w:val="22"/>
          <w:szCs w:val="22"/>
        </w:rPr>
      </w:pPr>
      <w:r w:rsidRPr="003F725B">
        <w:rPr>
          <w:rFonts w:ascii="Times New Roman" w:hAnsi="Times New Roman" w:cs="Times New Roman"/>
          <w:b/>
          <w:bCs/>
          <w:sz w:val="22"/>
          <w:szCs w:val="22"/>
        </w:rPr>
        <w:t>qPCR analysis</w:t>
      </w:r>
    </w:p>
    <w:p w14:paraId="53710737" w14:textId="77777777" w:rsidR="003F725B" w:rsidRPr="00605CF5" w:rsidRDefault="003F725B" w:rsidP="003F725B">
      <w:pPr>
        <w:spacing w:after="0" w:line="480" w:lineRule="auto"/>
        <w:jc w:val="both"/>
        <w:rPr>
          <w:rFonts w:ascii="Times New Roman" w:hAnsi="Times New Roman" w:cs="Times New Roman"/>
          <w:sz w:val="22"/>
          <w:szCs w:val="22"/>
        </w:rPr>
      </w:pPr>
      <w:r w:rsidRPr="00605CF5">
        <w:rPr>
          <w:rFonts w:ascii="Times New Roman" w:hAnsi="Times New Roman" w:cs="Times New Roman"/>
          <w:sz w:val="22"/>
          <w:szCs w:val="22"/>
        </w:rPr>
        <w:t xml:space="preserve">The various organs in each sample (i.e., spleen, kidney, gill, liver, and brain) were pooled and subjected to a one-minute treatment at 15 Hz using </w:t>
      </w:r>
      <w:proofErr w:type="spellStart"/>
      <w:r w:rsidRPr="00605CF5">
        <w:rPr>
          <w:rFonts w:ascii="Times New Roman" w:hAnsi="Times New Roman" w:cs="Times New Roman"/>
          <w:sz w:val="22"/>
          <w:szCs w:val="22"/>
        </w:rPr>
        <w:t>TissueLyser</w:t>
      </w:r>
      <w:proofErr w:type="spellEnd"/>
      <w:r w:rsidRPr="00605CF5">
        <w:rPr>
          <w:rFonts w:ascii="Times New Roman" w:hAnsi="Times New Roman" w:cs="Times New Roman"/>
          <w:sz w:val="22"/>
          <w:szCs w:val="22"/>
        </w:rPr>
        <w:t xml:space="preserve"> II (QIAGEN, Hilden, Germany). The RNeasy® Mini Kit (QIAGEN) was used to extract RNA from 30 mg of each sample in accordance with the manufacturer's instructions. </w:t>
      </w:r>
      <w:proofErr w:type="spellStart"/>
      <w:r w:rsidRPr="00605CF5">
        <w:rPr>
          <w:rFonts w:ascii="Times New Roman" w:hAnsi="Times New Roman" w:cs="Times New Roman"/>
          <w:sz w:val="22"/>
          <w:szCs w:val="22"/>
        </w:rPr>
        <w:t>ThermoFisher</w:t>
      </w:r>
      <w:proofErr w:type="spellEnd"/>
      <w:r w:rsidRPr="00605CF5">
        <w:rPr>
          <w:rFonts w:ascii="Times New Roman" w:hAnsi="Times New Roman" w:cs="Times New Roman"/>
          <w:sz w:val="22"/>
          <w:szCs w:val="22"/>
        </w:rPr>
        <w:t xml:space="preserve"> Scientific's </w:t>
      </w:r>
      <w:proofErr w:type="spellStart"/>
      <w:r w:rsidRPr="00605CF5">
        <w:rPr>
          <w:rFonts w:ascii="Times New Roman" w:hAnsi="Times New Roman" w:cs="Times New Roman"/>
          <w:sz w:val="22"/>
          <w:szCs w:val="22"/>
        </w:rPr>
        <w:t>NanoDrop</w:t>
      </w:r>
      <w:proofErr w:type="spellEnd"/>
      <w:r w:rsidRPr="00605CF5">
        <w:rPr>
          <w:rFonts w:ascii="Times New Roman" w:hAnsi="Times New Roman" w:cs="Times New Roman"/>
          <w:sz w:val="22"/>
          <w:szCs w:val="22"/>
        </w:rPr>
        <w:t xml:space="preserve"> Lite Spectrophotometer was used to quantify and evaluate the quality of all RNA extracts (A260/A280 ratio). All extracts were standardized in </w:t>
      </w:r>
      <w:proofErr w:type="spellStart"/>
      <w:r w:rsidRPr="00605CF5">
        <w:rPr>
          <w:rFonts w:ascii="Times New Roman" w:hAnsi="Times New Roman" w:cs="Times New Roman"/>
          <w:sz w:val="22"/>
          <w:szCs w:val="22"/>
        </w:rPr>
        <w:t>RNAase</w:t>
      </w:r>
      <w:proofErr w:type="spellEnd"/>
      <w:r w:rsidRPr="00605CF5">
        <w:rPr>
          <w:rFonts w:ascii="Times New Roman" w:hAnsi="Times New Roman" w:cs="Times New Roman"/>
          <w:sz w:val="22"/>
          <w:szCs w:val="22"/>
        </w:rPr>
        <w:t>-free water to reach a 10 ng/</w:t>
      </w:r>
      <w:proofErr w:type="spellStart"/>
      <w:r w:rsidRPr="00605CF5">
        <w:rPr>
          <w:rFonts w:ascii="Times New Roman" w:hAnsi="Times New Roman" w:cs="Times New Roman"/>
          <w:sz w:val="22"/>
          <w:szCs w:val="22"/>
        </w:rPr>
        <w:t>μL</w:t>
      </w:r>
      <w:proofErr w:type="spellEnd"/>
      <w:r w:rsidRPr="00605CF5">
        <w:rPr>
          <w:rFonts w:ascii="Times New Roman" w:hAnsi="Times New Roman" w:cs="Times New Roman"/>
          <w:sz w:val="22"/>
          <w:szCs w:val="22"/>
        </w:rPr>
        <w:t xml:space="preserve"> final concentration.</w:t>
      </w:r>
    </w:p>
    <w:p w14:paraId="322EAE6F" w14:textId="77777777" w:rsidR="003F725B" w:rsidRPr="003F725B" w:rsidRDefault="003F725B" w:rsidP="003F725B">
      <w:pPr>
        <w:spacing w:after="0" w:line="480" w:lineRule="auto"/>
        <w:jc w:val="both"/>
        <w:rPr>
          <w:rFonts w:ascii="Times New Roman" w:hAnsi="Times New Roman" w:cs="Times New Roman"/>
          <w:sz w:val="22"/>
          <w:szCs w:val="22"/>
        </w:rPr>
      </w:pPr>
      <w:r w:rsidRPr="00605CF5">
        <w:rPr>
          <w:rFonts w:ascii="Times New Roman" w:hAnsi="Times New Roman" w:cs="Times New Roman"/>
          <w:sz w:val="22"/>
          <w:szCs w:val="22"/>
        </w:rPr>
        <w:t xml:space="preserve">Using Random Hexamers and </w:t>
      </w:r>
      <w:proofErr w:type="spellStart"/>
      <w:r w:rsidRPr="00605CF5">
        <w:rPr>
          <w:rFonts w:ascii="Times New Roman" w:hAnsi="Times New Roman" w:cs="Times New Roman"/>
          <w:sz w:val="22"/>
          <w:szCs w:val="22"/>
        </w:rPr>
        <w:t>SuperScript</w:t>
      </w:r>
      <w:r w:rsidRPr="00605CF5">
        <w:rPr>
          <w:rFonts w:ascii="Times New Roman" w:hAnsi="Times New Roman" w:cs="Times New Roman"/>
          <w:sz w:val="22"/>
          <w:szCs w:val="22"/>
          <w:vertAlign w:val="superscript"/>
        </w:rPr>
        <w:t>TM</w:t>
      </w:r>
      <w:proofErr w:type="spellEnd"/>
      <w:r w:rsidRPr="00605CF5">
        <w:rPr>
          <w:rFonts w:ascii="Times New Roman" w:hAnsi="Times New Roman" w:cs="Times New Roman"/>
          <w:sz w:val="22"/>
          <w:szCs w:val="22"/>
        </w:rPr>
        <w:t xml:space="preserve"> II Reverse Transcriptase (Invitrogen) in accordance with the manufacturer's procedure, 10 ng of RNA was reverse transcribed into cDNA to produce first-strand cDNA.</w:t>
      </w:r>
      <w:r w:rsidRPr="00605CF5">
        <w:rPr>
          <w:rFonts w:ascii="Times New Roman" w:hAnsi="Times New Roman" w:cs="Times New Roman"/>
          <w:sz w:val="22"/>
          <w:szCs w:val="22"/>
          <w:lang w:val="en-US"/>
        </w:rPr>
        <w:t xml:space="preserve"> </w:t>
      </w:r>
      <w:r w:rsidRPr="00605CF5">
        <w:rPr>
          <w:rFonts w:ascii="Times New Roman" w:hAnsi="Times New Roman" w:cs="Times New Roman"/>
          <w:sz w:val="22"/>
          <w:szCs w:val="22"/>
        </w:rPr>
        <w:t xml:space="preserve">Using sequences deposited in GenBank (DQ524995.1 EU805481.1), the primer set for </w:t>
      </w:r>
      <w:r w:rsidRPr="00605CF5">
        <w:rPr>
          <w:rFonts w:ascii="Times New Roman" w:hAnsi="Times New Roman" w:cs="Times New Roman"/>
          <w:i/>
          <w:iCs/>
          <w:sz w:val="22"/>
          <w:szCs w:val="22"/>
        </w:rPr>
        <w:t>HSP70</w:t>
      </w:r>
      <w:r w:rsidRPr="00605CF5">
        <w:rPr>
          <w:rFonts w:ascii="Times New Roman" w:hAnsi="Times New Roman" w:cs="Times New Roman"/>
          <w:sz w:val="22"/>
          <w:szCs w:val="22"/>
        </w:rPr>
        <w:t xml:space="preserve"> in seabream (Forward primer: 5'-ATCAGCGACAACAAGAGAGC -3' and Reverse primer: 5'-GGTGATGGAGGTGTAGAAGTC -3') was designed. In a 25 </w:t>
      </w:r>
      <w:proofErr w:type="spellStart"/>
      <w:r w:rsidRPr="00605CF5">
        <w:rPr>
          <w:rFonts w:ascii="Times New Roman" w:hAnsi="Times New Roman" w:cs="Times New Roman"/>
          <w:sz w:val="22"/>
          <w:szCs w:val="22"/>
        </w:rPr>
        <w:t>μL</w:t>
      </w:r>
      <w:proofErr w:type="spellEnd"/>
      <w:r w:rsidRPr="00605CF5">
        <w:rPr>
          <w:rFonts w:ascii="Times New Roman" w:hAnsi="Times New Roman" w:cs="Times New Roman"/>
          <w:sz w:val="22"/>
          <w:szCs w:val="22"/>
        </w:rPr>
        <w:t xml:space="preserve"> PCR reaction, one </w:t>
      </w:r>
      <w:proofErr w:type="spellStart"/>
      <w:r w:rsidRPr="00605CF5">
        <w:rPr>
          <w:rFonts w:ascii="Times New Roman" w:hAnsi="Times New Roman" w:cs="Times New Roman"/>
          <w:sz w:val="22"/>
          <w:szCs w:val="22"/>
        </w:rPr>
        <w:t>μL</w:t>
      </w:r>
      <w:proofErr w:type="spellEnd"/>
      <w:r w:rsidRPr="00605CF5">
        <w:rPr>
          <w:rFonts w:ascii="Times New Roman" w:hAnsi="Times New Roman" w:cs="Times New Roman"/>
          <w:sz w:val="22"/>
          <w:szCs w:val="22"/>
        </w:rPr>
        <w:t xml:space="preserve"> of cDNA and one </w:t>
      </w:r>
      <w:proofErr w:type="spellStart"/>
      <w:r w:rsidRPr="00605CF5">
        <w:rPr>
          <w:rFonts w:ascii="Times New Roman" w:hAnsi="Times New Roman" w:cs="Times New Roman"/>
          <w:sz w:val="22"/>
          <w:szCs w:val="22"/>
        </w:rPr>
        <w:t>μL</w:t>
      </w:r>
      <w:proofErr w:type="spellEnd"/>
      <w:r w:rsidRPr="00605CF5">
        <w:rPr>
          <w:rFonts w:ascii="Times New Roman" w:hAnsi="Times New Roman" w:cs="Times New Roman"/>
          <w:sz w:val="22"/>
          <w:szCs w:val="22"/>
        </w:rPr>
        <w:t xml:space="preserve"> of plasmid, in triplicate, were utilized along with 0.4 </w:t>
      </w:r>
      <w:proofErr w:type="spellStart"/>
      <w:r w:rsidRPr="00605CF5">
        <w:rPr>
          <w:rFonts w:ascii="Times New Roman" w:hAnsi="Times New Roman" w:cs="Times New Roman"/>
          <w:sz w:val="22"/>
          <w:szCs w:val="22"/>
        </w:rPr>
        <w:t>μM</w:t>
      </w:r>
      <w:proofErr w:type="spellEnd"/>
      <w:r w:rsidRPr="00605CF5">
        <w:rPr>
          <w:rFonts w:ascii="Times New Roman" w:hAnsi="Times New Roman" w:cs="Times New Roman"/>
          <w:sz w:val="22"/>
          <w:szCs w:val="22"/>
        </w:rPr>
        <w:t xml:space="preserve"> of forward and reverse primers and SYBR Green Master Mix (QIAGEN). The </w:t>
      </w:r>
      <w:r w:rsidRPr="00605CF5">
        <w:rPr>
          <w:rFonts w:ascii="Times New Roman" w:hAnsi="Times New Roman" w:cs="Times New Roman"/>
          <w:i/>
          <w:iCs/>
          <w:sz w:val="22"/>
          <w:szCs w:val="22"/>
        </w:rPr>
        <w:t>HSP70</w:t>
      </w:r>
      <w:r w:rsidRPr="00605CF5">
        <w:rPr>
          <w:rFonts w:ascii="Times New Roman" w:hAnsi="Times New Roman" w:cs="Times New Roman"/>
          <w:sz w:val="22"/>
          <w:szCs w:val="22"/>
        </w:rPr>
        <w:t xml:space="preserve"> primers produced a 176 bp fragment. Since SYBR Green technology was used for all reactions, a dissociation step was added to the amplification cycle to determine the products' specificity. The plasmid was amplified three times at 10-fold dilutions </w:t>
      </w:r>
      <w:proofErr w:type="gramStart"/>
      <w:r w:rsidRPr="00605CF5">
        <w:rPr>
          <w:rFonts w:ascii="Times New Roman" w:hAnsi="Times New Roman" w:cs="Times New Roman"/>
          <w:sz w:val="22"/>
          <w:szCs w:val="22"/>
        </w:rPr>
        <w:t>in order to</w:t>
      </w:r>
      <w:proofErr w:type="gramEnd"/>
      <w:r w:rsidRPr="00605CF5">
        <w:rPr>
          <w:rFonts w:ascii="Times New Roman" w:hAnsi="Times New Roman" w:cs="Times New Roman"/>
          <w:sz w:val="22"/>
          <w:szCs w:val="22"/>
        </w:rPr>
        <w:t xml:space="preserve"> assess the assays' limit of detection.</w:t>
      </w:r>
    </w:p>
    <w:p w14:paraId="5DB2A195" w14:textId="77777777" w:rsidR="003F725B" w:rsidRPr="003F725B" w:rsidRDefault="003F725B" w:rsidP="003F725B">
      <w:pPr>
        <w:spacing w:line="480" w:lineRule="auto"/>
        <w:jc w:val="both"/>
        <w:rPr>
          <w:rFonts w:ascii="Times New Roman" w:hAnsi="Times New Roman" w:cs="Times New Roman"/>
          <w:b/>
          <w:bCs/>
          <w:sz w:val="22"/>
          <w:szCs w:val="22"/>
        </w:rPr>
      </w:pPr>
    </w:p>
    <w:p w14:paraId="71C3CCBC" w14:textId="387D47A5" w:rsidR="003F725B" w:rsidRPr="003F725B" w:rsidRDefault="003F725B" w:rsidP="003F725B">
      <w:pPr>
        <w:pStyle w:val="Paragraphedeliste"/>
        <w:numPr>
          <w:ilvl w:val="0"/>
          <w:numId w:val="1"/>
        </w:numPr>
        <w:spacing w:line="480" w:lineRule="auto"/>
        <w:jc w:val="both"/>
        <w:rPr>
          <w:rFonts w:ascii="Times New Roman" w:hAnsi="Times New Roman" w:cs="Times New Roman"/>
          <w:b/>
          <w:bCs/>
          <w:sz w:val="22"/>
          <w:szCs w:val="22"/>
        </w:rPr>
      </w:pPr>
      <w:r w:rsidRPr="003F725B">
        <w:rPr>
          <w:rFonts w:ascii="Times New Roman" w:hAnsi="Times New Roman" w:cs="Times New Roman"/>
          <w:b/>
          <w:bCs/>
          <w:sz w:val="22"/>
          <w:szCs w:val="22"/>
        </w:rPr>
        <w:t>Swimming activity</w:t>
      </w:r>
    </w:p>
    <w:p w14:paraId="247184A5" w14:textId="7569D985" w:rsidR="003F725B" w:rsidRPr="003F725B" w:rsidRDefault="003F725B" w:rsidP="003F725B">
      <w:pPr>
        <w:spacing w:line="480" w:lineRule="auto"/>
        <w:jc w:val="both"/>
        <w:rPr>
          <w:rFonts w:ascii="Times New Roman" w:hAnsi="Times New Roman" w:cs="Times New Roman"/>
          <w:sz w:val="22"/>
          <w:szCs w:val="22"/>
        </w:rPr>
      </w:pPr>
      <w:r w:rsidRPr="003F725B">
        <w:rPr>
          <w:rFonts w:ascii="Times New Roman" w:hAnsi="Times New Roman" w:cs="Times New Roman"/>
          <w:sz w:val="22"/>
          <w:szCs w:val="22"/>
        </w:rPr>
        <w:t xml:space="preserve">The tag was designed to measure acceleration over two axes (X and Z; tailbeat acceleration), excluding the backward/forward movement Y-axis. Energy expenditure was assessed by measuring acceleration (Alfonso et al. 2021). With a low-power frequency (40–80 seconds of transmitting delay) and a sampling rate of 12.5 Hz, the accelerometer tag implanted in the fish transmitted the tag ID and coded values corresponding to the acceleration of the tagged fish to an acoustic receiver </w:t>
      </w:r>
      <w:proofErr w:type="spellStart"/>
      <w:r w:rsidRPr="003F725B">
        <w:rPr>
          <w:rFonts w:ascii="Times New Roman" w:hAnsi="Times New Roman" w:cs="Times New Roman"/>
          <w:sz w:val="22"/>
          <w:szCs w:val="22"/>
        </w:rPr>
        <w:t>Vemco</w:t>
      </w:r>
      <w:proofErr w:type="spellEnd"/>
      <w:r w:rsidRPr="003F725B">
        <w:rPr>
          <w:rFonts w:ascii="Times New Roman" w:hAnsi="Times New Roman" w:cs="Times New Roman"/>
          <w:sz w:val="22"/>
          <w:szCs w:val="22"/>
        </w:rPr>
        <w:t xml:space="preserve"> VR2W (AMIRIX Systems Inc.) placed at the bottom of each tank. At T2, the receiver was taken out of the tank, and the </w:t>
      </w:r>
      <w:r w:rsidRPr="003F725B">
        <w:rPr>
          <w:rFonts w:ascii="Times New Roman" w:hAnsi="Times New Roman" w:cs="Times New Roman"/>
          <w:sz w:val="22"/>
          <w:szCs w:val="22"/>
        </w:rPr>
        <w:lastRenderedPageBreak/>
        <w:t>VUE software (AMIRIX Systems Inc.) was used to extract the data from the receiver. The accelerometer tags yielded acceleration readings between 0 and 255, which were shown in arbitrary units (AU). The manufacturer's given equation was utilized to convert the received numbers into acceleration: acceleration (m/s</w:t>
      </w:r>
      <w:r w:rsidRPr="003F725B">
        <w:rPr>
          <w:rFonts w:ascii="Times New Roman" w:hAnsi="Times New Roman" w:cs="Times New Roman"/>
          <w:sz w:val="22"/>
          <w:szCs w:val="22"/>
          <w:vertAlign w:val="superscript"/>
        </w:rPr>
        <w:t>2</w:t>
      </w:r>
      <w:r w:rsidRPr="003F725B">
        <w:rPr>
          <w:rFonts w:ascii="Times New Roman" w:hAnsi="Times New Roman" w:cs="Times New Roman"/>
          <w:sz w:val="22"/>
          <w:szCs w:val="22"/>
        </w:rPr>
        <w:t xml:space="preserve">) = 0.01922(x), where the </w:t>
      </w:r>
      <w:proofErr w:type="spellStart"/>
      <w:r w:rsidRPr="003F725B">
        <w:rPr>
          <w:rFonts w:ascii="Times New Roman" w:hAnsi="Times New Roman" w:cs="Times New Roman"/>
          <w:sz w:val="22"/>
          <w:szCs w:val="22"/>
        </w:rPr>
        <w:t>adimensional</w:t>
      </w:r>
      <w:proofErr w:type="spellEnd"/>
      <w:r w:rsidRPr="003F725B">
        <w:rPr>
          <w:rFonts w:ascii="Times New Roman" w:hAnsi="Times New Roman" w:cs="Times New Roman"/>
          <w:sz w:val="22"/>
          <w:szCs w:val="22"/>
        </w:rPr>
        <w:t xml:space="preserve"> value that tags return is x.</w:t>
      </w:r>
    </w:p>
    <w:p w14:paraId="5EA49367" w14:textId="77777777" w:rsidR="003F725B" w:rsidRPr="003F725B" w:rsidRDefault="003F725B" w:rsidP="003F725B">
      <w:pPr>
        <w:spacing w:line="480" w:lineRule="auto"/>
        <w:jc w:val="both"/>
        <w:rPr>
          <w:rFonts w:ascii="Times New Roman" w:hAnsi="Times New Roman" w:cs="Times New Roman"/>
          <w:sz w:val="22"/>
          <w:szCs w:val="22"/>
        </w:rPr>
      </w:pPr>
    </w:p>
    <w:p w14:paraId="266734CB" w14:textId="1348F56A" w:rsidR="003F725B" w:rsidRPr="003F725B" w:rsidRDefault="003F725B" w:rsidP="003F725B">
      <w:pPr>
        <w:pStyle w:val="Paragraphedeliste"/>
        <w:numPr>
          <w:ilvl w:val="0"/>
          <w:numId w:val="1"/>
        </w:numPr>
        <w:spacing w:line="480" w:lineRule="auto"/>
        <w:jc w:val="both"/>
        <w:rPr>
          <w:rFonts w:ascii="Times New Roman" w:hAnsi="Times New Roman" w:cs="Times New Roman"/>
          <w:b/>
          <w:bCs/>
          <w:sz w:val="22"/>
          <w:szCs w:val="22"/>
        </w:rPr>
      </w:pPr>
      <w:r w:rsidRPr="003F725B">
        <w:rPr>
          <w:rFonts w:ascii="Times New Roman" w:hAnsi="Times New Roman" w:cs="Times New Roman"/>
          <w:b/>
          <w:bCs/>
          <w:sz w:val="22"/>
          <w:szCs w:val="22"/>
        </w:rPr>
        <w:t>Statistical analyses</w:t>
      </w:r>
    </w:p>
    <w:p w14:paraId="08A68FE7" w14:textId="77777777" w:rsidR="003F725B" w:rsidRPr="003F725B" w:rsidRDefault="003F725B" w:rsidP="003F725B">
      <w:pPr>
        <w:spacing w:line="480" w:lineRule="auto"/>
        <w:jc w:val="both"/>
        <w:rPr>
          <w:rFonts w:ascii="Times New Roman" w:hAnsi="Times New Roman" w:cs="Times New Roman"/>
          <w:sz w:val="22"/>
          <w:szCs w:val="22"/>
        </w:rPr>
      </w:pPr>
      <w:r w:rsidRPr="003F725B">
        <w:rPr>
          <w:rFonts w:ascii="Times New Roman" w:hAnsi="Times New Roman" w:cs="Times New Roman"/>
          <w:sz w:val="22"/>
          <w:szCs w:val="22"/>
        </w:rPr>
        <w:t>Weight differences were evaluated using a linear mixed model with the sampling time (T0, T1, and T2), the diet group (control vs. innovative) and interaction between the two factors as fixed effects, while the fish ID was added as a random effect. A post-hoc test computing estimated marginal means (</w:t>
      </w:r>
      <w:proofErr w:type="spellStart"/>
      <w:r w:rsidRPr="003F725B">
        <w:rPr>
          <w:rFonts w:ascii="Times New Roman" w:hAnsi="Times New Roman" w:cs="Times New Roman"/>
          <w:i/>
          <w:iCs/>
          <w:sz w:val="22"/>
          <w:szCs w:val="22"/>
        </w:rPr>
        <w:t>emmeans</w:t>
      </w:r>
      <w:proofErr w:type="spellEnd"/>
      <w:r w:rsidRPr="003F725B">
        <w:rPr>
          <w:rFonts w:ascii="Times New Roman" w:hAnsi="Times New Roman" w:cs="Times New Roman"/>
          <w:i/>
          <w:iCs/>
          <w:sz w:val="22"/>
          <w:szCs w:val="22"/>
        </w:rPr>
        <w:t xml:space="preserve"> </w:t>
      </w:r>
      <w:r w:rsidRPr="003F725B">
        <w:rPr>
          <w:rFonts w:ascii="Times New Roman" w:hAnsi="Times New Roman" w:cs="Times New Roman"/>
          <w:sz w:val="22"/>
          <w:szCs w:val="22"/>
        </w:rPr>
        <w:t xml:space="preserve">package; </w:t>
      </w:r>
      <w:r w:rsidRPr="003F725B">
        <w:rPr>
          <w:rFonts w:ascii="Times New Roman" w:hAnsi="Times New Roman" w:cs="Times New Roman"/>
          <w:noProof/>
          <w:sz w:val="22"/>
          <w:szCs w:val="22"/>
        </w:rPr>
        <w:t>Lenth 2019)</w:t>
      </w:r>
      <w:r w:rsidRPr="003F725B">
        <w:rPr>
          <w:rFonts w:ascii="Times New Roman" w:hAnsi="Times New Roman" w:cs="Times New Roman"/>
          <w:sz w:val="22"/>
          <w:szCs w:val="22"/>
        </w:rPr>
        <w:t xml:space="preserve"> was performed to test differences between sampling times. Additionally, the SGR, FCR, and PER were compared between the two diet groups using Wilcoxon tests since conditions for application of linear models were not fulfilled.</w:t>
      </w:r>
    </w:p>
    <w:p w14:paraId="78EB42F8" w14:textId="77777777" w:rsidR="003F725B" w:rsidRPr="003F725B" w:rsidRDefault="003F725B" w:rsidP="003F725B">
      <w:pPr>
        <w:spacing w:line="480" w:lineRule="auto"/>
        <w:jc w:val="both"/>
        <w:rPr>
          <w:rFonts w:ascii="Times New Roman" w:hAnsi="Times New Roman" w:cs="Times New Roman"/>
          <w:sz w:val="22"/>
          <w:szCs w:val="22"/>
        </w:rPr>
      </w:pPr>
      <w:r w:rsidRPr="003F725B">
        <w:rPr>
          <w:rFonts w:ascii="Times New Roman" w:hAnsi="Times New Roman" w:cs="Times New Roman"/>
          <w:sz w:val="22"/>
          <w:szCs w:val="22"/>
        </w:rPr>
        <w:t xml:space="preserve">For the analysis of physiological parameters related to stress, health, and welfare (i.e. </w:t>
      </w:r>
      <w:proofErr w:type="spellStart"/>
      <w:r w:rsidRPr="003F725B">
        <w:rPr>
          <w:rFonts w:ascii="Times New Roman" w:hAnsi="Times New Roman" w:cs="Times New Roman"/>
          <w:sz w:val="22"/>
          <w:szCs w:val="22"/>
        </w:rPr>
        <w:t>hematocrit</w:t>
      </w:r>
      <w:proofErr w:type="spellEnd"/>
      <w:r w:rsidRPr="003F725B">
        <w:rPr>
          <w:rFonts w:ascii="Times New Roman" w:hAnsi="Times New Roman" w:cs="Times New Roman"/>
          <w:sz w:val="22"/>
          <w:szCs w:val="22"/>
        </w:rPr>
        <w:t xml:space="preserve">, glucose, lactate, cortisol, </w:t>
      </w:r>
      <w:proofErr w:type="spellStart"/>
      <w:r w:rsidRPr="003F725B">
        <w:rPr>
          <w:rFonts w:ascii="Times New Roman" w:hAnsi="Times New Roman" w:cs="Times New Roman"/>
          <w:sz w:val="22"/>
          <w:szCs w:val="22"/>
        </w:rPr>
        <w:t>hemoglobin</w:t>
      </w:r>
      <w:proofErr w:type="spellEnd"/>
      <w:r w:rsidRPr="003F725B">
        <w:rPr>
          <w:rFonts w:ascii="Times New Roman" w:hAnsi="Times New Roman" w:cs="Times New Roman"/>
          <w:sz w:val="22"/>
          <w:szCs w:val="22"/>
        </w:rPr>
        <w:t xml:space="preserve">, RBCC, </w:t>
      </w:r>
      <w:r w:rsidRPr="003F725B">
        <w:rPr>
          <w:rFonts w:ascii="Times New Roman" w:hAnsi="Times New Roman" w:cs="Times New Roman"/>
          <w:i/>
          <w:iCs/>
          <w:sz w:val="22"/>
          <w:szCs w:val="22"/>
        </w:rPr>
        <w:t>Hsp70</w:t>
      </w:r>
      <w:r w:rsidRPr="003F725B">
        <w:rPr>
          <w:rFonts w:ascii="Times New Roman" w:hAnsi="Times New Roman" w:cs="Times New Roman"/>
          <w:sz w:val="22"/>
          <w:szCs w:val="22"/>
        </w:rPr>
        <w:t xml:space="preserve">), linear mixed models (packages </w:t>
      </w:r>
      <w:r w:rsidRPr="003F725B">
        <w:rPr>
          <w:rFonts w:ascii="Times New Roman" w:hAnsi="Times New Roman" w:cs="Times New Roman"/>
          <w:i/>
          <w:iCs/>
          <w:sz w:val="22"/>
          <w:szCs w:val="22"/>
        </w:rPr>
        <w:t>lme4</w:t>
      </w:r>
      <w:r w:rsidRPr="003F725B">
        <w:rPr>
          <w:rFonts w:ascii="Times New Roman" w:hAnsi="Times New Roman" w:cs="Times New Roman"/>
          <w:sz w:val="22"/>
          <w:szCs w:val="22"/>
        </w:rPr>
        <w:t xml:space="preserve"> </w:t>
      </w:r>
      <w:r w:rsidRPr="003F725B">
        <w:rPr>
          <w:rFonts w:ascii="Times New Roman" w:hAnsi="Times New Roman" w:cs="Times New Roman"/>
          <w:noProof/>
          <w:sz w:val="22"/>
          <w:szCs w:val="22"/>
        </w:rPr>
        <w:t>[Bates et al. 2014] and</w:t>
      </w:r>
      <w:r w:rsidRPr="003F725B">
        <w:rPr>
          <w:rFonts w:ascii="Times New Roman" w:hAnsi="Times New Roman" w:cs="Times New Roman"/>
          <w:i/>
          <w:iCs/>
          <w:noProof/>
          <w:sz w:val="22"/>
          <w:szCs w:val="22"/>
        </w:rPr>
        <w:t xml:space="preserve"> lmerTest</w:t>
      </w:r>
      <w:r w:rsidRPr="003F725B">
        <w:rPr>
          <w:rFonts w:ascii="Times New Roman" w:hAnsi="Times New Roman" w:cs="Times New Roman"/>
          <w:noProof/>
          <w:sz w:val="22"/>
          <w:szCs w:val="22"/>
        </w:rPr>
        <w:t>;</w:t>
      </w:r>
      <w:r w:rsidRPr="003F725B">
        <w:rPr>
          <w:rFonts w:ascii="Times New Roman" w:hAnsi="Times New Roman" w:cs="Times New Roman"/>
          <w:i/>
          <w:iCs/>
          <w:noProof/>
          <w:sz w:val="22"/>
          <w:szCs w:val="22"/>
        </w:rPr>
        <w:t xml:space="preserve"> </w:t>
      </w:r>
      <w:r w:rsidRPr="003F725B">
        <w:rPr>
          <w:rFonts w:ascii="Times New Roman" w:hAnsi="Times New Roman" w:cs="Times New Roman"/>
          <w:noProof/>
          <w:sz w:val="22"/>
          <w:szCs w:val="22"/>
        </w:rPr>
        <w:t>Kuznetsova et al. 2017)</w:t>
      </w:r>
      <w:r w:rsidRPr="003F725B">
        <w:rPr>
          <w:rFonts w:ascii="Times New Roman" w:hAnsi="Times New Roman" w:cs="Times New Roman"/>
          <w:sz w:val="22"/>
          <w:szCs w:val="22"/>
        </w:rPr>
        <w:t xml:space="preserve"> were applied to each parameter using the diet (control vs. innovative), the sampling time (T1 and T2) and the interaction between these two as fixed factors, with the tank included as a random factor. Cortisol was the only parameter analysed differently, using a generalized linear mixed model with a Gamma family and a log-link with the diet (control vs. innovative), the sampling time (T1 and T2), and the interaction between these two as fixed factors, and with the tank included as a random factor. When the interaction was non-significant, it was removed from the final model. A post-hoc test computing estimated marginal means was performed when the interaction between sampling time and diet was significant. Glucose, </w:t>
      </w:r>
      <w:proofErr w:type="spellStart"/>
      <w:r w:rsidRPr="003F725B">
        <w:rPr>
          <w:rFonts w:ascii="Times New Roman" w:hAnsi="Times New Roman" w:cs="Times New Roman"/>
          <w:sz w:val="22"/>
          <w:szCs w:val="22"/>
        </w:rPr>
        <w:t>hemoglobin</w:t>
      </w:r>
      <w:proofErr w:type="spellEnd"/>
      <w:r w:rsidRPr="003F725B">
        <w:rPr>
          <w:rFonts w:ascii="Times New Roman" w:hAnsi="Times New Roman" w:cs="Times New Roman"/>
          <w:sz w:val="22"/>
          <w:szCs w:val="22"/>
        </w:rPr>
        <w:t xml:space="preserve">, lactate, and </w:t>
      </w:r>
      <w:r w:rsidRPr="003F725B">
        <w:rPr>
          <w:rFonts w:ascii="Times New Roman" w:hAnsi="Times New Roman" w:cs="Times New Roman"/>
          <w:i/>
          <w:iCs/>
          <w:sz w:val="22"/>
          <w:szCs w:val="22"/>
        </w:rPr>
        <w:t>Hsp70</w:t>
      </w:r>
      <w:r w:rsidRPr="003F725B">
        <w:rPr>
          <w:rFonts w:ascii="Times New Roman" w:hAnsi="Times New Roman" w:cs="Times New Roman"/>
          <w:sz w:val="22"/>
          <w:szCs w:val="22"/>
        </w:rPr>
        <w:t xml:space="preserve"> values were log-transformed to meet the conditions of application. Regarding the analysis of immune parameters and protein content (i.e. total proteins, prealbumin, albumin, alpha 1, alpha 2, beta 1, beta 2, gamma, and immunoglobulin M levels), linear mixed models or linear models (i.e. when the tank effect was null) were used with the sampling time (T1 and T2) and the diet (control and innovative diets) as </w:t>
      </w:r>
      <w:r w:rsidRPr="003F725B">
        <w:rPr>
          <w:rFonts w:ascii="Times New Roman" w:hAnsi="Times New Roman" w:cs="Times New Roman"/>
          <w:sz w:val="22"/>
          <w:szCs w:val="22"/>
        </w:rPr>
        <w:lastRenderedPageBreak/>
        <w:t>fixed factors and, if applicable, the tank as a random factor. Alpha 1 and beta 1 were log-transformed to meet the conditions of application. When the interaction was non-significant, it was removed from the final model.</w:t>
      </w:r>
    </w:p>
    <w:p w14:paraId="74750AD1" w14:textId="77777777" w:rsidR="003F725B" w:rsidRPr="003F725B" w:rsidRDefault="003F725B" w:rsidP="003F725B">
      <w:pPr>
        <w:spacing w:line="480" w:lineRule="auto"/>
        <w:jc w:val="both"/>
        <w:rPr>
          <w:rFonts w:ascii="Times New Roman" w:hAnsi="Times New Roman" w:cs="Times New Roman"/>
          <w:sz w:val="22"/>
          <w:szCs w:val="22"/>
        </w:rPr>
      </w:pPr>
      <w:r w:rsidRPr="003F725B">
        <w:rPr>
          <w:rFonts w:ascii="Times New Roman" w:hAnsi="Times New Roman" w:cs="Times New Roman"/>
          <w:sz w:val="22"/>
          <w:szCs w:val="22"/>
        </w:rPr>
        <w:t xml:space="preserve">We employed a generalized linear mixed model with Gamma family and log link (library </w:t>
      </w:r>
      <w:r w:rsidRPr="003F725B">
        <w:rPr>
          <w:rFonts w:ascii="Times New Roman" w:hAnsi="Times New Roman" w:cs="Times New Roman"/>
          <w:i/>
          <w:iCs/>
          <w:sz w:val="22"/>
          <w:szCs w:val="22"/>
        </w:rPr>
        <w:t>lme4</w:t>
      </w:r>
      <w:r w:rsidRPr="003F725B">
        <w:rPr>
          <w:rFonts w:ascii="Times New Roman" w:hAnsi="Times New Roman" w:cs="Times New Roman"/>
          <w:sz w:val="22"/>
          <w:szCs w:val="22"/>
        </w:rPr>
        <w:t xml:space="preserve">) to assess swimming activity. The fish individual was included as a random factor while the diet (control </w:t>
      </w:r>
      <w:r w:rsidRPr="003F725B">
        <w:rPr>
          <w:rFonts w:ascii="Times New Roman" w:hAnsi="Times New Roman" w:cs="Times New Roman"/>
          <w:i/>
          <w:iCs/>
          <w:sz w:val="22"/>
          <w:szCs w:val="22"/>
        </w:rPr>
        <w:t>vs</w:t>
      </w:r>
      <w:r w:rsidRPr="003F725B">
        <w:rPr>
          <w:rFonts w:ascii="Times New Roman" w:hAnsi="Times New Roman" w:cs="Times New Roman"/>
          <w:sz w:val="22"/>
          <w:szCs w:val="22"/>
        </w:rPr>
        <w:t xml:space="preserve"> innovative), time of day (day </w:t>
      </w:r>
      <w:r w:rsidRPr="003F725B">
        <w:rPr>
          <w:rFonts w:ascii="Times New Roman" w:hAnsi="Times New Roman" w:cs="Times New Roman"/>
          <w:i/>
          <w:iCs/>
          <w:sz w:val="22"/>
          <w:szCs w:val="22"/>
        </w:rPr>
        <w:t xml:space="preserve">vs </w:t>
      </w:r>
      <w:r w:rsidRPr="003F725B">
        <w:rPr>
          <w:rFonts w:ascii="Times New Roman" w:hAnsi="Times New Roman" w:cs="Times New Roman"/>
          <w:sz w:val="22"/>
          <w:szCs w:val="22"/>
        </w:rPr>
        <w:t xml:space="preserve">night), and the interaction between diet and time of day were used as fixed factors. Furthermore, the entire dataset of swimming activity values collected by tags during the experiment was employed to analyse the frequency distribution between the two diets. This was done by combining the swimming activity values by slots of 10 (i.e., 0–10, 11–20, [...], 241–250, 251–255). A Chi-squared test was first performed, followed by row-wise z-tests (package </w:t>
      </w:r>
      <w:proofErr w:type="spellStart"/>
      <w:r w:rsidRPr="003F725B">
        <w:rPr>
          <w:rFonts w:ascii="Times New Roman" w:hAnsi="Times New Roman" w:cs="Times New Roman"/>
          <w:i/>
          <w:iCs/>
          <w:sz w:val="22"/>
          <w:szCs w:val="22"/>
        </w:rPr>
        <w:t>rstatix</w:t>
      </w:r>
      <w:proofErr w:type="spellEnd"/>
      <w:r w:rsidRPr="003F725B">
        <w:rPr>
          <w:rFonts w:ascii="Times New Roman" w:hAnsi="Times New Roman" w:cs="Times New Roman"/>
          <w:i/>
          <w:iCs/>
          <w:sz w:val="22"/>
          <w:szCs w:val="22"/>
        </w:rPr>
        <w:t xml:space="preserve"> </w:t>
      </w:r>
      <w:r w:rsidRPr="003F725B">
        <w:rPr>
          <w:rFonts w:ascii="Times New Roman" w:hAnsi="Times New Roman" w:cs="Times New Roman"/>
          <w:iCs/>
          <w:noProof/>
          <w:sz w:val="22"/>
          <w:szCs w:val="22"/>
        </w:rPr>
        <w:t>[Kassambara 2023]</w:t>
      </w:r>
      <w:r w:rsidRPr="003F725B">
        <w:rPr>
          <w:rFonts w:ascii="Times New Roman" w:hAnsi="Times New Roman" w:cs="Times New Roman"/>
          <w:sz w:val="22"/>
          <w:szCs w:val="22"/>
        </w:rPr>
        <w:t xml:space="preserve">) with p-values adjusted by Bonferroni correction </w:t>
      </w:r>
      <w:proofErr w:type="gramStart"/>
      <w:r w:rsidRPr="003F725B">
        <w:rPr>
          <w:rFonts w:ascii="Times New Roman" w:hAnsi="Times New Roman" w:cs="Times New Roman"/>
          <w:sz w:val="22"/>
          <w:szCs w:val="22"/>
        </w:rPr>
        <w:t>in order to</w:t>
      </w:r>
      <w:proofErr w:type="gramEnd"/>
      <w:r w:rsidRPr="003F725B">
        <w:rPr>
          <w:rFonts w:ascii="Times New Roman" w:hAnsi="Times New Roman" w:cs="Times New Roman"/>
          <w:sz w:val="22"/>
          <w:szCs w:val="22"/>
        </w:rPr>
        <w:t xml:space="preserve"> compare proportions of values between the two diets slot by slot. </w:t>
      </w:r>
    </w:p>
    <w:p w14:paraId="7F8B6B54" w14:textId="77777777" w:rsidR="003F725B" w:rsidRDefault="003F725B" w:rsidP="003F725B">
      <w:pPr>
        <w:spacing w:line="480" w:lineRule="auto"/>
        <w:jc w:val="both"/>
        <w:rPr>
          <w:rFonts w:ascii="Times New Roman" w:hAnsi="Times New Roman" w:cs="Times New Roman"/>
          <w:sz w:val="22"/>
          <w:szCs w:val="22"/>
        </w:rPr>
      </w:pPr>
    </w:p>
    <w:p w14:paraId="422BD3EF" w14:textId="77777777" w:rsidR="006E25F9" w:rsidRPr="006E25F9" w:rsidRDefault="006E25F9" w:rsidP="006E25F9">
      <w:pPr>
        <w:spacing w:line="480" w:lineRule="auto"/>
        <w:jc w:val="both"/>
        <w:rPr>
          <w:rFonts w:ascii="Times New Roman" w:hAnsi="Times New Roman" w:cs="Times New Roman"/>
          <w:sz w:val="22"/>
          <w:szCs w:val="22"/>
          <w:lang w:val="en-US"/>
        </w:rPr>
      </w:pPr>
      <w:r w:rsidRPr="006E25F9">
        <w:rPr>
          <w:rFonts w:ascii="Times New Roman" w:hAnsi="Times New Roman" w:cs="Times New Roman"/>
          <w:sz w:val="22"/>
          <w:szCs w:val="22"/>
          <w:lang w:val="en-US"/>
        </w:rPr>
        <w:t xml:space="preserve">Alfonso S, Zupa W, </w:t>
      </w:r>
      <w:proofErr w:type="spellStart"/>
      <w:r w:rsidRPr="006E25F9">
        <w:rPr>
          <w:rFonts w:ascii="Times New Roman" w:hAnsi="Times New Roman" w:cs="Times New Roman"/>
          <w:sz w:val="22"/>
          <w:szCs w:val="22"/>
          <w:lang w:val="en-US"/>
        </w:rPr>
        <w:t>Spedicato</w:t>
      </w:r>
      <w:proofErr w:type="spellEnd"/>
      <w:r w:rsidRPr="006E25F9">
        <w:rPr>
          <w:rFonts w:ascii="Times New Roman" w:hAnsi="Times New Roman" w:cs="Times New Roman"/>
          <w:sz w:val="22"/>
          <w:szCs w:val="22"/>
          <w:lang w:val="en-US"/>
        </w:rPr>
        <w:t xml:space="preserve"> MT, et al (2021) Mapping the energetic costs of free-swimming gilthead sea bream (</w:t>
      </w:r>
      <w:r w:rsidRPr="006E25F9">
        <w:rPr>
          <w:rFonts w:ascii="Times New Roman" w:hAnsi="Times New Roman" w:cs="Times New Roman"/>
          <w:i/>
          <w:iCs/>
          <w:sz w:val="22"/>
          <w:szCs w:val="22"/>
          <w:lang w:val="en-US"/>
        </w:rPr>
        <w:t>Sparus aurata</w:t>
      </w:r>
      <w:r w:rsidRPr="006E25F9">
        <w:rPr>
          <w:rFonts w:ascii="Times New Roman" w:hAnsi="Times New Roman" w:cs="Times New Roman"/>
          <w:sz w:val="22"/>
          <w:szCs w:val="22"/>
          <w:lang w:val="en-US"/>
        </w:rPr>
        <w:t xml:space="preserve">), a key species in European marine aquaculture. Biology (Basel) 10:1357. </w:t>
      </w:r>
      <w:proofErr w:type="spellStart"/>
      <w:r w:rsidRPr="006E25F9">
        <w:rPr>
          <w:rFonts w:ascii="Times New Roman" w:hAnsi="Times New Roman" w:cs="Times New Roman"/>
          <w:sz w:val="22"/>
          <w:szCs w:val="22"/>
          <w:lang w:val="en-US"/>
        </w:rPr>
        <w:t>doi</w:t>
      </w:r>
      <w:proofErr w:type="spellEnd"/>
      <w:r w:rsidRPr="006E25F9">
        <w:rPr>
          <w:rFonts w:ascii="Times New Roman" w:hAnsi="Times New Roman" w:cs="Times New Roman"/>
          <w:sz w:val="22"/>
          <w:szCs w:val="22"/>
          <w:lang w:val="en-US"/>
        </w:rPr>
        <w:t>: 10.3390/biology10121357</w:t>
      </w:r>
    </w:p>
    <w:p w14:paraId="5D677F20" w14:textId="77777777" w:rsidR="005C4561" w:rsidRDefault="005C4561" w:rsidP="005C4561">
      <w:pPr>
        <w:spacing w:line="480" w:lineRule="auto"/>
        <w:jc w:val="both"/>
        <w:rPr>
          <w:rFonts w:ascii="Times New Roman" w:hAnsi="Times New Roman" w:cs="Times New Roman"/>
          <w:sz w:val="22"/>
          <w:szCs w:val="22"/>
          <w:lang w:val="en-US"/>
        </w:rPr>
      </w:pPr>
      <w:r w:rsidRPr="005C4561">
        <w:rPr>
          <w:rFonts w:ascii="Times New Roman" w:hAnsi="Times New Roman" w:cs="Times New Roman"/>
          <w:sz w:val="22"/>
          <w:szCs w:val="22"/>
          <w:lang w:val="en-US"/>
        </w:rPr>
        <w:t xml:space="preserve">Bates D, Mächler M, Bolker B, Walker S (2014) Fitting Linear Mixed-Effects Models using lme4. J Stat </w:t>
      </w:r>
      <w:proofErr w:type="spellStart"/>
      <w:r w:rsidRPr="005C4561">
        <w:rPr>
          <w:rFonts w:ascii="Times New Roman" w:hAnsi="Times New Roman" w:cs="Times New Roman"/>
          <w:sz w:val="22"/>
          <w:szCs w:val="22"/>
          <w:lang w:val="en-US"/>
        </w:rPr>
        <w:t>Softw</w:t>
      </w:r>
      <w:proofErr w:type="spellEnd"/>
      <w:r w:rsidRPr="005C4561">
        <w:rPr>
          <w:rFonts w:ascii="Times New Roman" w:hAnsi="Times New Roman" w:cs="Times New Roman"/>
          <w:sz w:val="22"/>
          <w:szCs w:val="22"/>
          <w:lang w:val="en-US"/>
        </w:rPr>
        <w:t xml:space="preserve"> 67:1–48. </w:t>
      </w:r>
      <w:proofErr w:type="spellStart"/>
      <w:r w:rsidRPr="005C4561">
        <w:rPr>
          <w:rFonts w:ascii="Times New Roman" w:hAnsi="Times New Roman" w:cs="Times New Roman"/>
          <w:sz w:val="22"/>
          <w:szCs w:val="22"/>
          <w:lang w:val="en-US"/>
        </w:rPr>
        <w:t>doi</w:t>
      </w:r>
      <w:proofErr w:type="spellEnd"/>
      <w:r w:rsidRPr="005C4561">
        <w:rPr>
          <w:rFonts w:ascii="Times New Roman" w:hAnsi="Times New Roman" w:cs="Times New Roman"/>
          <w:sz w:val="22"/>
          <w:szCs w:val="22"/>
          <w:lang w:val="en-US"/>
        </w:rPr>
        <w:t>: 10.18637/</w:t>
      </w:r>
      <w:proofErr w:type="gramStart"/>
      <w:r w:rsidRPr="005C4561">
        <w:rPr>
          <w:rFonts w:ascii="Times New Roman" w:hAnsi="Times New Roman" w:cs="Times New Roman"/>
          <w:sz w:val="22"/>
          <w:szCs w:val="22"/>
          <w:lang w:val="en-US"/>
        </w:rPr>
        <w:t>jss.v067.i</w:t>
      </w:r>
      <w:proofErr w:type="gramEnd"/>
      <w:r w:rsidRPr="005C4561">
        <w:rPr>
          <w:rFonts w:ascii="Times New Roman" w:hAnsi="Times New Roman" w:cs="Times New Roman"/>
          <w:sz w:val="22"/>
          <w:szCs w:val="22"/>
          <w:lang w:val="en-US"/>
        </w:rPr>
        <w:t>01</w:t>
      </w:r>
    </w:p>
    <w:p w14:paraId="20EC56FF" w14:textId="0D114F8D" w:rsidR="004E60F5" w:rsidRPr="005C4561" w:rsidRDefault="004E60F5" w:rsidP="005C4561">
      <w:pPr>
        <w:spacing w:line="480" w:lineRule="auto"/>
        <w:jc w:val="both"/>
        <w:rPr>
          <w:rFonts w:ascii="Times New Roman" w:hAnsi="Times New Roman" w:cs="Times New Roman"/>
          <w:sz w:val="22"/>
          <w:szCs w:val="22"/>
          <w:lang w:val="en-US"/>
        </w:rPr>
      </w:pPr>
      <w:proofErr w:type="spellStart"/>
      <w:r w:rsidRPr="004E60F5">
        <w:rPr>
          <w:rFonts w:ascii="Times New Roman" w:hAnsi="Times New Roman" w:cs="Times New Roman"/>
          <w:sz w:val="22"/>
          <w:szCs w:val="22"/>
          <w:lang w:val="en-US"/>
        </w:rPr>
        <w:t>Kassambara</w:t>
      </w:r>
      <w:proofErr w:type="spellEnd"/>
      <w:r w:rsidRPr="004E60F5">
        <w:rPr>
          <w:rFonts w:ascii="Times New Roman" w:hAnsi="Times New Roman" w:cs="Times New Roman"/>
          <w:sz w:val="22"/>
          <w:szCs w:val="22"/>
          <w:lang w:val="en-US"/>
        </w:rPr>
        <w:t xml:space="preserve"> A (2023) </w:t>
      </w:r>
      <w:proofErr w:type="spellStart"/>
      <w:r w:rsidRPr="004E60F5">
        <w:rPr>
          <w:rFonts w:ascii="Times New Roman" w:hAnsi="Times New Roman" w:cs="Times New Roman"/>
          <w:sz w:val="22"/>
          <w:szCs w:val="22"/>
          <w:lang w:val="en-US"/>
        </w:rPr>
        <w:t>rstatix</w:t>
      </w:r>
      <w:proofErr w:type="spellEnd"/>
      <w:r w:rsidRPr="004E60F5">
        <w:rPr>
          <w:rFonts w:ascii="Times New Roman" w:hAnsi="Times New Roman" w:cs="Times New Roman"/>
          <w:sz w:val="22"/>
          <w:szCs w:val="22"/>
          <w:lang w:val="en-US"/>
        </w:rPr>
        <w:t>: Pipe-Friendly Framework for Basic Statistical Tests. R package version 0.7.2</w:t>
      </w:r>
    </w:p>
    <w:p w14:paraId="4BB57794" w14:textId="0D0337E0" w:rsidR="005C4561" w:rsidRDefault="00BC4B34" w:rsidP="00F664CD">
      <w:pPr>
        <w:spacing w:line="480" w:lineRule="auto"/>
        <w:jc w:val="both"/>
        <w:rPr>
          <w:rFonts w:ascii="Times New Roman" w:hAnsi="Times New Roman" w:cs="Times New Roman"/>
          <w:sz w:val="22"/>
          <w:szCs w:val="22"/>
          <w:lang w:val="en-US"/>
        </w:rPr>
      </w:pPr>
      <w:r w:rsidRPr="00BC4B34">
        <w:rPr>
          <w:rFonts w:ascii="Times New Roman" w:hAnsi="Times New Roman" w:cs="Times New Roman"/>
          <w:sz w:val="22"/>
          <w:szCs w:val="22"/>
          <w:lang w:val="en-US"/>
        </w:rPr>
        <w:t xml:space="preserve">Kuznetsova A, Brockhoff PB, Christensen RHB (2017) </w:t>
      </w:r>
      <w:proofErr w:type="spellStart"/>
      <w:r w:rsidRPr="00BC4B34">
        <w:rPr>
          <w:rFonts w:ascii="Times New Roman" w:hAnsi="Times New Roman" w:cs="Times New Roman"/>
          <w:sz w:val="22"/>
          <w:szCs w:val="22"/>
          <w:lang w:val="en-US"/>
        </w:rPr>
        <w:t>lmerTest</w:t>
      </w:r>
      <w:proofErr w:type="spellEnd"/>
      <w:r w:rsidRPr="00BC4B34">
        <w:rPr>
          <w:rFonts w:ascii="Times New Roman" w:hAnsi="Times New Roman" w:cs="Times New Roman"/>
          <w:sz w:val="22"/>
          <w:szCs w:val="22"/>
          <w:lang w:val="en-US"/>
        </w:rPr>
        <w:t xml:space="preserve"> Package: Tests in Linear Mixed Effects Models. J Stat </w:t>
      </w:r>
      <w:proofErr w:type="spellStart"/>
      <w:r w:rsidRPr="00BC4B34">
        <w:rPr>
          <w:rFonts w:ascii="Times New Roman" w:hAnsi="Times New Roman" w:cs="Times New Roman"/>
          <w:sz w:val="22"/>
          <w:szCs w:val="22"/>
          <w:lang w:val="en-US"/>
        </w:rPr>
        <w:t>Softw</w:t>
      </w:r>
      <w:proofErr w:type="spellEnd"/>
      <w:r w:rsidRPr="00BC4B34">
        <w:rPr>
          <w:rFonts w:ascii="Times New Roman" w:hAnsi="Times New Roman" w:cs="Times New Roman"/>
          <w:sz w:val="22"/>
          <w:szCs w:val="22"/>
          <w:lang w:val="en-US"/>
        </w:rPr>
        <w:t xml:space="preserve"> 82:1–26. </w:t>
      </w:r>
      <w:proofErr w:type="spellStart"/>
      <w:r w:rsidRPr="00BC4B34">
        <w:rPr>
          <w:rFonts w:ascii="Times New Roman" w:hAnsi="Times New Roman" w:cs="Times New Roman"/>
          <w:sz w:val="22"/>
          <w:szCs w:val="22"/>
          <w:lang w:val="en-US"/>
        </w:rPr>
        <w:t>doi</w:t>
      </w:r>
      <w:proofErr w:type="spellEnd"/>
      <w:r w:rsidRPr="00BC4B34">
        <w:rPr>
          <w:rFonts w:ascii="Times New Roman" w:hAnsi="Times New Roman" w:cs="Times New Roman"/>
          <w:sz w:val="22"/>
          <w:szCs w:val="22"/>
          <w:lang w:val="en-US"/>
        </w:rPr>
        <w:t>: 10.18637/JSS.V082.I13</w:t>
      </w:r>
    </w:p>
    <w:p w14:paraId="3EE8E0D9" w14:textId="73613EB4" w:rsidR="00F664CD" w:rsidRPr="00605CF5" w:rsidRDefault="00F664CD" w:rsidP="003F725B">
      <w:pPr>
        <w:spacing w:line="480" w:lineRule="auto"/>
        <w:jc w:val="both"/>
        <w:rPr>
          <w:rFonts w:ascii="Times New Roman" w:hAnsi="Times New Roman" w:cs="Times New Roman"/>
          <w:sz w:val="22"/>
          <w:szCs w:val="22"/>
          <w:lang w:val="en-US"/>
        </w:rPr>
      </w:pPr>
      <w:r w:rsidRPr="00F664CD">
        <w:rPr>
          <w:rFonts w:ascii="Times New Roman" w:hAnsi="Times New Roman" w:cs="Times New Roman"/>
          <w:sz w:val="22"/>
          <w:szCs w:val="22"/>
          <w:lang w:val="en-US"/>
        </w:rPr>
        <w:t xml:space="preserve">Lenth R (2019) </w:t>
      </w:r>
      <w:proofErr w:type="spellStart"/>
      <w:r w:rsidRPr="00F664CD">
        <w:rPr>
          <w:rFonts w:ascii="Times New Roman" w:hAnsi="Times New Roman" w:cs="Times New Roman"/>
          <w:sz w:val="22"/>
          <w:szCs w:val="22"/>
          <w:lang w:val="en-US"/>
        </w:rPr>
        <w:t>Emmeans</w:t>
      </w:r>
      <w:proofErr w:type="spellEnd"/>
      <w:r w:rsidRPr="00F664CD">
        <w:rPr>
          <w:rFonts w:ascii="Times New Roman" w:hAnsi="Times New Roman" w:cs="Times New Roman"/>
          <w:sz w:val="22"/>
          <w:szCs w:val="22"/>
          <w:lang w:val="en-US"/>
        </w:rPr>
        <w:t xml:space="preserve">: estimated marginal means. R </w:t>
      </w:r>
      <w:proofErr w:type="spellStart"/>
      <w:r w:rsidRPr="00F664CD">
        <w:rPr>
          <w:rFonts w:ascii="Times New Roman" w:hAnsi="Times New Roman" w:cs="Times New Roman"/>
          <w:sz w:val="22"/>
          <w:szCs w:val="22"/>
          <w:lang w:val="en-US"/>
        </w:rPr>
        <w:t>Packag</w:t>
      </w:r>
      <w:proofErr w:type="spellEnd"/>
      <w:r w:rsidRPr="00F664CD">
        <w:rPr>
          <w:rFonts w:ascii="Times New Roman" w:hAnsi="Times New Roman" w:cs="Times New Roman"/>
          <w:sz w:val="22"/>
          <w:szCs w:val="22"/>
          <w:lang w:val="en-US"/>
        </w:rPr>
        <w:t xml:space="preserve"> version 142 https://cran.r-project.org/package=emmeans. </w:t>
      </w:r>
      <w:proofErr w:type="spellStart"/>
      <w:r w:rsidRPr="00F664CD">
        <w:rPr>
          <w:rFonts w:ascii="Times New Roman" w:hAnsi="Times New Roman" w:cs="Times New Roman"/>
          <w:sz w:val="22"/>
          <w:szCs w:val="22"/>
          <w:lang w:val="en-US"/>
        </w:rPr>
        <w:t>doi</w:t>
      </w:r>
      <w:proofErr w:type="spellEnd"/>
      <w:r w:rsidRPr="00F664CD">
        <w:rPr>
          <w:rFonts w:ascii="Times New Roman" w:hAnsi="Times New Roman" w:cs="Times New Roman"/>
          <w:sz w:val="22"/>
          <w:szCs w:val="22"/>
          <w:lang w:val="en-US"/>
        </w:rPr>
        <w:t>: https://CRAN.R-project.org/package=emmeans</w:t>
      </w:r>
    </w:p>
    <w:sectPr w:rsidR="00F664CD" w:rsidRPr="00605CF5" w:rsidSect="000E1305">
      <w:pgSz w:w="11906" w:h="16838"/>
      <w:pgMar w:top="1417" w:right="1417" w:bottom="1417"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997FCF"/>
    <w:multiLevelType w:val="hybridMultilevel"/>
    <w:tmpl w:val="947AB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3928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25B"/>
    <w:rsid w:val="00097E8E"/>
    <w:rsid w:val="000E1305"/>
    <w:rsid w:val="003F725B"/>
    <w:rsid w:val="004E60F5"/>
    <w:rsid w:val="005C4561"/>
    <w:rsid w:val="00605CF5"/>
    <w:rsid w:val="006E25F9"/>
    <w:rsid w:val="00866FAE"/>
    <w:rsid w:val="00933900"/>
    <w:rsid w:val="00BC4B34"/>
    <w:rsid w:val="00F66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3CFD8"/>
  <w15:chartTrackingRefBased/>
  <w15:docId w15:val="{35B1627F-0C57-476D-933F-C018D711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F72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F72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F725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F725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F725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F725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F725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F725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F725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F725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F725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F725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F725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F725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F725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F725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F725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F725B"/>
    <w:rPr>
      <w:rFonts w:eastAsiaTheme="majorEastAsia" w:cstheme="majorBidi"/>
      <w:color w:val="272727" w:themeColor="text1" w:themeTint="D8"/>
    </w:rPr>
  </w:style>
  <w:style w:type="paragraph" w:styleId="Titre">
    <w:name w:val="Title"/>
    <w:basedOn w:val="Normal"/>
    <w:next w:val="Normal"/>
    <w:link w:val="TitreCar"/>
    <w:uiPriority w:val="10"/>
    <w:qFormat/>
    <w:rsid w:val="003F72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F725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F725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F725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F725B"/>
    <w:pPr>
      <w:spacing w:before="160"/>
      <w:jc w:val="center"/>
    </w:pPr>
    <w:rPr>
      <w:i/>
      <w:iCs/>
      <w:color w:val="404040" w:themeColor="text1" w:themeTint="BF"/>
    </w:rPr>
  </w:style>
  <w:style w:type="character" w:customStyle="1" w:styleId="CitationCar">
    <w:name w:val="Citation Car"/>
    <w:basedOn w:val="Policepardfaut"/>
    <w:link w:val="Citation"/>
    <w:uiPriority w:val="29"/>
    <w:rsid w:val="003F725B"/>
    <w:rPr>
      <w:i/>
      <w:iCs/>
      <w:color w:val="404040" w:themeColor="text1" w:themeTint="BF"/>
    </w:rPr>
  </w:style>
  <w:style w:type="paragraph" w:styleId="Paragraphedeliste">
    <w:name w:val="List Paragraph"/>
    <w:basedOn w:val="Normal"/>
    <w:uiPriority w:val="34"/>
    <w:qFormat/>
    <w:rsid w:val="003F725B"/>
    <w:pPr>
      <w:ind w:left="720"/>
      <w:contextualSpacing/>
    </w:pPr>
  </w:style>
  <w:style w:type="character" w:styleId="Accentuationintense">
    <w:name w:val="Intense Emphasis"/>
    <w:basedOn w:val="Policepardfaut"/>
    <w:uiPriority w:val="21"/>
    <w:qFormat/>
    <w:rsid w:val="003F725B"/>
    <w:rPr>
      <w:i/>
      <w:iCs/>
      <w:color w:val="0F4761" w:themeColor="accent1" w:themeShade="BF"/>
    </w:rPr>
  </w:style>
  <w:style w:type="paragraph" w:styleId="Citationintense">
    <w:name w:val="Intense Quote"/>
    <w:basedOn w:val="Normal"/>
    <w:next w:val="Normal"/>
    <w:link w:val="CitationintenseCar"/>
    <w:uiPriority w:val="30"/>
    <w:qFormat/>
    <w:rsid w:val="003F72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F725B"/>
    <w:rPr>
      <w:i/>
      <w:iCs/>
      <w:color w:val="0F4761" w:themeColor="accent1" w:themeShade="BF"/>
    </w:rPr>
  </w:style>
  <w:style w:type="character" w:styleId="Rfrenceintense">
    <w:name w:val="Intense Reference"/>
    <w:basedOn w:val="Policepardfaut"/>
    <w:uiPriority w:val="32"/>
    <w:qFormat/>
    <w:rsid w:val="003F725B"/>
    <w:rPr>
      <w:b/>
      <w:bCs/>
      <w:smallCaps/>
      <w:color w:val="0F4761" w:themeColor="accent1" w:themeShade="BF"/>
      <w:spacing w:val="5"/>
    </w:rPr>
  </w:style>
  <w:style w:type="paragraph" w:styleId="Commentaire">
    <w:name w:val="annotation text"/>
    <w:basedOn w:val="Normal"/>
    <w:link w:val="CommentaireCar"/>
    <w:uiPriority w:val="99"/>
    <w:unhideWhenUsed/>
    <w:rsid w:val="003F725B"/>
    <w:pPr>
      <w:spacing w:line="240" w:lineRule="auto"/>
    </w:pPr>
    <w:rPr>
      <w:sz w:val="20"/>
      <w:szCs w:val="20"/>
    </w:rPr>
  </w:style>
  <w:style w:type="character" w:customStyle="1" w:styleId="CommentaireCar">
    <w:name w:val="Commentaire Car"/>
    <w:basedOn w:val="Policepardfaut"/>
    <w:link w:val="Commentaire"/>
    <w:uiPriority w:val="99"/>
    <w:rsid w:val="003F725B"/>
    <w:rPr>
      <w:sz w:val="20"/>
      <w:szCs w:val="20"/>
    </w:rPr>
  </w:style>
  <w:style w:type="character" w:styleId="Marquedecommentaire">
    <w:name w:val="annotation reference"/>
    <w:basedOn w:val="Policepardfaut"/>
    <w:uiPriority w:val="99"/>
    <w:semiHidden/>
    <w:unhideWhenUsed/>
    <w:rsid w:val="003F725B"/>
    <w:rPr>
      <w:sz w:val="16"/>
      <w:szCs w:val="16"/>
    </w:rPr>
  </w:style>
  <w:style w:type="character" w:styleId="Numrodeligne">
    <w:name w:val="line number"/>
    <w:basedOn w:val="Policepardfaut"/>
    <w:uiPriority w:val="99"/>
    <w:semiHidden/>
    <w:unhideWhenUsed/>
    <w:rsid w:val="000E1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949</Words>
  <Characters>5415</Characters>
  <Application>Microsoft Office Word</Application>
  <DocSecurity>0</DocSecurity>
  <Lines>45</Lines>
  <Paragraphs>12</Paragraphs>
  <ScaleCrop>false</ScaleCrop>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 Toomey</dc:creator>
  <cp:keywords/>
  <dc:description/>
  <cp:lastModifiedBy>Lola Toomey</cp:lastModifiedBy>
  <cp:revision>9</cp:revision>
  <dcterms:created xsi:type="dcterms:W3CDTF">2024-08-21T13:36:00Z</dcterms:created>
  <dcterms:modified xsi:type="dcterms:W3CDTF">2024-09-09T10:48:00Z</dcterms:modified>
</cp:coreProperties>
</file>