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A5755" w14:textId="77777777" w:rsidR="00B263B0" w:rsidRPr="00B263B0" w:rsidRDefault="00B263B0" w:rsidP="00B263B0">
      <w:pPr>
        <w:suppressAutoHyphens w:val="0"/>
        <w:rPr>
          <w:rFonts w:ascii="Times New Roman" w:hAnsi="Times New Roman" w:cs="Times New Roman"/>
          <w:color w:val="auto"/>
        </w:rPr>
      </w:pPr>
      <w:r w:rsidRPr="00B263B0">
        <w:rPr>
          <w:rFonts w:ascii="Times New Roman" w:hAnsi="Times New Roman" w:cs="Times New Roman"/>
          <w:color w:val="auto"/>
        </w:rPr>
        <w:t>SUPPLEMENTAL ONLINE INFORMATION</w:t>
      </w:r>
    </w:p>
    <w:p w14:paraId="1710EE6D" w14:textId="77777777" w:rsidR="00B263B0" w:rsidRDefault="00B263B0" w:rsidP="00B263B0">
      <w:pPr>
        <w:suppressAutoHyphens w:val="0"/>
        <w:rPr>
          <w:rFonts w:ascii="Times New Roman" w:hAnsi="Times New Roman" w:cs="Times New Roman"/>
          <w:color w:val="auto"/>
        </w:rPr>
      </w:pPr>
      <w:r w:rsidRPr="00B263B0">
        <w:rPr>
          <w:rFonts w:ascii="Times New Roman" w:hAnsi="Times New Roman" w:cs="Times New Roman"/>
          <w:color w:val="auto"/>
        </w:rPr>
        <w:t>For publication in conjunction with the following:</w:t>
      </w:r>
    </w:p>
    <w:p w14:paraId="74B02E04" w14:textId="77777777" w:rsidR="00B263B0" w:rsidRDefault="00B263B0" w:rsidP="00B263B0">
      <w:pPr>
        <w:suppressAutoHyphens w:val="0"/>
        <w:rPr>
          <w:rFonts w:ascii="Times New Roman" w:hAnsi="Times New Roman" w:cs="Times New Roman"/>
          <w:color w:val="auto"/>
        </w:rPr>
      </w:pPr>
    </w:p>
    <w:p w14:paraId="77546EE4" w14:textId="77777777" w:rsidR="006A60DB" w:rsidRPr="006A60DB" w:rsidRDefault="006A60DB" w:rsidP="006A60DB">
      <w:pPr>
        <w:suppressAutoHyphens w:val="0"/>
        <w:rPr>
          <w:rFonts w:ascii="Times New Roman" w:hAnsi="Times New Roman" w:cs="Times New Roman"/>
          <w:color w:val="auto"/>
          <w:sz w:val="28"/>
          <w:szCs w:val="28"/>
        </w:rPr>
      </w:pPr>
      <w:r w:rsidRPr="006A60DB">
        <w:rPr>
          <w:rFonts w:ascii="Times New Roman" w:hAnsi="Times New Roman" w:cs="Times New Roman"/>
          <w:color w:val="auto"/>
          <w:sz w:val="28"/>
          <w:szCs w:val="28"/>
        </w:rPr>
        <w:t xml:space="preserve">Viral dynamics in a high rate algal pond reveals a burst of </w:t>
      </w:r>
      <w:r w:rsidRPr="006A60DB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Phycodnaviridae </w:t>
      </w:r>
      <w:r w:rsidRPr="006A60DB">
        <w:rPr>
          <w:rFonts w:ascii="Times New Roman" w:hAnsi="Times New Roman" w:cs="Times New Roman"/>
          <w:color w:val="auto"/>
          <w:sz w:val="28"/>
          <w:szCs w:val="28"/>
        </w:rPr>
        <w:t>diversity correlated with episodic algal mortality</w:t>
      </w:r>
    </w:p>
    <w:p w14:paraId="7D2F096D" w14:textId="77777777" w:rsidR="006A60DB" w:rsidRPr="006A60DB" w:rsidRDefault="006A60DB" w:rsidP="006A60DB">
      <w:pPr>
        <w:suppressAutoHyphens w:val="0"/>
        <w:rPr>
          <w:rFonts w:ascii="Times New Roman" w:hAnsi="Times New Roman" w:cs="Times New Roman"/>
          <w:color w:val="auto"/>
        </w:rPr>
      </w:pPr>
    </w:p>
    <w:p w14:paraId="10898A52" w14:textId="4C36EDC4" w:rsidR="006A60DB" w:rsidRPr="006A60DB" w:rsidRDefault="006A60DB" w:rsidP="006A60DB">
      <w:pPr>
        <w:suppressAutoHyphens w:val="0"/>
        <w:rPr>
          <w:rFonts w:ascii="Times New Roman" w:hAnsi="Times New Roman" w:cs="Times New Roman"/>
          <w:color w:val="auto"/>
        </w:rPr>
      </w:pPr>
      <w:r w:rsidRPr="006A60DB">
        <w:rPr>
          <w:rFonts w:ascii="Times New Roman" w:hAnsi="Times New Roman" w:cs="Times New Roman"/>
          <w:color w:val="auto"/>
        </w:rPr>
        <w:t>Chase</w:t>
      </w:r>
      <w:r>
        <w:rPr>
          <w:rFonts w:ascii="Times New Roman" w:hAnsi="Times New Roman" w:cs="Times New Roman"/>
          <w:color w:val="auto"/>
        </w:rPr>
        <w:t xml:space="preserve"> EE</w:t>
      </w:r>
      <w:r w:rsidRPr="006A60DB">
        <w:rPr>
          <w:rFonts w:ascii="Times New Roman" w:hAnsi="Times New Roman" w:cs="Times New Roman"/>
          <w:color w:val="auto"/>
          <w:vertAlign w:val="superscript"/>
        </w:rPr>
        <w:t>1,2,3</w:t>
      </w:r>
      <w:r w:rsidRPr="006A60DB">
        <w:rPr>
          <w:rFonts w:ascii="Times New Roman" w:hAnsi="Times New Roman" w:cs="Times New Roman"/>
          <w:color w:val="auto"/>
        </w:rPr>
        <w:t>, Pitot T</w:t>
      </w:r>
      <w:r w:rsidRPr="006A60DB">
        <w:rPr>
          <w:rFonts w:ascii="Times New Roman" w:hAnsi="Times New Roman" w:cs="Times New Roman"/>
          <w:color w:val="auto"/>
          <w:vertAlign w:val="superscript"/>
        </w:rPr>
        <w:t>4</w:t>
      </w:r>
      <w:r w:rsidRPr="006A60DB">
        <w:rPr>
          <w:rFonts w:ascii="Times New Roman" w:hAnsi="Times New Roman" w:cs="Times New Roman"/>
          <w:color w:val="auto"/>
        </w:rPr>
        <w:t>, Bouchard S</w:t>
      </w:r>
      <w:r w:rsidRPr="006A60DB">
        <w:rPr>
          <w:rFonts w:ascii="Times New Roman" w:hAnsi="Times New Roman" w:cs="Times New Roman"/>
          <w:color w:val="auto"/>
          <w:vertAlign w:val="superscript"/>
        </w:rPr>
        <w:t>1</w:t>
      </w:r>
      <w:r w:rsidRPr="006A60DB">
        <w:rPr>
          <w:rFonts w:ascii="Times New Roman" w:hAnsi="Times New Roman" w:cs="Times New Roman"/>
          <w:color w:val="auto"/>
        </w:rPr>
        <w:t>, Triplet S</w:t>
      </w:r>
      <w:r w:rsidRPr="006A60DB">
        <w:rPr>
          <w:rFonts w:ascii="Times New Roman" w:hAnsi="Times New Roman" w:cs="Times New Roman"/>
          <w:color w:val="auto"/>
          <w:vertAlign w:val="superscript"/>
        </w:rPr>
        <w:t>5</w:t>
      </w:r>
      <w:r w:rsidRPr="006A60DB">
        <w:rPr>
          <w:rFonts w:ascii="Times New Roman" w:hAnsi="Times New Roman" w:cs="Times New Roman"/>
          <w:color w:val="auto"/>
        </w:rPr>
        <w:t>, Przybyla C</w:t>
      </w:r>
      <w:r w:rsidRPr="006A60DB">
        <w:rPr>
          <w:rFonts w:ascii="Times New Roman" w:hAnsi="Times New Roman" w:cs="Times New Roman"/>
          <w:color w:val="auto"/>
          <w:vertAlign w:val="superscript"/>
        </w:rPr>
        <w:t>5</w:t>
      </w:r>
      <w:r w:rsidRPr="006A60DB">
        <w:rPr>
          <w:rFonts w:ascii="Times New Roman" w:hAnsi="Times New Roman" w:cs="Times New Roman"/>
          <w:color w:val="auto"/>
        </w:rPr>
        <w:t>, Gobet A</w:t>
      </w:r>
      <w:r w:rsidRPr="006A60DB">
        <w:rPr>
          <w:rFonts w:ascii="Times New Roman" w:hAnsi="Times New Roman" w:cs="Times New Roman"/>
          <w:color w:val="auto"/>
          <w:vertAlign w:val="superscript"/>
        </w:rPr>
        <w:t>5</w:t>
      </w:r>
      <w:r w:rsidRPr="006A60DB">
        <w:rPr>
          <w:rFonts w:ascii="Times New Roman" w:hAnsi="Times New Roman" w:cs="Times New Roman"/>
          <w:color w:val="auto"/>
        </w:rPr>
        <w:t>, Desnues C</w:t>
      </w:r>
      <w:r w:rsidRPr="006A60DB">
        <w:rPr>
          <w:rFonts w:ascii="Times New Roman" w:hAnsi="Times New Roman" w:cs="Times New Roman"/>
          <w:color w:val="auto"/>
          <w:vertAlign w:val="superscript"/>
        </w:rPr>
        <w:t>1,2</w:t>
      </w:r>
      <w:r w:rsidRPr="006A60DB">
        <w:rPr>
          <w:rFonts w:ascii="Times New Roman" w:hAnsi="Times New Roman" w:cs="Times New Roman"/>
          <w:color w:val="auto"/>
        </w:rPr>
        <w:t>, and Blanc G</w:t>
      </w:r>
      <w:r w:rsidRPr="006A60DB">
        <w:rPr>
          <w:rFonts w:ascii="Times New Roman" w:hAnsi="Times New Roman" w:cs="Times New Roman"/>
          <w:color w:val="auto"/>
          <w:vertAlign w:val="superscript"/>
        </w:rPr>
        <w:t>1</w:t>
      </w:r>
      <w:r w:rsidRPr="006A60DB">
        <w:rPr>
          <w:rFonts w:ascii="Times New Roman" w:hAnsi="Times New Roman" w:cs="Times New Roman"/>
          <w:color w:val="auto"/>
        </w:rPr>
        <w:t>.</w:t>
      </w:r>
    </w:p>
    <w:p w14:paraId="078C18AD" w14:textId="77777777" w:rsidR="006A60DB" w:rsidRPr="006A60DB" w:rsidRDefault="006A60DB" w:rsidP="006A60DB">
      <w:pPr>
        <w:suppressAutoHyphens w:val="0"/>
        <w:rPr>
          <w:rFonts w:ascii="Times New Roman" w:hAnsi="Times New Roman" w:cs="Times New Roman"/>
          <w:color w:val="auto"/>
        </w:rPr>
      </w:pPr>
    </w:p>
    <w:p w14:paraId="249B50C2" w14:textId="77E1AA32" w:rsidR="006A60DB" w:rsidRPr="006A60DB" w:rsidRDefault="006A60DB" w:rsidP="006A60DB">
      <w:pPr>
        <w:suppressAutoHyphens w:val="0"/>
        <w:rPr>
          <w:rFonts w:ascii="Times New Roman" w:hAnsi="Times New Roman" w:cs="Times New Roman"/>
          <w:i/>
          <w:iCs/>
          <w:color w:val="auto"/>
        </w:rPr>
      </w:pPr>
      <w:r w:rsidRPr="006A60DB">
        <w:rPr>
          <w:rFonts w:ascii="Times New Roman" w:hAnsi="Times New Roman" w:cs="Times New Roman"/>
          <w:i/>
          <w:iCs/>
          <w:color w:val="auto"/>
          <w:vertAlign w:val="superscript"/>
        </w:rPr>
        <w:t xml:space="preserve">1 </w:t>
      </w:r>
      <w:r w:rsidRPr="006A60DB">
        <w:rPr>
          <w:rFonts w:ascii="Times New Roman" w:hAnsi="Times New Roman" w:cs="Times New Roman"/>
          <w:i/>
          <w:iCs/>
          <w:color w:val="auto"/>
        </w:rPr>
        <w:t>Microbiologie Environnementale Biotechnologie, Institut Méditerranéen d'Océanologie, Campus de Luminy, 163 Avenue de Luminy, 13009 Marseille, France</w:t>
      </w:r>
    </w:p>
    <w:p w14:paraId="7575E6E2" w14:textId="1EE2A506" w:rsidR="006A60DB" w:rsidRPr="006A60DB" w:rsidRDefault="006A60DB" w:rsidP="006A60DB">
      <w:pPr>
        <w:suppressAutoHyphens w:val="0"/>
        <w:rPr>
          <w:rFonts w:ascii="Times New Roman" w:hAnsi="Times New Roman" w:cs="Times New Roman"/>
          <w:i/>
          <w:iCs/>
          <w:color w:val="auto"/>
        </w:rPr>
      </w:pPr>
      <w:r w:rsidRPr="006A60DB">
        <w:rPr>
          <w:rFonts w:ascii="Times New Roman" w:hAnsi="Times New Roman" w:cs="Times New Roman"/>
          <w:i/>
          <w:iCs/>
          <w:color w:val="auto"/>
          <w:vertAlign w:val="superscript"/>
        </w:rPr>
        <w:t xml:space="preserve">2 </w:t>
      </w:r>
      <w:r w:rsidRPr="006A60DB">
        <w:rPr>
          <w:rFonts w:ascii="Times New Roman" w:hAnsi="Times New Roman" w:cs="Times New Roman"/>
          <w:i/>
          <w:iCs/>
          <w:color w:val="auto"/>
        </w:rPr>
        <w:t>Institut hospitalo-universitaire (IHU) Méditerranée infection, 19-21 Boulevard Jean Moulin, 13005 Marseille, France</w:t>
      </w:r>
    </w:p>
    <w:p w14:paraId="47276616" w14:textId="0644F7CA" w:rsidR="006A60DB" w:rsidRPr="006A60DB" w:rsidRDefault="006A60DB" w:rsidP="006A60DB">
      <w:pPr>
        <w:suppressAutoHyphens w:val="0"/>
        <w:rPr>
          <w:rFonts w:ascii="Times New Roman" w:hAnsi="Times New Roman" w:cs="Times New Roman"/>
          <w:i/>
          <w:iCs/>
          <w:color w:val="auto"/>
        </w:rPr>
      </w:pPr>
      <w:r w:rsidRPr="006A60DB">
        <w:rPr>
          <w:rFonts w:ascii="Times New Roman" w:hAnsi="Times New Roman" w:cs="Times New Roman"/>
          <w:i/>
          <w:iCs/>
          <w:color w:val="auto"/>
          <w:vertAlign w:val="superscript"/>
        </w:rPr>
        <w:t xml:space="preserve">3 </w:t>
      </w:r>
      <w:r w:rsidRPr="006A60DB">
        <w:rPr>
          <w:rFonts w:ascii="Times New Roman" w:hAnsi="Times New Roman" w:cs="Times New Roman"/>
          <w:i/>
          <w:iCs/>
          <w:color w:val="auto"/>
        </w:rPr>
        <w:t xml:space="preserve">University of Tennessee Knoxville, Department of Microbiology, Ken and Blaire Mossman Bldg, 1311 Cumberland Ave #307, Knoxville, TN 37996 </w:t>
      </w:r>
    </w:p>
    <w:p w14:paraId="4D8428BE" w14:textId="1CABCF86" w:rsidR="006A60DB" w:rsidRPr="006A60DB" w:rsidRDefault="006A60DB" w:rsidP="006A60DB">
      <w:pPr>
        <w:suppressAutoHyphens w:val="0"/>
        <w:rPr>
          <w:rFonts w:ascii="Times New Roman" w:hAnsi="Times New Roman" w:cs="Times New Roman"/>
          <w:i/>
          <w:iCs/>
          <w:color w:val="auto"/>
        </w:rPr>
      </w:pPr>
      <w:r w:rsidRPr="006A60DB">
        <w:rPr>
          <w:rFonts w:ascii="Times New Roman" w:hAnsi="Times New Roman" w:cs="Times New Roman"/>
          <w:i/>
          <w:iCs/>
          <w:color w:val="auto"/>
          <w:vertAlign w:val="superscript"/>
        </w:rPr>
        <w:t xml:space="preserve">4 </w:t>
      </w:r>
      <w:r w:rsidRPr="006A60DB">
        <w:rPr>
          <w:rFonts w:ascii="Times New Roman" w:hAnsi="Times New Roman" w:cs="Times New Roman"/>
          <w:i/>
          <w:iCs/>
          <w:color w:val="auto"/>
        </w:rPr>
        <w:t>Department of Biochemistry, Microbiology and Bioinformatics, Université Laval, 2325 rue de l’Université, Québec, QC G1V0A6, Canada</w:t>
      </w:r>
    </w:p>
    <w:p w14:paraId="5F96BCA8" w14:textId="621BD730" w:rsidR="00B263B0" w:rsidRPr="006A60DB" w:rsidRDefault="006A60DB" w:rsidP="006A60DB">
      <w:pPr>
        <w:suppressAutoHyphens w:val="0"/>
        <w:rPr>
          <w:rFonts w:ascii="Times New Roman" w:hAnsi="Times New Roman" w:cs="Times New Roman"/>
          <w:i/>
          <w:iCs/>
          <w:color w:val="auto"/>
        </w:rPr>
      </w:pPr>
      <w:r w:rsidRPr="006A60DB">
        <w:rPr>
          <w:rFonts w:ascii="Times New Roman" w:hAnsi="Times New Roman" w:cs="Times New Roman"/>
          <w:i/>
          <w:iCs/>
          <w:color w:val="auto"/>
          <w:vertAlign w:val="superscript"/>
        </w:rPr>
        <w:t xml:space="preserve">5 </w:t>
      </w:r>
      <w:r w:rsidRPr="006A60DB">
        <w:rPr>
          <w:rFonts w:ascii="Times New Roman" w:hAnsi="Times New Roman" w:cs="Times New Roman"/>
          <w:i/>
          <w:iCs/>
          <w:color w:val="auto"/>
        </w:rPr>
        <w:t>MARBEC, Univ Montpellier, CNRS, Ifremer, IRD, Sète, France</w:t>
      </w:r>
    </w:p>
    <w:p w14:paraId="1ECDE527" w14:textId="4453D81D" w:rsidR="00B263B0" w:rsidRDefault="00B263B0" w:rsidP="00B263B0">
      <w:pPr>
        <w:suppressAutoHyphens w:val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br w:type="page"/>
      </w:r>
    </w:p>
    <w:p w14:paraId="5A43A64B" w14:textId="10F40428" w:rsidR="00B263B0" w:rsidRPr="00B263B0" w:rsidRDefault="00B263B0" w:rsidP="00B263B0">
      <w:pPr>
        <w:suppressAutoHyphens w:val="0"/>
        <w:rPr>
          <w:rFonts w:ascii="Times New Roman" w:hAnsi="Times New Roman" w:cs="Times New Roman"/>
          <w:b/>
          <w:bCs/>
          <w:color w:val="auto"/>
        </w:rPr>
      </w:pPr>
      <w:r w:rsidRPr="00B263B0">
        <w:rPr>
          <w:rFonts w:ascii="Times New Roman" w:hAnsi="Times New Roman" w:cs="Times New Roman"/>
          <w:b/>
          <w:bCs/>
          <w:color w:val="auto"/>
        </w:rPr>
        <w:lastRenderedPageBreak/>
        <w:t xml:space="preserve">SUPPLEMENTAL </w:t>
      </w:r>
      <w:r>
        <w:rPr>
          <w:rFonts w:ascii="Times New Roman" w:hAnsi="Times New Roman" w:cs="Times New Roman"/>
          <w:b/>
          <w:bCs/>
          <w:color w:val="auto"/>
        </w:rPr>
        <w:t>FIGURES</w:t>
      </w:r>
    </w:p>
    <w:p w14:paraId="7ABEAE1B" w14:textId="77777777" w:rsidR="00B263B0" w:rsidRDefault="00B263B0" w:rsidP="00B263B0">
      <w:pPr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5BDCDB10" w14:textId="77777777" w:rsidR="00B263B0" w:rsidRDefault="00B263B0" w:rsidP="00B263B0">
      <w:pPr>
        <w:spacing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noProof/>
        </w:rPr>
        <w:drawing>
          <wp:inline distT="0" distB="0" distL="0" distR="0" wp14:anchorId="295B3004" wp14:editId="2A4DC672">
            <wp:extent cx="5943600" cy="3839845"/>
            <wp:effectExtent l="0" t="0" r="0" b="0"/>
            <wp:docPr id="7" name="Picture 7" descr="A group of squares with numbers and a number of month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squares with numbers and a number of month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CE31B" w14:textId="77777777" w:rsidR="00B263B0" w:rsidRDefault="00B263B0" w:rsidP="00B263B0">
      <w:pPr>
        <w:spacing w:line="360" w:lineRule="auto"/>
        <w:jc w:val="both"/>
        <w:rPr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 xml:space="preserve">Figure S1. </w:t>
      </w:r>
      <w:r>
        <w:rPr>
          <w:rFonts w:ascii="Times New Roman" w:hAnsi="Times New Roman" w:cs="Times New Roman"/>
          <w:color w:val="auto"/>
        </w:rPr>
        <w:t xml:space="preserve">Fluorescent activated cell sorting by side scatter (SSC) and FITC (fluorescein isothiocyanate; excitation and emission spectrum peak wavelengths of ~495 nm and ~519 nm). Sample dates are displayed above each sample, and populations (“P”) are indicated. The sized fraction for the sample water is between 0.2 μm –1.2 μm (labelled with SYBR-Green). </w:t>
      </w:r>
    </w:p>
    <w:p w14:paraId="49316B09" w14:textId="77777777" w:rsidR="00B263B0" w:rsidRDefault="00B263B0" w:rsidP="00B263B0">
      <w:pPr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07E40526" w14:textId="77777777" w:rsidR="00B263B0" w:rsidRDefault="00B263B0" w:rsidP="00B263B0">
      <w:pPr>
        <w:spacing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noProof/>
        </w:rPr>
        <w:lastRenderedPageBreak/>
        <w:drawing>
          <wp:inline distT="0" distB="0" distL="0" distR="0" wp14:anchorId="04C2D7B6" wp14:editId="41DA21DB">
            <wp:extent cx="5943600" cy="5591810"/>
            <wp:effectExtent l="0" t="0" r="0" b="0"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9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64437" w14:textId="35D79727" w:rsidR="00B263B0" w:rsidRDefault="00B263B0" w:rsidP="00B263B0">
      <w:pPr>
        <w:spacing w:line="360" w:lineRule="auto"/>
        <w:jc w:val="both"/>
        <w:rPr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 xml:space="preserve">Figure S2. </w:t>
      </w:r>
      <w:r>
        <w:rPr>
          <w:rFonts w:ascii="Times New Roman" w:hAnsi="Times New Roman" w:cs="Times New Roman"/>
          <w:color w:val="auto"/>
        </w:rPr>
        <w:t xml:space="preserve">Broad taxonomic classification of contigs over 2000 bp for all megaviromes and ultraviromes sequenced. </w:t>
      </w:r>
    </w:p>
    <w:p w14:paraId="1A05474A" w14:textId="592C4EF7" w:rsidR="0041198F" w:rsidRPr="003056CF" w:rsidRDefault="0041198F" w:rsidP="003056CF">
      <w:pPr>
        <w:spacing w:line="360" w:lineRule="auto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</w:rPr>
        <w:t xml:space="preserve"> </w:t>
      </w:r>
    </w:p>
    <w:sectPr w:rsidR="0041198F" w:rsidRPr="003056C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Verdan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504"/>
    <w:rsid w:val="000114F9"/>
    <w:rsid w:val="00071E81"/>
    <w:rsid w:val="00073733"/>
    <w:rsid w:val="000E2051"/>
    <w:rsid w:val="001534C4"/>
    <w:rsid w:val="00171B0D"/>
    <w:rsid w:val="00173208"/>
    <w:rsid w:val="00257FF2"/>
    <w:rsid w:val="003056CF"/>
    <w:rsid w:val="0033532E"/>
    <w:rsid w:val="00335A0E"/>
    <w:rsid w:val="00342BF8"/>
    <w:rsid w:val="00381045"/>
    <w:rsid w:val="003B12E9"/>
    <w:rsid w:val="003C2917"/>
    <w:rsid w:val="003D1C11"/>
    <w:rsid w:val="0041198F"/>
    <w:rsid w:val="00415314"/>
    <w:rsid w:val="00441D17"/>
    <w:rsid w:val="00450DF4"/>
    <w:rsid w:val="00454759"/>
    <w:rsid w:val="00470B46"/>
    <w:rsid w:val="004F6F3A"/>
    <w:rsid w:val="00531526"/>
    <w:rsid w:val="005E17A6"/>
    <w:rsid w:val="005E5504"/>
    <w:rsid w:val="00671104"/>
    <w:rsid w:val="00684568"/>
    <w:rsid w:val="006A60DB"/>
    <w:rsid w:val="006C7F43"/>
    <w:rsid w:val="00913A7B"/>
    <w:rsid w:val="00963084"/>
    <w:rsid w:val="00985DE3"/>
    <w:rsid w:val="009905E9"/>
    <w:rsid w:val="00994137"/>
    <w:rsid w:val="009D6CF1"/>
    <w:rsid w:val="00A2062E"/>
    <w:rsid w:val="00A72819"/>
    <w:rsid w:val="00B263B0"/>
    <w:rsid w:val="00B54543"/>
    <w:rsid w:val="00B7177A"/>
    <w:rsid w:val="00BB7FC5"/>
    <w:rsid w:val="00BF5787"/>
    <w:rsid w:val="00C86321"/>
    <w:rsid w:val="00CA5C2A"/>
    <w:rsid w:val="00CC6287"/>
    <w:rsid w:val="00D24236"/>
    <w:rsid w:val="00D97679"/>
    <w:rsid w:val="00DA022A"/>
    <w:rsid w:val="00DC09BC"/>
    <w:rsid w:val="00DD0519"/>
    <w:rsid w:val="00E013AE"/>
    <w:rsid w:val="00E23D77"/>
    <w:rsid w:val="00ED2503"/>
    <w:rsid w:val="00F3131D"/>
    <w:rsid w:val="00F511F6"/>
    <w:rsid w:val="00F7660A"/>
    <w:rsid w:val="00F8072E"/>
    <w:rsid w:val="00F865B5"/>
    <w:rsid w:val="00FA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E1D5C4"/>
  <w15:chartTrackingRefBased/>
  <w15:docId w15:val="{AF9DA1BB-E223-1F46-A869-1E217D124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63B0"/>
    <w:pPr>
      <w:suppressAutoHyphens/>
    </w:pPr>
    <w:rPr>
      <w:rFonts w:ascii="Calibri" w:eastAsia="Calibri" w:hAnsi="Calibri" w:cs="DejaVu Sans"/>
      <w:color w:val="00000A"/>
      <w:kern w:val="0"/>
      <w:lang w:val="en-CA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Chase, Emily</dc:creator>
  <cp:keywords/>
  <dc:description/>
  <cp:lastModifiedBy>Chase, Emily</cp:lastModifiedBy>
  <cp:revision>3</cp:revision>
  <dcterms:created xsi:type="dcterms:W3CDTF">2024-09-11T16:56:00Z</dcterms:created>
  <dcterms:modified xsi:type="dcterms:W3CDTF">2024-09-11T16:59:00Z</dcterms:modified>
</cp:coreProperties>
</file>