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5755" w14:textId="77777777" w:rsidR="00B263B0" w:rsidRP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SUPPLEMENTAL ONLINE INFORMATION</w:t>
      </w:r>
    </w:p>
    <w:p w14:paraId="1710EE6D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For publication in conjunction with the following:</w:t>
      </w:r>
    </w:p>
    <w:p w14:paraId="74B02E04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</w:p>
    <w:p w14:paraId="77546EE4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  <w:sz w:val="28"/>
          <w:szCs w:val="28"/>
        </w:rPr>
      </w:pPr>
      <w:r w:rsidRPr="006A60DB">
        <w:rPr>
          <w:rFonts w:ascii="Times New Roman" w:hAnsi="Times New Roman" w:cs="Times New Roman"/>
          <w:color w:val="auto"/>
          <w:sz w:val="28"/>
          <w:szCs w:val="28"/>
        </w:rPr>
        <w:t xml:space="preserve">Viral dynamics in a </w:t>
      </w:r>
      <w:proofErr w:type="gramStart"/>
      <w:r w:rsidRPr="006A60DB">
        <w:rPr>
          <w:rFonts w:ascii="Times New Roman" w:hAnsi="Times New Roman" w:cs="Times New Roman"/>
          <w:color w:val="auto"/>
          <w:sz w:val="28"/>
          <w:szCs w:val="28"/>
        </w:rPr>
        <w:t>high rate</w:t>
      </w:r>
      <w:proofErr w:type="gramEnd"/>
      <w:r w:rsidRPr="006A60DB">
        <w:rPr>
          <w:rFonts w:ascii="Times New Roman" w:hAnsi="Times New Roman" w:cs="Times New Roman"/>
          <w:color w:val="auto"/>
          <w:sz w:val="28"/>
          <w:szCs w:val="28"/>
        </w:rPr>
        <w:t xml:space="preserve"> algal pond reveals a burst of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  <w:sz w:val="28"/>
          <w:szCs w:val="28"/>
        </w:rPr>
        <w:t>Phycodnaviridae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6A60DB">
        <w:rPr>
          <w:rFonts w:ascii="Times New Roman" w:hAnsi="Times New Roman" w:cs="Times New Roman"/>
          <w:color w:val="auto"/>
          <w:sz w:val="28"/>
          <w:szCs w:val="28"/>
        </w:rPr>
        <w:t>diversity correlated with episodic algal mortality</w:t>
      </w:r>
    </w:p>
    <w:p w14:paraId="7D2F096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10898A52" w14:textId="4C36EDC4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  <w:r w:rsidRPr="006A60DB">
        <w:rPr>
          <w:rFonts w:ascii="Times New Roman" w:hAnsi="Times New Roman" w:cs="Times New Roman"/>
          <w:color w:val="auto"/>
        </w:rPr>
        <w:t>Chase</w:t>
      </w:r>
      <w:r>
        <w:rPr>
          <w:rFonts w:ascii="Times New Roman" w:hAnsi="Times New Roman" w:cs="Times New Roman"/>
          <w:color w:val="auto"/>
        </w:rPr>
        <w:t xml:space="preserve"> EE</w:t>
      </w:r>
      <w:r w:rsidRPr="006A60DB">
        <w:rPr>
          <w:rFonts w:ascii="Times New Roman" w:hAnsi="Times New Roman" w:cs="Times New Roman"/>
          <w:color w:val="auto"/>
          <w:vertAlign w:val="superscript"/>
        </w:rPr>
        <w:t>1,2,3</w:t>
      </w:r>
      <w:r w:rsidRPr="006A60DB">
        <w:rPr>
          <w:rFonts w:ascii="Times New Roman" w:hAnsi="Times New Roman" w:cs="Times New Roman"/>
          <w:color w:val="auto"/>
        </w:rPr>
        <w:t>, Pitot T</w:t>
      </w:r>
      <w:r w:rsidRPr="006A60DB">
        <w:rPr>
          <w:rFonts w:ascii="Times New Roman" w:hAnsi="Times New Roman" w:cs="Times New Roman"/>
          <w:color w:val="auto"/>
          <w:vertAlign w:val="superscript"/>
        </w:rPr>
        <w:t>4</w:t>
      </w:r>
      <w:r w:rsidRPr="006A60DB">
        <w:rPr>
          <w:rFonts w:ascii="Times New Roman" w:hAnsi="Times New Roman" w:cs="Times New Roman"/>
          <w:color w:val="auto"/>
        </w:rPr>
        <w:t>, Bouchard S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, Triplet S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>, Przybyla C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color w:val="auto"/>
        </w:rPr>
        <w:t>Gobet</w:t>
      </w:r>
      <w:proofErr w:type="spellEnd"/>
      <w:r w:rsidRPr="006A60DB">
        <w:rPr>
          <w:rFonts w:ascii="Times New Roman" w:hAnsi="Times New Roman" w:cs="Times New Roman"/>
          <w:color w:val="auto"/>
        </w:rPr>
        <w:t xml:space="preserve"> A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color w:val="auto"/>
        </w:rPr>
        <w:t>Desnues</w:t>
      </w:r>
      <w:proofErr w:type="spellEnd"/>
      <w:r w:rsidRPr="006A60DB">
        <w:rPr>
          <w:rFonts w:ascii="Times New Roman" w:hAnsi="Times New Roman" w:cs="Times New Roman"/>
          <w:color w:val="auto"/>
        </w:rPr>
        <w:t xml:space="preserve"> C</w:t>
      </w:r>
      <w:r w:rsidRPr="006A60DB">
        <w:rPr>
          <w:rFonts w:ascii="Times New Roman" w:hAnsi="Times New Roman" w:cs="Times New Roman"/>
          <w:color w:val="auto"/>
          <w:vertAlign w:val="superscript"/>
        </w:rPr>
        <w:t>1,2</w:t>
      </w:r>
      <w:r w:rsidRPr="006A60DB">
        <w:rPr>
          <w:rFonts w:ascii="Times New Roman" w:hAnsi="Times New Roman" w:cs="Times New Roman"/>
          <w:color w:val="auto"/>
        </w:rPr>
        <w:t>, and Blanc G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.</w:t>
      </w:r>
    </w:p>
    <w:p w14:paraId="078C18A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249B50C2" w14:textId="77E1AA32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1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Microbiologie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Environnementale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Biotechnologie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Institut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Méditerranéen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d'Océanologie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Campus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Luminy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163 Avenue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Luminy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13009 Marseille, France</w:t>
      </w:r>
    </w:p>
    <w:p w14:paraId="7575E6E2" w14:textId="1EE2A50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2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Institut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hospitalo-universitaire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(IHU)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Méditerranée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infection, 19-21 Boulevard Jean Moulin, 13005 Marseille, France</w:t>
      </w:r>
    </w:p>
    <w:p w14:paraId="47276616" w14:textId="0644F7CA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3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University of Tennessee Knoxville, Department of Microbiology, </w:t>
      </w:r>
      <w:proofErr w:type="gramStart"/>
      <w:r w:rsidRPr="006A60DB">
        <w:rPr>
          <w:rFonts w:ascii="Times New Roman" w:hAnsi="Times New Roman" w:cs="Times New Roman"/>
          <w:i/>
          <w:iCs/>
          <w:color w:val="auto"/>
        </w:rPr>
        <w:t>Ken</w:t>
      </w:r>
      <w:proofErr w:type="gramEnd"/>
      <w:r w:rsidRPr="006A60DB">
        <w:rPr>
          <w:rFonts w:ascii="Times New Roman" w:hAnsi="Times New Roman" w:cs="Times New Roman"/>
          <w:i/>
          <w:iCs/>
          <w:color w:val="auto"/>
        </w:rPr>
        <w:t xml:space="preserve"> and Blaire Mossman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Bldg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1311 Cumberland Ave #307, Knoxville, TN 37996 </w:t>
      </w:r>
    </w:p>
    <w:p w14:paraId="4D8428BE" w14:textId="1CABCF8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4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Department of Biochemistry, Microbiology and Bioinformatics, Université Laval, 2325 rue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l’Université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Québec, QC G1V0A6, Canada</w:t>
      </w:r>
    </w:p>
    <w:p w14:paraId="5F96BCA8" w14:textId="621BD730" w:rsidR="00B263B0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5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MARBEC, Univ Montpellier, CNRS,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Ifremer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IRD,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Sète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France</w:t>
      </w:r>
    </w:p>
    <w:p w14:paraId="1ECDE527" w14:textId="4453D81D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5A43A64B" w14:textId="10F40428" w:rsidR="00B263B0" w:rsidRPr="00B263B0" w:rsidRDefault="00B263B0" w:rsidP="00B263B0">
      <w:pPr>
        <w:suppressAutoHyphens w:val="0"/>
        <w:rPr>
          <w:rFonts w:ascii="Times New Roman" w:hAnsi="Times New Roman" w:cs="Times New Roman"/>
          <w:b/>
          <w:bCs/>
          <w:color w:val="auto"/>
        </w:rPr>
      </w:pPr>
      <w:r w:rsidRPr="00B263B0">
        <w:rPr>
          <w:rFonts w:ascii="Times New Roman" w:hAnsi="Times New Roman" w:cs="Times New Roman"/>
          <w:b/>
          <w:bCs/>
          <w:color w:val="auto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color w:val="auto"/>
        </w:rPr>
        <w:t>FIGURES</w:t>
      </w:r>
    </w:p>
    <w:p w14:paraId="2E494312" w14:textId="77777777" w:rsidR="00B263B0" w:rsidRDefault="00B263B0" w:rsidP="00B263B0">
      <w:pPr>
        <w:spacing w:line="360" w:lineRule="auto"/>
        <w:jc w:val="both"/>
        <w:rPr>
          <w:color w:val="auto"/>
        </w:rPr>
      </w:pPr>
      <w:r>
        <w:rPr>
          <w:noProof/>
        </w:rPr>
        <w:drawing>
          <wp:inline distT="0" distB="0" distL="0" distR="0" wp14:anchorId="6851A5FF" wp14:editId="3894BD6A">
            <wp:extent cx="3671093" cy="7006975"/>
            <wp:effectExtent l="0" t="0" r="0" b="3810"/>
            <wp:docPr id="9" name="Picture 9" descr="A diagram of a number of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number of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03" cy="70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474A" w14:textId="7A68CE2F" w:rsidR="0041198F" w:rsidRPr="003056CF" w:rsidRDefault="00B263B0" w:rsidP="003056CF">
      <w:pPr>
        <w:spacing w:line="360" w:lineRule="auto"/>
        <w:jc w:val="both"/>
        <w:rPr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Figure S3. </w:t>
      </w:r>
      <w:r>
        <w:rPr>
          <w:rFonts w:ascii="Times New Roman" w:hAnsi="Times New Roman" w:cs="Times New Roman"/>
          <w:color w:val="auto"/>
        </w:rPr>
        <w:t xml:space="preserve">Putative </w:t>
      </w:r>
      <w:proofErr w:type="spellStart"/>
      <w:r>
        <w:rPr>
          <w:rFonts w:ascii="Times New Roman" w:hAnsi="Times New Roman" w:cs="Times New Roman"/>
          <w:color w:val="auto"/>
        </w:rPr>
        <w:t>polinton</w:t>
      </w:r>
      <w:proofErr w:type="spellEnd"/>
      <w:r>
        <w:rPr>
          <w:rFonts w:ascii="Times New Roman" w:hAnsi="Times New Roman" w:cs="Times New Roman"/>
          <w:color w:val="auto"/>
        </w:rPr>
        <w:t xml:space="preserve">-like viruses (PLVs) recovered from HRAP metagenomes (indicated in red). The PLV TsV-N1 is </w:t>
      </w:r>
      <w:proofErr w:type="gramStart"/>
      <w:r>
        <w:rPr>
          <w:rFonts w:ascii="Times New Roman" w:hAnsi="Times New Roman" w:cs="Times New Roman"/>
          <w:color w:val="auto"/>
        </w:rPr>
        <w:t>indicated</w:t>
      </w:r>
      <w:proofErr w:type="gramEnd"/>
      <w:r>
        <w:rPr>
          <w:rFonts w:ascii="Times New Roman" w:hAnsi="Times New Roman" w:cs="Times New Roman"/>
          <w:color w:val="auto"/>
        </w:rPr>
        <w:t xml:space="preserve"> and the green line covers the PLVs that are clustering with it phylogenetically. The phylogeny based on the MCP gene. PLVs used in qPCR tracking are indicated in blue. PLV 8 is excluded due to the sequence dissimilarity relative to the rest of the tracked PLVs. Bootstrap values above 0.70 are displayed. All MCP </w:t>
      </w:r>
      <w:r>
        <w:rPr>
          <w:rFonts w:ascii="Times New Roman" w:hAnsi="Times New Roman" w:cs="Times New Roman"/>
          <w:color w:val="auto"/>
        </w:rPr>
        <w:lastRenderedPageBreak/>
        <w:t xml:space="preserve">(excluding those in red) were extracted from public databases (see Chapter 3 for more detailed methods). </w:t>
      </w:r>
      <w:r w:rsidR="0041198F">
        <w:rPr>
          <w:rFonts w:ascii="Times New Roman" w:hAnsi="Times New Roman" w:cs="Times New Roman"/>
          <w:color w:val="auto"/>
        </w:rPr>
        <w:t xml:space="preserve"> </w:t>
      </w:r>
    </w:p>
    <w:sectPr w:rsidR="0041198F" w:rsidRPr="003056C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04"/>
    <w:rsid w:val="000114F9"/>
    <w:rsid w:val="00071E81"/>
    <w:rsid w:val="00073733"/>
    <w:rsid w:val="000E2051"/>
    <w:rsid w:val="001534C4"/>
    <w:rsid w:val="00171B0D"/>
    <w:rsid w:val="00173208"/>
    <w:rsid w:val="00257FF2"/>
    <w:rsid w:val="003056CF"/>
    <w:rsid w:val="0033532E"/>
    <w:rsid w:val="00335A0E"/>
    <w:rsid w:val="00342BF8"/>
    <w:rsid w:val="00381045"/>
    <w:rsid w:val="003B12E9"/>
    <w:rsid w:val="003C2917"/>
    <w:rsid w:val="003D1C11"/>
    <w:rsid w:val="0041198F"/>
    <w:rsid w:val="00415314"/>
    <w:rsid w:val="00441D17"/>
    <w:rsid w:val="00450DF4"/>
    <w:rsid w:val="00454759"/>
    <w:rsid w:val="00470B46"/>
    <w:rsid w:val="004F6F3A"/>
    <w:rsid w:val="00531526"/>
    <w:rsid w:val="005E17A6"/>
    <w:rsid w:val="005E5504"/>
    <w:rsid w:val="00671104"/>
    <w:rsid w:val="00684568"/>
    <w:rsid w:val="006A60DB"/>
    <w:rsid w:val="006C7F43"/>
    <w:rsid w:val="00913A7B"/>
    <w:rsid w:val="00963084"/>
    <w:rsid w:val="00985DE3"/>
    <w:rsid w:val="009905E9"/>
    <w:rsid w:val="00994137"/>
    <w:rsid w:val="009D6CF1"/>
    <w:rsid w:val="00A2062E"/>
    <w:rsid w:val="00A72819"/>
    <w:rsid w:val="00B263B0"/>
    <w:rsid w:val="00B54543"/>
    <w:rsid w:val="00B7177A"/>
    <w:rsid w:val="00BB7FC5"/>
    <w:rsid w:val="00BF5787"/>
    <w:rsid w:val="00C86321"/>
    <w:rsid w:val="00CA5C2A"/>
    <w:rsid w:val="00CC6287"/>
    <w:rsid w:val="00D24236"/>
    <w:rsid w:val="00D97679"/>
    <w:rsid w:val="00DA022A"/>
    <w:rsid w:val="00DD0519"/>
    <w:rsid w:val="00DD3A1B"/>
    <w:rsid w:val="00E013AE"/>
    <w:rsid w:val="00E23D77"/>
    <w:rsid w:val="00ED2503"/>
    <w:rsid w:val="00F3131D"/>
    <w:rsid w:val="00F511F6"/>
    <w:rsid w:val="00F7660A"/>
    <w:rsid w:val="00F8072E"/>
    <w:rsid w:val="00F865B5"/>
    <w:rsid w:val="00F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1D5C4"/>
  <w15:chartTrackingRefBased/>
  <w15:docId w15:val="{AF9DA1BB-E223-1F46-A869-1E217D12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3B0"/>
    <w:pPr>
      <w:suppressAutoHyphens/>
    </w:pPr>
    <w:rPr>
      <w:rFonts w:ascii="Calibri" w:eastAsia="Calibri" w:hAnsi="Calibri" w:cs="DejaVu Sans"/>
      <w:color w:val="00000A"/>
      <w:kern w:val="0"/>
      <w:lang w:val="en-C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Emily</dc:creator>
  <cp:keywords/>
  <dc:description/>
  <cp:lastModifiedBy>Chase, Emily</cp:lastModifiedBy>
  <cp:revision>3</cp:revision>
  <dcterms:created xsi:type="dcterms:W3CDTF">2024-09-11T16:56:00Z</dcterms:created>
  <dcterms:modified xsi:type="dcterms:W3CDTF">2024-09-11T16:59:00Z</dcterms:modified>
</cp:coreProperties>
</file>