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A5755" w14:textId="77777777" w:rsidR="00B263B0" w:rsidRPr="00B263B0" w:rsidRDefault="00B263B0" w:rsidP="00B263B0">
      <w:pPr>
        <w:suppressAutoHyphens w:val="0"/>
        <w:rPr>
          <w:rFonts w:ascii="Times New Roman" w:hAnsi="Times New Roman" w:cs="Times New Roman"/>
          <w:color w:val="auto"/>
        </w:rPr>
      </w:pPr>
      <w:r w:rsidRPr="00B263B0">
        <w:rPr>
          <w:rFonts w:ascii="Times New Roman" w:hAnsi="Times New Roman" w:cs="Times New Roman"/>
          <w:color w:val="auto"/>
        </w:rPr>
        <w:t>SUPPLEMENTAL ONLINE INFORMATION</w:t>
      </w:r>
    </w:p>
    <w:p w14:paraId="1710EE6D" w14:textId="77777777" w:rsidR="00B263B0" w:rsidRDefault="00B263B0" w:rsidP="00B263B0">
      <w:pPr>
        <w:suppressAutoHyphens w:val="0"/>
        <w:rPr>
          <w:rFonts w:ascii="Times New Roman" w:hAnsi="Times New Roman" w:cs="Times New Roman"/>
          <w:color w:val="auto"/>
        </w:rPr>
      </w:pPr>
      <w:r w:rsidRPr="00B263B0">
        <w:rPr>
          <w:rFonts w:ascii="Times New Roman" w:hAnsi="Times New Roman" w:cs="Times New Roman"/>
          <w:color w:val="auto"/>
        </w:rPr>
        <w:t>For publication in conjunction with the following:</w:t>
      </w:r>
    </w:p>
    <w:p w14:paraId="74B02E04" w14:textId="77777777" w:rsidR="00B263B0" w:rsidRDefault="00B263B0" w:rsidP="00B263B0">
      <w:pPr>
        <w:suppressAutoHyphens w:val="0"/>
        <w:rPr>
          <w:rFonts w:ascii="Times New Roman" w:hAnsi="Times New Roman" w:cs="Times New Roman"/>
          <w:color w:val="auto"/>
        </w:rPr>
      </w:pPr>
    </w:p>
    <w:p w14:paraId="77546EE4" w14:textId="77777777" w:rsidR="006A60DB" w:rsidRPr="006A60DB" w:rsidRDefault="006A60DB" w:rsidP="006A60DB">
      <w:pPr>
        <w:suppressAutoHyphens w:val="0"/>
        <w:rPr>
          <w:rFonts w:ascii="Times New Roman" w:hAnsi="Times New Roman" w:cs="Times New Roman"/>
          <w:color w:val="auto"/>
          <w:sz w:val="28"/>
          <w:szCs w:val="28"/>
        </w:rPr>
      </w:pPr>
      <w:r w:rsidRPr="006A60DB">
        <w:rPr>
          <w:rFonts w:ascii="Times New Roman" w:hAnsi="Times New Roman" w:cs="Times New Roman"/>
          <w:color w:val="auto"/>
          <w:sz w:val="28"/>
          <w:szCs w:val="28"/>
        </w:rPr>
        <w:t xml:space="preserve">Viral dynamics in a </w:t>
      </w:r>
      <w:proofErr w:type="gramStart"/>
      <w:r w:rsidRPr="006A60DB">
        <w:rPr>
          <w:rFonts w:ascii="Times New Roman" w:hAnsi="Times New Roman" w:cs="Times New Roman"/>
          <w:color w:val="auto"/>
          <w:sz w:val="28"/>
          <w:szCs w:val="28"/>
        </w:rPr>
        <w:t>high rate</w:t>
      </w:r>
      <w:proofErr w:type="gramEnd"/>
      <w:r w:rsidRPr="006A60DB">
        <w:rPr>
          <w:rFonts w:ascii="Times New Roman" w:hAnsi="Times New Roman" w:cs="Times New Roman"/>
          <w:color w:val="auto"/>
          <w:sz w:val="28"/>
          <w:szCs w:val="28"/>
        </w:rPr>
        <w:t xml:space="preserve"> algal pond reveals a burst of </w:t>
      </w:r>
      <w:proofErr w:type="spellStart"/>
      <w:r w:rsidRPr="006A60DB">
        <w:rPr>
          <w:rFonts w:ascii="Times New Roman" w:hAnsi="Times New Roman" w:cs="Times New Roman"/>
          <w:i/>
          <w:iCs/>
          <w:color w:val="auto"/>
          <w:sz w:val="28"/>
          <w:szCs w:val="28"/>
        </w:rPr>
        <w:t>Phycodnaviridae</w:t>
      </w:r>
      <w:proofErr w:type="spellEnd"/>
      <w:r w:rsidRPr="006A60DB">
        <w:rPr>
          <w:rFonts w:ascii="Times New Roman" w:hAnsi="Times New Roman" w:cs="Times New Roman"/>
          <w:i/>
          <w:iCs/>
          <w:color w:val="auto"/>
          <w:sz w:val="28"/>
          <w:szCs w:val="28"/>
        </w:rPr>
        <w:t xml:space="preserve"> </w:t>
      </w:r>
      <w:r w:rsidRPr="006A60DB">
        <w:rPr>
          <w:rFonts w:ascii="Times New Roman" w:hAnsi="Times New Roman" w:cs="Times New Roman"/>
          <w:color w:val="auto"/>
          <w:sz w:val="28"/>
          <w:szCs w:val="28"/>
        </w:rPr>
        <w:t>diversity correlated with episodic algal mortality</w:t>
      </w:r>
    </w:p>
    <w:p w14:paraId="7D2F096D" w14:textId="77777777" w:rsidR="006A60DB" w:rsidRPr="006A60DB" w:rsidRDefault="006A60DB" w:rsidP="006A60DB">
      <w:pPr>
        <w:suppressAutoHyphens w:val="0"/>
        <w:rPr>
          <w:rFonts w:ascii="Times New Roman" w:hAnsi="Times New Roman" w:cs="Times New Roman"/>
          <w:color w:val="auto"/>
        </w:rPr>
      </w:pPr>
    </w:p>
    <w:p w14:paraId="10898A52" w14:textId="4C36EDC4" w:rsidR="006A60DB" w:rsidRPr="006A60DB" w:rsidRDefault="006A60DB" w:rsidP="006A60DB">
      <w:pPr>
        <w:suppressAutoHyphens w:val="0"/>
        <w:rPr>
          <w:rFonts w:ascii="Times New Roman" w:hAnsi="Times New Roman" w:cs="Times New Roman"/>
          <w:color w:val="auto"/>
        </w:rPr>
      </w:pPr>
      <w:r w:rsidRPr="006A60DB">
        <w:rPr>
          <w:rFonts w:ascii="Times New Roman" w:hAnsi="Times New Roman" w:cs="Times New Roman"/>
          <w:color w:val="auto"/>
        </w:rPr>
        <w:t>Chase</w:t>
      </w:r>
      <w:r>
        <w:rPr>
          <w:rFonts w:ascii="Times New Roman" w:hAnsi="Times New Roman" w:cs="Times New Roman"/>
          <w:color w:val="auto"/>
        </w:rPr>
        <w:t xml:space="preserve"> EE</w:t>
      </w:r>
      <w:r w:rsidRPr="006A60DB">
        <w:rPr>
          <w:rFonts w:ascii="Times New Roman" w:hAnsi="Times New Roman" w:cs="Times New Roman"/>
          <w:color w:val="auto"/>
          <w:vertAlign w:val="superscript"/>
        </w:rPr>
        <w:t>1,2,3</w:t>
      </w:r>
      <w:r w:rsidRPr="006A60DB">
        <w:rPr>
          <w:rFonts w:ascii="Times New Roman" w:hAnsi="Times New Roman" w:cs="Times New Roman"/>
          <w:color w:val="auto"/>
        </w:rPr>
        <w:t>, Pitot T</w:t>
      </w:r>
      <w:r w:rsidRPr="006A60DB">
        <w:rPr>
          <w:rFonts w:ascii="Times New Roman" w:hAnsi="Times New Roman" w:cs="Times New Roman"/>
          <w:color w:val="auto"/>
          <w:vertAlign w:val="superscript"/>
        </w:rPr>
        <w:t>4</w:t>
      </w:r>
      <w:r w:rsidRPr="006A60DB">
        <w:rPr>
          <w:rFonts w:ascii="Times New Roman" w:hAnsi="Times New Roman" w:cs="Times New Roman"/>
          <w:color w:val="auto"/>
        </w:rPr>
        <w:t>, Bouchard S</w:t>
      </w:r>
      <w:r w:rsidRPr="006A60DB">
        <w:rPr>
          <w:rFonts w:ascii="Times New Roman" w:hAnsi="Times New Roman" w:cs="Times New Roman"/>
          <w:color w:val="auto"/>
          <w:vertAlign w:val="superscript"/>
        </w:rPr>
        <w:t>1</w:t>
      </w:r>
      <w:r w:rsidRPr="006A60DB">
        <w:rPr>
          <w:rFonts w:ascii="Times New Roman" w:hAnsi="Times New Roman" w:cs="Times New Roman"/>
          <w:color w:val="auto"/>
        </w:rPr>
        <w:t>, Triplet S</w:t>
      </w:r>
      <w:r w:rsidRPr="006A60DB">
        <w:rPr>
          <w:rFonts w:ascii="Times New Roman" w:hAnsi="Times New Roman" w:cs="Times New Roman"/>
          <w:color w:val="auto"/>
          <w:vertAlign w:val="superscript"/>
        </w:rPr>
        <w:t>5</w:t>
      </w:r>
      <w:r w:rsidRPr="006A60DB">
        <w:rPr>
          <w:rFonts w:ascii="Times New Roman" w:hAnsi="Times New Roman" w:cs="Times New Roman"/>
          <w:color w:val="auto"/>
        </w:rPr>
        <w:t>, Przybyla C</w:t>
      </w:r>
      <w:r w:rsidRPr="006A60DB">
        <w:rPr>
          <w:rFonts w:ascii="Times New Roman" w:hAnsi="Times New Roman" w:cs="Times New Roman"/>
          <w:color w:val="auto"/>
          <w:vertAlign w:val="superscript"/>
        </w:rPr>
        <w:t>5</w:t>
      </w:r>
      <w:r w:rsidRPr="006A60DB">
        <w:rPr>
          <w:rFonts w:ascii="Times New Roman" w:hAnsi="Times New Roman" w:cs="Times New Roman"/>
          <w:color w:val="auto"/>
        </w:rPr>
        <w:t xml:space="preserve">, </w:t>
      </w:r>
      <w:proofErr w:type="spellStart"/>
      <w:r w:rsidRPr="006A60DB">
        <w:rPr>
          <w:rFonts w:ascii="Times New Roman" w:hAnsi="Times New Roman" w:cs="Times New Roman"/>
          <w:color w:val="auto"/>
        </w:rPr>
        <w:t>Gobet</w:t>
      </w:r>
      <w:proofErr w:type="spellEnd"/>
      <w:r w:rsidRPr="006A60DB">
        <w:rPr>
          <w:rFonts w:ascii="Times New Roman" w:hAnsi="Times New Roman" w:cs="Times New Roman"/>
          <w:color w:val="auto"/>
        </w:rPr>
        <w:t xml:space="preserve"> A</w:t>
      </w:r>
      <w:r w:rsidRPr="006A60DB">
        <w:rPr>
          <w:rFonts w:ascii="Times New Roman" w:hAnsi="Times New Roman" w:cs="Times New Roman"/>
          <w:color w:val="auto"/>
          <w:vertAlign w:val="superscript"/>
        </w:rPr>
        <w:t>5</w:t>
      </w:r>
      <w:r w:rsidRPr="006A60DB">
        <w:rPr>
          <w:rFonts w:ascii="Times New Roman" w:hAnsi="Times New Roman" w:cs="Times New Roman"/>
          <w:color w:val="auto"/>
        </w:rPr>
        <w:t xml:space="preserve">, </w:t>
      </w:r>
      <w:proofErr w:type="spellStart"/>
      <w:r w:rsidRPr="006A60DB">
        <w:rPr>
          <w:rFonts w:ascii="Times New Roman" w:hAnsi="Times New Roman" w:cs="Times New Roman"/>
          <w:color w:val="auto"/>
        </w:rPr>
        <w:t>Desnues</w:t>
      </w:r>
      <w:proofErr w:type="spellEnd"/>
      <w:r w:rsidRPr="006A60DB">
        <w:rPr>
          <w:rFonts w:ascii="Times New Roman" w:hAnsi="Times New Roman" w:cs="Times New Roman"/>
          <w:color w:val="auto"/>
        </w:rPr>
        <w:t xml:space="preserve"> C</w:t>
      </w:r>
      <w:r w:rsidRPr="006A60DB">
        <w:rPr>
          <w:rFonts w:ascii="Times New Roman" w:hAnsi="Times New Roman" w:cs="Times New Roman"/>
          <w:color w:val="auto"/>
          <w:vertAlign w:val="superscript"/>
        </w:rPr>
        <w:t>1,2</w:t>
      </w:r>
      <w:r w:rsidRPr="006A60DB">
        <w:rPr>
          <w:rFonts w:ascii="Times New Roman" w:hAnsi="Times New Roman" w:cs="Times New Roman"/>
          <w:color w:val="auto"/>
        </w:rPr>
        <w:t>, and Blanc G</w:t>
      </w:r>
      <w:r w:rsidRPr="006A60DB">
        <w:rPr>
          <w:rFonts w:ascii="Times New Roman" w:hAnsi="Times New Roman" w:cs="Times New Roman"/>
          <w:color w:val="auto"/>
          <w:vertAlign w:val="superscript"/>
        </w:rPr>
        <w:t>1</w:t>
      </w:r>
      <w:r w:rsidRPr="006A60DB">
        <w:rPr>
          <w:rFonts w:ascii="Times New Roman" w:hAnsi="Times New Roman" w:cs="Times New Roman"/>
          <w:color w:val="auto"/>
        </w:rPr>
        <w:t>.</w:t>
      </w:r>
    </w:p>
    <w:p w14:paraId="078C18AD" w14:textId="77777777" w:rsidR="006A60DB" w:rsidRPr="006A60DB" w:rsidRDefault="006A60DB" w:rsidP="006A60DB">
      <w:pPr>
        <w:suppressAutoHyphens w:val="0"/>
        <w:rPr>
          <w:rFonts w:ascii="Times New Roman" w:hAnsi="Times New Roman" w:cs="Times New Roman"/>
          <w:color w:val="auto"/>
        </w:rPr>
      </w:pPr>
    </w:p>
    <w:p w14:paraId="249B50C2" w14:textId="77E1AA32" w:rsidR="006A60DB" w:rsidRPr="006A60DB" w:rsidRDefault="006A60DB" w:rsidP="006A60DB">
      <w:pPr>
        <w:suppressAutoHyphens w:val="0"/>
        <w:rPr>
          <w:rFonts w:ascii="Times New Roman" w:hAnsi="Times New Roman" w:cs="Times New Roman"/>
          <w:i/>
          <w:iCs/>
          <w:color w:val="auto"/>
        </w:rPr>
      </w:pPr>
      <w:r w:rsidRPr="006A60DB">
        <w:rPr>
          <w:rFonts w:ascii="Times New Roman" w:hAnsi="Times New Roman" w:cs="Times New Roman"/>
          <w:i/>
          <w:iCs/>
          <w:color w:val="auto"/>
          <w:vertAlign w:val="superscript"/>
        </w:rPr>
        <w:t xml:space="preserve">1 </w:t>
      </w:r>
      <w:proofErr w:type="spellStart"/>
      <w:r w:rsidRPr="006A60DB">
        <w:rPr>
          <w:rFonts w:ascii="Times New Roman" w:hAnsi="Times New Roman" w:cs="Times New Roman"/>
          <w:i/>
          <w:iCs/>
          <w:color w:val="auto"/>
        </w:rPr>
        <w:t>Microbiologie</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Environnementale</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Biotechnologie</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Institut</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Méditerranéen</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d'Océanologie</w:t>
      </w:r>
      <w:proofErr w:type="spellEnd"/>
      <w:r w:rsidRPr="006A60DB">
        <w:rPr>
          <w:rFonts w:ascii="Times New Roman" w:hAnsi="Times New Roman" w:cs="Times New Roman"/>
          <w:i/>
          <w:iCs/>
          <w:color w:val="auto"/>
        </w:rPr>
        <w:t xml:space="preserve">, Campus de </w:t>
      </w:r>
      <w:proofErr w:type="spellStart"/>
      <w:r w:rsidRPr="006A60DB">
        <w:rPr>
          <w:rFonts w:ascii="Times New Roman" w:hAnsi="Times New Roman" w:cs="Times New Roman"/>
          <w:i/>
          <w:iCs/>
          <w:color w:val="auto"/>
        </w:rPr>
        <w:t>Luminy</w:t>
      </w:r>
      <w:proofErr w:type="spellEnd"/>
      <w:r w:rsidRPr="006A60DB">
        <w:rPr>
          <w:rFonts w:ascii="Times New Roman" w:hAnsi="Times New Roman" w:cs="Times New Roman"/>
          <w:i/>
          <w:iCs/>
          <w:color w:val="auto"/>
        </w:rPr>
        <w:t xml:space="preserve">, 163 Avenue de </w:t>
      </w:r>
      <w:proofErr w:type="spellStart"/>
      <w:r w:rsidRPr="006A60DB">
        <w:rPr>
          <w:rFonts w:ascii="Times New Roman" w:hAnsi="Times New Roman" w:cs="Times New Roman"/>
          <w:i/>
          <w:iCs/>
          <w:color w:val="auto"/>
        </w:rPr>
        <w:t>Luminy</w:t>
      </w:r>
      <w:proofErr w:type="spellEnd"/>
      <w:r w:rsidRPr="006A60DB">
        <w:rPr>
          <w:rFonts w:ascii="Times New Roman" w:hAnsi="Times New Roman" w:cs="Times New Roman"/>
          <w:i/>
          <w:iCs/>
          <w:color w:val="auto"/>
        </w:rPr>
        <w:t>, 13009 Marseille, France</w:t>
      </w:r>
    </w:p>
    <w:p w14:paraId="7575E6E2" w14:textId="1EE2A506" w:rsidR="006A60DB" w:rsidRPr="006A60DB" w:rsidRDefault="006A60DB" w:rsidP="006A60DB">
      <w:pPr>
        <w:suppressAutoHyphens w:val="0"/>
        <w:rPr>
          <w:rFonts w:ascii="Times New Roman" w:hAnsi="Times New Roman" w:cs="Times New Roman"/>
          <w:i/>
          <w:iCs/>
          <w:color w:val="auto"/>
        </w:rPr>
      </w:pPr>
      <w:r w:rsidRPr="006A60DB">
        <w:rPr>
          <w:rFonts w:ascii="Times New Roman" w:hAnsi="Times New Roman" w:cs="Times New Roman"/>
          <w:i/>
          <w:iCs/>
          <w:color w:val="auto"/>
          <w:vertAlign w:val="superscript"/>
        </w:rPr>
        <w:t xml:space="preserve">2 </w:t>
      </w:r>
      <w:proofErr w:type="spellStart"/>
      <w:r w:rsidRPr="006A60DB">
        <w:rPr>
          <w:rFonts w:ascii="Times New Roman" w:hAnsi="Times New Roman" w:cs="Times New Roman"/>
          <w:i/>
          <w:iCs/>
          <w:color w:val="auto"/>
        </w:rPr>
        <w:t>Institut</w:t>
      </w:r>
      <w:proofErr w:type="spellEnd"/>
      <w:r w:rsidRPr="006A60DB">
        <w:rPr>
          <w:rFonts w:ascii="Times New Roman" w:hAnsi="Times New Roman" w:cs="Times New Roman"/>
          <w:i/>
          <w:iCs/>
          <w:color w:val="auto"/>
        </w:rPr>
        <w:t xml:space="preserve"> </w:t>
      </w:r>
      <w:proofErr w:type="spellStart"/>
      <w:r w:rsidRPr="006A60DB">
        <w:rPr>
          <w:rFonts w:ascii="Times New Roman" w:hAnsi="Times New Roman" w:cs="Times New Roman"/>
          <w:i/>
          <w:iCs/>
          <w:color w:val="auto"/>
        </w:rPr>
        <w:t>hospitalo-universitaire</w:t>
      </w:r>
      <w:proofErr w:type="spellEnd"/>
      <w:r w:rsidRPr="006A60DB">
        <w:rPr>
          <w:rFonts w:ascii="Times New Roman" w:hAnsi="Times New Roman" w:cs="Times New Roman"/>
          <w:i/>
          <w:iCs/>
          <w:color w:val="auto"/>
        </w:rPr>
        <w:t xml:space="preserve"> (IHU) </w:t>
      </w:r>
      <w:proofErr w:type="spellStart"/>
      <w:r w:rsidRPr="006A60DB">
        <w:rPr>
          <w:rFonts w:ascii="Times New Roman" w:hAnsi="Times New Roman" w:cs="Times New Roman"/>
          <w:i/>
          <w:iCs/>
          <w:color w:val="auto"/>
        </w:rPr>
        <w:t>Méditerranée</w:t>
      </w:r>
      <w:proofErr w:type="spellEnd"/>
      <w:r w:rsidRPr="006A60DB">
        <w:rPr>
          <w:rFonts w:ascii="Times New Roman" w:hAnsi="Times New Roman" w:cs="Times New Roman"/>
          <w:i/>
          <w:iCs/>
          <w:color w:val="auto"/>
        </w:rPr>
        <w:t xml:space="preserve"> infection, 19-21 Boulevard Jean Moulin, 13005 Marseille, France</w:t>
      </w:r>
    </w:p>
    <w:p w14:paraId="47276616" w14:textId="0644F7CA" w:rsidR="006A60DB" w:rsidRPr="006A60DB" w:rsidRDefault="006A60DB" w:rsidP="006A60DB">
      <w:pPr>
        <w:suppressAutoHyphens w:val="0"/>
        <w:rPr>
          <w:rFonts w:ascii="Times New Roman" w:hAnsi="Times New Roman" w:cs="Times New Roman"/>
          <w:i/>
          <w:iCs/>
          <w:color w:val="auto"/>
        </w:rPr>
      </w:pPr>
      <w:r w:rsidRPr="006A60DB">
        <w:rPr>
          <w:rFonts w:ascii="Times New Roman" w:hAnsi="Times New Roman" w:cs="Times New Roman"/>
          <w:i/>
          <w:iCs/>
          <w:color w:val="auto"/>
          <w:vertAlign w:val="superscript"/>
        </w:rPr>
        <w:t xml:space="preserve">3 </w:t>
      </w:r>
      <w:r w:rsidRPr="006A60DB">
        <w:rPr>
          <w:rFonts w:ascii="Times New Roman" w:hAnsi="Times New Roman" w:cs="Times New Roman"/>
          <w:i/>
          <w:iCs/>
          <w:color w:val="auto"/>
        </w:rPr>
        <w:t xml:space="preserve">University of Tennessee Knoxville, Department of Microbiology, </w:t>
      </w:r>
      <w:proofErr w:type="gramStart"/>
      <w:r w:rsidRPr="006A60DB">
        <w:rPr>
          <w:rFonts w:ascii="Times New Roman" w:hAnsi="Times New Roman" w:cs="Times New Roman"/>
          <w:i/>
          <w:iCs/>
          <w:color w:val="auto"/>
        </w:rPr>
        <w:t>Ken</w:t>
      </w:r>
      <w:proofErr w:type="gramEnd"/>
      <w:r w:rsidRPr="006A60DB">
        <w:rPr>
          <w:rFonts w:ascii="Times New Roman" w:hAnsi="Times New Roman" w:cs="Times New Roman"/>
          <w:i/>
          <w:iCs/>
          <w:color w:val="auto"/>
        </w:rPr>
        <w:t xml:space="preserve"> and Blaire Mossman </w:t>
      </w:r>
      <w:proofErr w:type="spellStart"/>
      <w:r w:rsidRPr="006A60DB">
        <w:rPr>
          <w:rFonts w:ascii="Times New Roman" w:hAnsi="Times New Roman" w:cs="Times New Roman"/>
          <w:i/>
          <w:iCs/>
          <w:color w:val="auto"/>
        </w:rPr>
        <w:t>Bldg</w:t>
      </w:r>
      <w:proofErr w:type="spellEnd"/>
      <w:r w:rsidRPr="006A60DB">
        <w:rPr>
          <w:rFonts w:ascii="Times New Roman" w:hAnsi="Times New Roman" w:cs="Times New Roman"/>
          <w:i/>
          <w:iCs/>
          <w:color w:val="auto"/>
        </w:rPr>
        <w:t xml:space="preserve">, 1311 Cumberland Ave #307, Knoxville, TN 37996 </w:t>
      </w:r>
    </w:p>
    <w:p w14:paraId="4D8428BE" w14:textId="1CABCF86" w:rsidR="006A60DB" w:rsidRPr="006A60DB" w:rsidRDefault="006A60DB" w:rsidP="006A60DB">
      <w:pPr>
        <w:suppressAutoHyphens w:val="0"/>
        <w:rPr>
          <w:rFonts w:ascii="Times New Roman" w:hAnsi="Times New Roman" w:cs="Times New Roman"/>
          <w:i/>
          <w:iCs/>
          <w:color w:val="auto"/>
        </w:rPr>
      </w:pPr>
      <w:r w:rsidRPr="006A60DB">
        <w:rPr>
          <w:rFonts w:ascii="Times New Roman" w:hAnsi="Times New Roman" w:cs="Times New Roman"/>
          <w:i/>
          <w:iCs/>
          <w:color w:val="auto"/>
          <w:vertAlign w:val="superscript"/>
        </w:rPr>
        <w:t xml:space="preserve">4 </w:t>
      </w:r>
      <w:r w:rsidRPr="006A60DB">
        <w:rPr>
          <w:rFonts w:ascii="Times New Roman" w:hAnsi="Times New Roman" w:cs="Times New Roman"/>
          <w:i/>
          <w:iCs/>
          <w:color w:val="auto"/>
        </w:rPr>
        <w:t xml:space="preserve">Department of Biochemistry, Microbiology and Bioinformatics, Université Laval, 2325 rue de </w:t>
      </w:r>
      <w:proofErr w:type="spellStart"/>
      <w:r w:rsidRPr="006A60DB">
        <w:rPr>
          <w:rFonts w:ascii="Times New Roman" w:hAnsi="Times New Roman" w:cs="Times New Roman"/>
          <w:i/>
          <w:iCs/>
          <w:color w:val="auto"/>
        </w:rPr>
        <w:t>l’Université</w:t>
      </w:r>
      <w:proofErr w:type="spellEnd"/>
      <w:r w:rsidRPr="006A60DB">
        <w:rPr>
          <w:rFonts w:ascii="Times New Roman" w:hAnsi="Times New Roman" w:cs="Times New Roman"/>
          <w:i/>
          <w:iCs/>
          <w:color w:val="auto"/>
        </w:rPr>
        <w:t>, Québec, QC G1V0A6, Canada</w:t>
      </w:r>
    </w:p>
    <w:p w14:paraId="5F96BCA8" w14:textId="621BD730" w:rsidR="00B263B0" w:rsidRPr="006A60DB" w:rsidRDefault="006A60DB" w:rsidP="006A60DB">
      <w:pPr>
        <w:suppressAutoHyphens w:val="0"/>
        <w:rPr>
          <w:rFonts w:ascii="Times New Roman" w:hAnsi="Times New Roman" w:cs="Times New Roman"/>
          <w:i/>
          <w:iCs/>
          <w:color w:val="auto"/>
        </w:rPr>
      </w:pPr>
      <w:r w:rsidRPr="006A60DB">
        <w:rPr>
          <w:rFonts w:ascii="Times New Roman" w:hAnsi="Times New Roman" w:cs="Times New Roman"/>
          <w:i/>
          <w:iCs/>
          <w:color w:val="auto"/>
          <w:vertAlign w:val="superscript"/>
        </w:rPr>
        <w:t xml:space="preserve">5 </w:t>
      </w:r>
      <w:r w:rsidRPr="006A60DB">
        <w:rPr>
          <w:rFonts w:ascii="Times New Roman" w:hAnsi="Times New Roman" w:cs="Times New Roman"/>
          <w:i/>
          <w:iCs/>
          <w:color w:val="auto"/>
        </w:rPr>
        <w:t xml:space="preserve">MARBEC, Univ Montpellier, CNRS, </w:t>
      </w:r>
      <w:proofErr w:type="spellStart"/>
      <w:r w:rsidRPr="006A60DB">
        <w:rPr>
          <w:rFonts w:ascii="Times New Roman" w:hAnsi="Times New Roman" w:cs="Times New Roman"/>
          <w:i/>
          <w:iCs/>
          <w:color w:val="auto"/>
        </w:rPr>
        <w:t>Ifremer</w:t>
      </w:r>
      <w:proofErr w:type="spellEnd"/>
      <w:r w:rsidRPr="006A60DB">
        <w:rPr>
          <w:rFonts w:ascii="Times New Roman" w:hAnsi="Times New Roman" w:cs="Times New Roman"/>
          <w:i/>
          <w:iCs/>
          <w:color w:val="auto"/>
        </w:rPr>
        <w:t xml:space="preserve">, IRD, </w:t>
      </w:r>
      <w:proofErr w:type="spellStart"/>
      <w:r w:rsidRPr="006A60DB">
        <w:rPr>
          <w:rFonts w:ascii="Times New Roman" w:hAnsi="Times New Roman" w:cs="Times New Roman"/>
          <w:i/>
          <w:iCs/>
          <w:color w:val="auto"/>
        </w:rPr>
        <w:t>Sète</w:t>
      </w:r>
      <w:proofErr w:type="spellEnd"/>
      <w:r w:rsidRPr="006A60DB">
        <w:rPr>
          <w:rFonts w:ascii="Times New Roman" w:hAnsi="Times New Roman" w:cs="Times New Roman"/>
          <w:i/>
          <w:iCs/>
          <w:color w:val="auto"/>
        </w:rPr>
        <w:t>, France</w:t>
      </w:r>
    </w:p>
    <w:p w14:paraId="18743E70" w14:textId="6390CB68" w:rsidR="00B263B0" w:rsidRPr="00B10678" w:rsidRDefault="00B263B0" w:rsidP="00B10678">
      <w:pPr>
        <w:suppressAutoHyphens w:val="0"/>
        <w:rPr>
          <w:rFonts w:ascii="Times New Roman" w:hAnsi="Times New Roman" w:cs="Times New Roman"/>
          <w:color w:val="auto"/>
        </w:rPr>
      </w:pPr>
      <w:r>
        <w:rPr>
          <w:rFonts w:ascii="Times New Roman" w:hAnsi="Times New Roman" w:cs="Times New Roman"/>
          <w:color w:val="auto"/>
        </w:rPr>
        <w:br w:type="page"/>
      </w:r>
    </w:p>
    <w:p w14:paraId="3E8BFE91" w14:textId="77777777" w:rsidR="00B263B0" w:rsidRDefault="00B263B0" w:rsidP="00B263B0">
      <w:pPr>
        <w:spacing w:line="360" w:lineRule="auto"/>
        <w:jc w:val="both"/>
        <w:rPr>
          <w:color w:val="auto"/>
        </w:rPr>
      </w:pPr>
      <w:r>
        <w:rPr>
          <w:noProof/>
        </w:rPr>
        <w:lastRenderedPageBreak/>
        <w:drawing>
          <wp:inline distT="0" distB="0" distL="0" distR="0" wp14:anchorId="17055544" wp14:editId="42A4DA3C">
            <wp:extent cx="5815330" cy="6419215"/>
            <wp:effectExtent l="0" t="0" r="0" b="0"/>
            <wp:docPr id="1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pic:cNvPicPr>
                      <a:picLocks noChangeAspect="1" noChangeArrowheads="1"/>
                    </pic:cNvPicPr>
                  </pic:nvPicPr>
                  <pic:blipFill>
                    <a:blip r:embed="rId4"/>
                    <a:srcRect b="21996"/>
                    <a:stretch>
                      <a:fillRect/>
                    </a:stretch>
                  </pic:blipFill>
                  <pic:spPr bwMode="auto">
                    <a:xfrm>
                      <a:off x="0" y="0"/>
                      <a:ext cx="5815330" cy="6419215"/>
                    </a:xfrm>
                    <a:prstGeom prst="rect">
                      <a:avLst/>
                    </a:prstGeom>
                  </pic:spPr>
                </pic:pic>
              </a:graphicData>
            </a:graphic>
          </wp:inline>
        </w:drawing>
      </w:r>
    </w:p>
    <w:p w14:paraId="77BE1942" w14:textId="77777777" w:rsidR="00B263B0" w:rsidRDefault="00B263B0" w:rsidP="00B263B0">
      <w:pPr>
        <w:spacing w:line="360" w:lineRule="auto"/>
        <w:jc w:val="both"/>
      </w:pPr>
      <w:r>
        <w:rPr>
          <w:noProof/>
        </w:rPr>
        <w:lastRenderedPageBreak/>
        <w:drawing>
          <wp:inline distT="0" distB="0" distL="0" distR="0" wp14:anchorId="4955030B" wp14:editId="5D628F44">
            <wp:extent cx="5815330" cy="8229600"/>
            <wp:effectExtent l="0" t="0" r="0" b="0"/>
            <wp:docPr id="1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pic:cNvPicPr>
                      <a:picLocks noChangeAspect="1" noChangeArrowheads="1"/>
                    </pic:cNvPicPr>
                  </pic:nvPicPr>
                  <pic:blipFill>
                    <a:blip r:embed="rId5"/>
                    <a:stretch>
                      <a:fillRect/>
                    </a:stretch>
                  </pic:blipFill>
                  <pic:spPr bwMode="auto">
                    <a:xfrm>
                      <a:off x="0" y="0"/>
                      <a:ext cx="5815330" cy="8229600"/>
                    </a:xfrm>
                    <a:prstGeom prst="rect">
                      <a:avLst/>
                    </a:prstGeom>
                  </pic:spPr>
                </pic:pic>
              </a:graphicData>
            </a:graphic>
          </wp:inline>
        </w:drawing>
      </w:r>
      <w:r>
        <w:rPr>
          <w:noProof/>
        </w:rPr>
        <w:lastRenderedPageBreak/>
        <w:drawing>
          <wp:inline distT="0" distB="0" distL="0" distR="0" wp14:anchorId="291F0E7A" wp14:editId="277B31F1">
            <wp:extent cx="5815330" cy="7010400"/>
            <wp:effectExtent l="0" t="0" r="0" b="0"/>
            <wp:docPr id="1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pic:cNvPicPr>
                      <a:picLocks noChangeAspect="1" noChangeArrowheads="1"/>
                    </pic:cNvPicPr>
                  </pic:nvPicPr>
                  <pic:blipFill>
                    <a:blip r:embed="rId6"/>
                    <a:srcRect b="14819"/>
                    <a:stretch>
                      <a:fillRect/>
                    </a:stretch>
                  </pic:blipFill>
                  <pic:spPr bwMode="auto">
                    <a:xfrm>
                      <a:off x="0" y="0"/>
                      <a:ext cx="5815330" cy="7010400"/>
                    </a:xfrm>
                    <a:prstGeom prst="rect">
                      <a:avLst/>
                    </a:prstGeom>
                  </pic:spPr>
                </pic:pic>
              </a:graphicData>
            </a:graphic>
          </wp:inline>
        </w:drawing>
      </w:r>
      <w:r>
        <w:rPr>
          <w:noProof/>
        </w:rPr>
        <w:lastRenderedPageBreak/>
        <w:drawing>
          <wp:inline distT="0" distB="0" distL="0" distR="0" wp14:anchorId="3C37B94D" wp14:editId="40CC9524">
            <wp:extent cx="5535295" cy="8229600"/>
            <wp:effectExtent l="0" t="0" r="0" b="0"/>
            <wp:docPr id="1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pic:cNvPicPr>
                      <a:picLocks noChangeAspect="1" noChangeArrowheads="1"/>
                    </pic:cNvPicPr>
                  </pic:nvPicPr>
                  <pic:blipFill>
                    <a:blip r:embed="rId7"/>
                    <a:stretch>
                      <a:fillRect/>
                    </a:stretch>
                  </pic:blipFill>
                  <pic:spPr bwMode="auto">
                    <a:xfrm>
                      <a:off x="0" y="0"/>
                      <a:ext cx="5535295" cy="8229600"/>
                    </a:xfrm>
                    <a:prstGeom prst="rect">
                      <a:avLst/>
                    </a:prstGeom>
                  </pic:spPr>
                </pic:pic>
              </a:graphicData>
            </a:graphic>
          </wp:inline>
        </w:drawing>
      </w:r>
      <w:r>
        <w:rPr>
          <w:noProof/>
        </w:rPr>
        <w:lastRenderedPageBreak/>
        <w:drawing>
          <wp:inline distT="0" distB="0" distL="0" distR="0" wp14:anchorId="03825B93" wp14:editId="3AFFD38B">
            <wp:extent cx="5943600" cy="8023860"/>
            <wp:effectExtent l="0" t="0" r="0" b="0"/>
            <wp:docPr id="1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
                    <pic:cNvPicPr>
                      <a:picLocks noChangeAspect="1" noChangeArrowheads="1"/>
                    </pic:cNvPicPr>
                  </pic:nvPicPr>
                  <pic:blipFill>
                    <a:blip r:embed="rId8"/>
                    <a:stretch>
                      <a:fillRect/>
                    </a:stretch>
                  </pic:blipFill>
                  <pic:spPr bwMode="auto">
                    <a:xfrm>
                      <a:off x="0" y="0"/>
                      <a:ext cx="5943600" cy="8023860"/>
                    </a:xfrm>
                    <a:prstGeom prst="rect">
                      <a:avLst/>
                    </a:prstGeom>
                  </pic:spPr>
                </pic:pic>
              </a:graphicData>
            </a:graphic>
          </wp:inline>
        </w:drawing>
      </w:r>
      <w:r>
        <w:rPr>
          <w:noProof/>
        </w:rPr>
        <w:lastRenderedPageBreak/>
        <w:drawing>
          <wp:inline distT="0" distB="0" distL="0" distR="0" wp14:anchorId="03635DBB" wp14:editId="160F876F">
            <wp:extent cx="4648200" cy="4719955"/>
            <wp:effectExtent l="0" t="0" r="0" b="0"/>
            <wp:docPr id="1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pic:cNvPicPr>
                      <a:picLocks noChangeAspect="1" noChangeArrowheads="1"/>
                    </pic:cNvPicPr>
                  </pic:nvPicPr>
                  <pic:blipFill>
                    <a:blip r:embed="rId9"/>
                    <a:srcRect b="32307"/>
                    <a:stretch>
                      <a:fillRect/>
                    </a:stretch>
                  </pic:blipFill>
                  <pic:spPr bwMode="auto">
                    <a:xfrm>
                      <a:off x="0" y="0"/>
                      <a:ext cx="4648200" cy="4719955"/>
                    </a:xfrm>
                    <a:prstGeom prst="rect">
                      <a:avLst/>
                    </a:prstGeom>
                  </pic:spPr>
                </pic:pic>
              </a:graphicData>
            </a:graphic>
          </wp:inline>
        </w:drawing>
      </w:r>
      <w:r>
        <w:rPr>
          <w:noProof/>
        </w:rPr>
        <w:lastRenderedPageBreak/>
        <w:drawing>
          <wp:inline distT="0" distB="0" distL="0" distR="0" wp14:anchorId="6CCB5F26" wp14:editId="510E2CFD">
            <wp:extent cx="5815330" cy="822960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noChangeArrowheads="1"/>
                    </pic:cNvPicPr>
                  </pic:nvPicPr>
                  <pic:blipFill>
                    <a:blip r:embed="rId10"/>
                    <a:stretch>
                      <a:fillRect/>
                    </a:stretch>
                  </pic:blipFill>
                  <pic:spPr bwMode="auto">
                    <a:xfrm>
                      <a:off x="0" y="0"/>
                      <a:ext cx="5815330" cy="8229600"/>
                    </a:xfrm>
                    <a:prstGeom prst="rect">
                      <a:avLst/>
                    </a:prstGeom>
                  </pic:spPr>
                </pic:pic>
              </a:graphicData>
            </a:graphic>
          </wp:inline>
        </w:drawing>
      </w:r>
      <w:r>
        <w:t xml:space="preserve"> </w:t>
      </w:r>
    </w:p>
    <w:p w14:paraId="5D1E1E02" w14:textId="77777777" w:rsidR="00B263B0" w:rsidRDefault="00B263B0" w:rsidP="00B263B0">
      <w:pPr>
        <w:spacing w:line="360" w:lineRule="auto"/>
        <w:jc w:val="both"/>
      </w:pPr>
    </w:p>
    <w:p w14:paraId="1BB1DD24" w14:textId="52DC00F8" w:rsidR="00B263B0" w:rsidRDefault="00B263B0" w:rsidP="00B263B0">
      <w:pPr>
        <w:spacing w:line="360" w:lineRule="auto"/>
        <w:jc w:val="both"/>
        <w:rPr>
          <w:color w:val="auto"/>
        </w:rPr>
      </w:pPr>
      <w:r>
        <w:rPr>
          <w:rFonts w:ascii="Times New Roman" w:hAnsi="Times New Roman" w:cs="Times New Roman"/>
          <w:b/>
          <w:bCs/>
          <w:color w:val="auto"/>
        </w:rPr>
        <w:lastRenderedPageBreak/>
        <w:t>Figure S6</w:t>
      </w:r>
      <w:r>
        <w:rPr>
          <w:rFonts w:ascii="Times New Roman" w:hAnsi="Times New Roman" w:cs="Times New Roman"/>
          <w:color w:val="auto"/>
        </w:rPr>
        <w:t>. Phylogenetic trees of viral proteins with putative HGT origin.</w:t>
      </w:r>
      <w:r>
        <w:rPr>
          <w:rFonts w:ascii="Times New Roman" w:eastAsia="MS Gothic" w:hAnsi="Times New Roman" w:cs="Times New Roman"/>
          <w:color w:val="auto"/>
        </w:rPr>
        <w:t xml:space="preserve"> </w:t>
      </w:r>
      <w:r>
        <w:rPr>
          <w:rFonts w:ascii="Times New Roman" w:hAnsi="Times New Roman" w:cs="Times New Roman"/>
          <w:color w:val="auto"/>
        </w:rPr>
        <w:t>Phylogenetic reconstruction was carried out following the general procedure provided in the Material and Methods section. Scale bar reflects the average number of amino acid substitutions per site. The numbers beside the nodes represent the proportion of bootstrap support. The protein families studied are (</w:t>
      </w:r>
      <w:r>
        <w:rPr>
          <w:rFonts w:ascii="Times New Roman" w:hAnsi="Times New Roman" w:cs="Times New Roman"/>
          <w:b/>
          <w:bCs/>
          <w:color w:val="auto"/>
        </w:rPr>
        <w:t>A</w:t>
      </w:r>
      <w:r>
        <w:rPr>
          <w:rFonts w:ascii="Times New Roman" w:hAnsi="Times New Roman" w:cs="Times New Roman"/>
          <w:color w:val="auto"/>
        </w:rPr>
        <w:t>) cobalt transporter, (</w:t>
      </w:r>
      <w:r>
        <w:rPr>
          <w:rFonts w:ascii="Times New Roman" w:hAnsi="Times New Roman" w:cs="Times New Roman"/>
          <w:b/>
          <w:bCs/>
          <w:color w:val="auto"/>
        </w:rPr>
        <w:t>B</w:t>
      </w:r>
      <w:r>
        <w:rPr>
          <w:rFonts w:ascii="Times New Roman" w:hAnsi="Times New Roman" w:cs="Times New Roman"/>
          <w:color w:val="auto"/>
        </w:rPr>
        <w:t>) iron transporter, (</w:t>
      </w:r>
      <w:r>
        <w:rPr>
          <w:rFonts w:ascii="Times New Roman" w:hAnsi="Times New Roman" w:cs="Times New Roman"/>
          <w:b/>
          <w:bCs/>
          <w:color w:val="auto"/>
        </w:rPr>
        <w:t>C</w:t>
      </w:r>
      <w:r>
        <w:rPr>
          <w:rFonts w:ascii="Times New Roman" w:hAnsi="Times New Roman" w:cs="Times New Roman"/>
          <w:color w:val="auto"/>
        </w:rPr>
        <w:t>) Calvin cycle protein CP12, (</w:t>
      </w:r>
      <w:r>
        <w:rPr>
          <w:rFonts w:ascii="Times New Roman" w:hAnsi="Times New Roman" w:cs="Times New Roman"/>
          <w:b/>
          <w:bCs/>
          <w:color w:val="auto"/>
        </w:rPr>
        <w:t>D</w:t>
      </w:r>
      <w:r>
        <w:rPr>
          <w:rFonts w:ascii="Times New Roman" w:hAnsi="Times New Roman" w:cs="Times New Roman"/>
          <w:color w:val="auto"/>
        </w:rPr>
        <w:t>) Heme oxygenase 1, (</w:t>
      </w:r>
      <w:r>
        <w:rPr>
          <w:rFonts w:ascii="Times New Roman" w:hAnsi="Times New Roman" w:cs="Times New Roman"/>
          <w:b/>
          <w:bCs/>
          <w:color w:val="auto"/>
        </w:rPr>
        <w:t>E</w:t>
      </w:r>
      <w:r>
        <w:rPr>
          <w:rFonts w:ascii="Times New Roman" w:hAnsi="Times New Roman" w:cs="Times New Roman"/>
          <w:color w:val="auto"/>
        </w:rPr>
        <w:t xml:space="preserve">) </w:t>
      </w:r>
      <w:proofErr w:type="spellStart"/>
      <w:proofErr w:type="gramStart"/>
      <w:r>
        <w:rPr>
          <w:rFonts w:ascii="Times New Roman" w:hAnsi="Times New Roman" w:cs="Times New Roman"/>
          <w:color w:val="auto"/>
        </w:rPr>
        <w:t>phycocyanobilin:ferredoxin</w:t>
      </w:r>
      <w:proofErr w:type="spellEnd"/>
      <w:proofErr w:type="gramEnd"/>
      <w:r>
        <w:rPr>
          <w:rFonts w:ascii="Times New Roman" w:hAnsi="Times New Roman" w:cs="Times New Roman"/>
          <w:color w:val="auto"/>
        </w:rPr>
        <w:t xml:space="preserve"> oxidoreductase, (</w:t>
      </w:r>
      <w:r>
        <w:rPr>
          <w:rFonts w:ascii="Times New Roman" w:hAnsi="Times New Roman" w:cs="Times New Roman"/>
          <w:b/>
          <w:bCs/>
          <w:color w:val="auto"/>
        </w:rPr>
        <w:t>F</w:t>
      </w:r>
      <w:r>
        <w:rPr>
          <w:rFonts w:ascii="Times New Roman" w:hAnsi="Times New Roman" w:cs="Times New Roman"/>
          <w:color w:val="auto"/>
        </w:rPr>
        <w:t>) photosystem 1 assembly protein Ycf3 and (</w:t>
      </w:r>
      <w:r>
        <w:rPr>
          <w:rFonts w:ascii="Times New Roman" w:hAnsi="Times New Roman" w:cs="Times New Roman"/>
          <w:b/>
          <w:bCs/>
          <w:color w:val="auto"/>
        </w:rPr>
        <w:t>G</w:t>
      </w:r>
      <w:r>
        <w:rPr>
          <w:rFonts w:ascii="Times New Roman" w:hAnsi="Times New Roman" w:cs="Times New Roman"/>
          <w:color w:val="auto"/>
        </w:rPr>
        <w:t>) phosphatidylserine decarboxylase.</w:t>
      </w:r>
    </w:p>
    <w:p w14:paraId="1A05474A" w14:textId="44D83716" w:rsidR="0041198F" w:rsidRPr="0041198F" w:rsidRDefault="0041198F" w:rsidP="0041198F">
      <w:pPr>
        <w:suppressAutoHyphens w:val="0"/>
        <w:rPr>
          <w:rFonts w:ascii="Times New Roman" w:hAnsi="Times New Roman" w:cs="Times New Roman"/>
          <w:color w:val="auto"/>
        </w:rPr>
      </w:pPr>
      <w:r>
        <w:rPr>
          <w:rFonts w:ascii="Times New Roman" w:hAnsi="Times New Roman" w:cs="Times New Roman"/>
          <w:color w:val="auto"/>
        </w:rPr>
        <w:t xml:space="preserve"> </w:t>
      </w:r>
    </w:p>
    <w:sectPr w:rsidR="0041198F" w:rsidRPr="0041198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04"/>
    <w:rsid w:val="000114F9"/>
    <w:rsid w:val="00071E81"/>
    <w:rsid w:val="00073733"/>
    <w:rsid w:val="000E2051"/>
    <w:rsid w:val="001534C4"/>
    <w:rsid w:val="00171B0D"/>
    <w:rsid w:val="00173208"/>
    <w:rsid w:val="00257FF2"/>
    <w:rsid w:val="0033532E"/>
    <w:rsid w:val="00335A0E"/>
    <w:rsid w:val="00342BF8"/>
    <w:rsid w:val="00381045"/>
    <w:rsid w:val="003B12E9"/>
    <w:rsid w:val="003C2917"/>
    <w:rsid w:val="003D1C11"/>
    <w:rsid w:val="0041198F"/>
    <w:rsid w:val="00415314"/>
    <w:rsid w:val="00441D17"/>
    <w:rsid w:val="00450DF4"/>
    <w:rsid w:val="00454759"/>
    <w:rsid w:val="00470B46"/>
    <w:rsid w:val="004F6F3A"/>
    <w:rsid w:val="00531526"/>
    <w:rsid w:val="005E17A6"/>
    <w:rsid w:val="005E5504"/>
    <w:rsid w:val="00671104"/>
    <w:rsid w:val="00684568"/>
    <w:rsid w:val="006A60DB"/>
    <w:rsid w:val="006C7F43"/>
    <w:rsid w:val="00913A7B"/>
    <w:rsid w:val="00963084"/>
    <w:rsid w:val="00985DE3"/>
    <w:rsid w:val="009905E9"/>
    <w:rsid w:val="00994137"/>
    <w:rsid w:val="009D6CF1"/>
    <w:rsid w:val="00A2062E"/>
    <w:rsid w:val="00A72819"/>
    <w:rsid w:val="00B10678"/>
    <w:rsid w:val="00B263B0"/>
    <w:rsid w:val="00B54543"/>
    <w:rsid w:val="00B7177A"/>
    <w:rsid w:val="00BB7FC5"/>
    <w:rsid w:val="00BF5787"/>
    <w:rsid w:val="00C86321"/>
    <w:rsid w:val="00CA5C2A"/>
    <w:rsid w:val="00CC6287"/>
    <w:rsid w:val="00D24236"/>
    <w:rsid w:val="00D97679"/>
    <w:rsid w:val="00DA022A"/>
    <w:rsid w:val="00DD0519"/>
    <w:rsid w:val="00E013AE"/>
    <w:rsid w:val="00E23D77"/>
    <w:rsid w:val="00ED2503"/>
    <w:rsid w:val="00F3131D"/>
    <w:rsid w:val="00F511F6"/>
    <w:rsid w:val="00F7660A"/>
    <w:rsid w:val="00F8072E"/>
    <w:rsid w:val="00F865B5"/>
    <w:rsid w:val="00FA3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E1D5C4"/>
  <w15:chartTrackingRefBased/>
  <w15:docId w15:val="{AF9DA1BB-E223-1F46-A869-1E217D124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3B0"/>
    <w:pPr>
      <w:suppressAutoHyphens/>
    </w:pPr>
    <w:rPr>
      <w:rFonts w:ascii="Calibri" w:eastAsia="Calibri" w:hAnsi="Calibri" w:cs="DejaVu Sans"/>
      <w:color w:val="00000A"/>
      <w:kern w:val="0"/>
      <w:lang w:val="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fontTable" Target="fontTable.xml"/><Relationship Id="rId5" Type="http://schemas.openxmlformats.org/officeDocument/2006/relationships/image" Target="media/image2.wmf"/><Relationship Id="rId10" Type="http://schemas.openxmlformats.org/officeDocument/2006/relationships/image" Target="media/image7.wmf"/><Relationship Id="rId4" Type="http://schemas.openxmlformats.org/officeDocument/2006/relationships/image" Target="media/image1.wmf"/><Relationship Id="rId9" Type="http://schemas.openxmlformats.org/officeDocument/2006/relationships/image" Target="media/image6.wmf"/></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230</Words>
  <Characters>1312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Chase, Emily</dc:creator>
  <cp:keywords/>
  <dc:description/>
  <cp:lastModifiedBy>Chase, Emily</cp:lastModifiedBy>
  <cp:revision>2</cp:revision>
  <dcterms:created xsi:type="dcterms:W3CDTF">2024-09-23T18:22:00Z</dcterms:created>
  <dcterms:modified xsi:type="dcterms:W3CDTF">2024-09-23T18:22:00Z</dcterms:modified>
</cp:coreProperties>
</file>