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A5755" w14:textId="77777777" w:rsidR="00B263B0" w:rsidRP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  <w:r w:rsidRPr="00B263B0">
        <w:rPr>
          <w:rFonts w:ascii="Times New Roman" w:hAnsi="Times New Roman" w:cs="Times New Roman"/>
          <w:color w:val="auto"/>
        </w:rPr>
        <w:t>SUPPLEMENTAL ONLINE INFORMATION</w:t>
      </w:r>
    </w:p>
    <w:p w14:paraId="1710EE6D" w14:textId="77777777" w:rsid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  <w:r w:rsidRPr="00B263B0">
        <w:rPr>
          <w:rFonts w:ascii="Times New Roman" w:hAnsi="Times New Roman" w:cs="Times New Roman"/>
          <w:color w:val="auto"/>
        </w:rPr>
        <w:t>For publication in conjunction with the following:</w:t>
      </w:r>
    </w:p>
    <w:p w14:paraId="74B02E04" w14:textId="77777777" w:rsid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</w:p>
    <w:p w14:paraId="77546EE4" w14:textId="77777777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  <w:sz w:val="28"/>
          <w:szCs w:val="28"/>
        </w:rPr>
      </w:pPr>
      <w:r w:rsidRPr="006A60DB">
        <w:rPr>
          <w:rFonts w:ascii="Times New Roman" w:hAnsi="Times New Roman" w:cs="Times New Roman"/>
          <w:color w:val="auto"/>
          <w:sz w:val="28"/>
          <w:szCs w:val="28"/>
        </w:rPr>
        <w:t xml:space="preserve">Viral dynamics in a </w:t>
      </w:r>
      <w:proofErr w:type="gramStart"/>
      <w:r w:rsidRPr="006A60DB">
        <w:rPr>
          <w:rFonts w:ascii="Times New Roman" w:hAnsi="Times New Roman" w:cs="Times New Roman"/>
          <w:color w:val="auto"/>
          <w:sz w:val="28"/>
          <w:szCs w:val="28"/>
        </w:rPr>
        <w:t>high rate</w:t>
      </w:r>
      <w:proofErr w:type="gramEnd"/>
      <w:r w:rsidRPr="006A60DB">
        <w:rPr>
          <w:rFonts w:ascii="Times New Roman" w:hAnsi="Times New Roman" w:cs="Times New Roman"/>
          <w:color w:val="auto"/>
          <w:sz w:val="28"/>
          <w:szCs w:val="28"/>
        </w:rPr>
        <w:t xml:space="preserve"> algal pond reveals a burst of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  <w:sz w:val="28"/>
          <w:szCs w:val="28"/>
        </w:rPr>
        <w:t>Phycodnaviridae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Pr="006A60DB">
        <w:rPr>
          <w:rFonts w:ascii="Times New Roman" w:hAnsi="Times New Roman" w:cs="Times New Roman"/>
          <w:color w:val="auto"/>
          <w:sz w:val="28"/>
          <w:szCs w:val="28"/>
        </w:rPr>
        <w:t>diversity correlated with episodic algal mortality</w:t>
      </w:r>
    </w:p>
    <w:p w14:paraId="7D2F096D" w14:textId="77777777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</w:rPr>
      </w:pPr>
    </w:p>
    <w:p w14:paraId="10898A52" w14:textId="4C36EDC4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</w:rPr>
      </w:pPr>
      <w:r w:rsidRPr="006A60DB">
        <w:rPr>
          <w:rFonts w:ascii="Times New Roman" w:hAnsi="Times New Roman" w:cs="Times New Roman"/>
          <w:color w:val="auto"/>
        </w:rPr>
        <w:t>Chase</w:t>
      </w:r>
      <w:r>
        <w:rPr>
          <w:rFonts w:ascii="Times New Roman" w:hAnsi="Times New Roman" w:cs="Times New Roman"/>
          <w:color w:val="auto"/>
        </w:rPr>
        <w:t xml:space="preserve"> EE</w:t>
      </w:r>
      <w:r w:rsidRPr="006A60DB">
        <w:rPr>
          <w:rFonts w:ascii="Times New Roman" w:hAnsi="Times New Roman" w:cs="Times New Roman"/>
          <w:color w:val="auto"/>
          <w:vertAlign w:val="superscript"/>
        </w:rPr>
        <w:t>1,2,3</w:t>
      </w:r>
      <w:r w:rsidRPr="006A60DB">
        <w:rPr>
          <w:rFonts w:ascii="Times New Roman" w:hAnsi="Times New Roman" w:cs="Times New Roman"/>
          <w:color w:val="auto"/>
        </w:rPr>
        <w:t>, Pitot T</w:t>
      </w:r>
      <w:r w:rsidRPr="006A60DB">
        <w:rPr>
          <w:rFonts w:ascii="Times New Roman" w:hAnsi="Times New Roman" w:cs="Times New Roman"/>
          <w:color w:val="auto"/>
          <w:vertAlign w:val="superscript"/>
        </w:rPr>
        <w:t>4</w:t>
      </w:r>
      <w:r w:rsidRPr="006A60DB">
        <w:rPr>
          <w:rFonts w:ascii="Times New Roman" w:hAnsi="Times New Roman" w:cs="Times New Roman"/>
          <w:color w:val="auto"/>
        </w:rPr>
        <w:t>, Bouchard S</w:t>
      </w:r>
      <w:r w:rsidRPr="006A60DB">
        <w:rPr>
          <w:rFonts w:ascii="Times New Roman" w:hAnsi="Times New Roman" w:cs="Times New Roman"/>
          <w:color w:val="auto"/>
          <w:vertAlign w:val="superscript"/>
        </w:rPr>
        <w:t>1</w:t>
      </w:r>
      <w:r w:rsidRPr="006A60DB">
        <w:rPr>
          <w:rFonts w:ascii="Times New Roman" w:hAnsi="Times New Roman" w:cs="Times New Roman"/>
          <w:color w:val="auto"/>
        </w:rPr>
        <w:t>, Triplet S</w:t>
      </w:r>
      <w:r w:rsidRPr="006A60DB">
        <w:rPr>
          <w:rFonts w:ascii="Times New Roman" w:hAnsi="Times New Roman" w:cs="Times New Roman"/>
          <w:color w:val="auto"/>
          <w:vertAlign w:val="superscript"/>
        </w:rPr>
        <w:t>5</w:t>
      </w:r>
      <w:r w:rsidRPr="006A60DB">
        <w:rPr>
          <w:rFonts w:ascii="Times New Roman" w:hAnsi="Times New Roman" w:cs="Times New Roman"/>
          <w:color w:val="auto"/>
        </w:rPr>
        <w:t>, Przybyla C</w:t>
      </w:r>
      <w:r w:rsidRPr="006A60DB">
        <w:rPr>
          <w:rFonts w:ascii="Times New Roman" w:hAnsi="Times New Roman" w:cs="Times New Roman"/>
          <w:color w:val="auto"/>
          <w:vertAlign w:val="superscript"/>
        </w:rPr>
        <w:t>5</w:t>
      </w:r>
      <w:r w:rsidRPr="006A60DB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6A60DB">
        <w:rPr>
          <w:rFonts w:ascii="Times New Roman" w:hAnsi="Times New Roman" w:cs="Times New Roman"/>
          <w:color w:val="auto"/>
        </w:rPr>
        <w:t>Gobet</w:t>
      </w:r>
      <w:proofErr w:type="spellEnd"/>
      <w:r w:rsidRPr="006A60DB">
        <w:rPr>
          <w:rFonts w:ascii="Times New Roman" w:hAnsi="Times New Roman" w:cs="Times New Roman"/>
          <w:color w:val="auto"/>
        </w:rPr>
        <w:t xml:space="preserve"> A</w:t>
      </w:r>
      <w:r w:rsidRPr="006A60DB">
        <w:rPr>
          <w:rFonts w:ascii="Times New Roman" w:hAnsi="Times New Roman" w:cs="Times New Roman"/>
          <w:color w:val="auto"/>
          <w:vertAlign w:val="superscript"/>
        </w:rPr>
        <w:t>5</w:t>
      </w:r>
      <w:r w:rsidRPr="006A60DB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6A60DB">
        <w:rPr>
          <w:rFonts w:ascii="Times New Roman" w:hAnsi="Times New Roman" w:cs="Times New Roman"/>
          <w:color w:val="auto"/>
        </w:rPr>
        <w:t>Desnues</w:t>
      </w:r>
      <w:proofErr w:type="spellEnd"/>
      <w:r w:rsidRPr="006A60DB">
        <w:rPr>
          <w:rFonts w:ascii="Times New Roman" w:hAnsi="Times New Roman" w:cs="Times New Roman"/>
          <w:color w:val="auto"/>
        </w:rPr>
        <w:t xml:space="preserve"> C</w:t>
      </w:r>
      <w:r w:rsidRPr="006A60DB">
        <w:rPr>
          <w:rFonts w:ascii="Times New Roman" w:hAnsi="Times New Roman" w:cs="Times New Roman"/>
          <w:color w:val="auto"/>
          <w:vertAlign w:val="superscript"/>
        </w:rPr>
        <w:t>1,2</w:t>
      </w:r>
      <w:r w:rsidRPr="006A60DB">
        <w:rPr>
          <w:rFonts w:ascii="Times New Roman" w:hAnsi="Times New Roman" w:cs="Times New Roman"/>
          <w:color w:val="auto"/>
        </w:rPr>
        <w:t>, and Blanc G</w:t>
      </w:r>
      <w:r w:rsidRPr="006A60DB">
        <w:rPr>
          <w:rFonts w:ascii="Times New Roman" w:hAnsi="Times New Roman" w:cs="Times New Roman"/>
          <w:color w:val="auto"/>
          <w:vertAlign w:val="superscript"/>
        </w:rPr>
        <w:t>1</w:t>
      </w:r>
      <w:r w:rsidRPr="006A60DB">
        <w:rPr>
          <w:rFonts w:ascii="Times New Roman" w:hAnsi="Times New Roman" w:cs="Times New Roman"/>
          <w:color w:val="auto"/>
        </w:rPr>
        <w:t>.</w:t>
      </w:r>
    </w:p>
    <w:p w14:paraId="078C18AD" w14:textId="77777777" w:rsidR="006A60DB" w:rsidRPr="006A60DB" w:rsidRDefault="006A60DB" w:rsidP="006A60DB">
      <w:pPr>
        <w:suppressAutoHyphens w:val="0"/>
        <w:rPr>
          <w:rFonts w:ascii="Times New Roman" w:hAnsi="Times New Roman" w:cs="Times New Roman"/>
          <w:color w:val="auto"/>
        </w:rPr>
      </w:pPr>
    </w:p>
    <w:p w14:paraId="249B50C2" w14:textId="77E1AA32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1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Microbiologie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Environnementale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Biotechnologie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,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Institut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Méditerranéen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d'Océanologie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, Campus de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Luminy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, 163 Avenue de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Luminy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>, 13009 Marseille, France</w:t>
      </w:r>
    </w:p>
    <w:p w14:paraId="7575E6E2" w14:textId="1EE2A506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2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Institut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hospitalo-universitaire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(IHU)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Méditerranée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 infection, 19-21 Boulevard Jean Moulin, 13005 Marseille, France</w:t>
      </w:r>
    </w:p>
    <w:p w14:paraId="47276616" w14:textId="0644F7CA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3 </w:t>
      </w:r>
      <w:r w:rsidRPr="006A60DB">
        <w:rPr>
          <w:rFonts w:ascii="Times New Roman" w:hAnsi="Times New Roman" w:cs="Times New Roman"/>
          <w:i/>
          <w:iCs/>
          <w:color w:val="auto"/>
        </w:rPr>
        <w:t xml:space="preserve">University of Tennessee Knoxville, Department of Microbiology, </w:t>
      </w:r>
      <w:proofErr w:type="gramStart"/>
      <w:r w:rsidRPr="006A60DB">
        <w:rPr>
          <w:rFonts w:ascii="Times New Roman" w:hAnsi="Times New Roman" w:cs="Times New Roman"/>
          <w:i/>
          <w:iCs/>
          <w:color w:val="auto"/>
        </w:rPr>
        <w:t>Ken</w:t>
      </w:r>
      <w:proofErr w:type="gramEnd"/>
      <w:r w:rsidRPr="006A60DB">
        <w:rPr>
          <w:rFonts w:ascii="Times New Roman" w:hAnsi="Times New Roman" w:cs="Times New Roman"/>
          <w:i/>
          <w:iCs/>
          <w:color w:val="auto"/>
        </w:rPr>
        <w:t xml:space="preserve"> and Blaire Mossman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Bldg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, 1311 Cumberland Ave #307, Knoxville, TN 37996 </w:t>
      </w:r>
    </w:p>
    <w:p w14:paraId="4D8428BE" w14:textId="1CABCF86" w:rsidR="006A60DB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4 </w:t>
      </w:r>
      <w:r w:rsidRPr="006A60DB">
        <w:rPr>
          <w:rFonts w:ascii="Times New Roman" w:hAnsi="Times New Roman" w:cs="Times New Roman"/>
          <w:i/>
          <w:iCs/>
          <w:color w:val="auto"/>
        </w:rPr>
        <w:t xml:space="preserve">Department of Biochemistry, Microbiology and Bioinformatics, Université Laval, 2325 rue de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l’Université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>, Québec, QC G1V0A6, Canada</w:t>
      </w:r>
    </w:p>
    <w:p w14:paraId="5F96BCA8" w14:textId="621BD730" w:rsidR="00B263B0" w:rsidRPr="006A60DB" w:rsidRDefault="006A60DB" w:rsidP="006A60DB">
      <w:pPr>
        <w:suppressAutoHyphens w:val="0"/>
        <w:rPr>
          <w:rFonts w:ascii="Times New Roman" w:hAnsi="Times New Roman" w:cs="Times New Roman"/>
          <w:i/>
          <w:iCs/>
          <w:color w:val="auto"/>
        </w:rPr>
      </w:pPr>
      <w:r w:rsidRPr="006A60DB">
        <w:rPr>
          <w:rFonts w:ascii="Times New Roman" w:hAnsi="Times New Roman" w:cs="Times New Roman"/>
          <w:i/>
          <w:iCs/>
          <w:color w:val="auto"/>
          <w:vertAlign w:val="superscript"/>
        </w:rPr>
        <w:t xml:space="preserve">5 </w:t>
      </w:r>
      <w:r w:rsidRPr="006A60DB">
        <w:rPr>
          <w:rFonts w:ascii="Times New Roman" w:hAnsi="Times New Roman" w:cs="Times New Roman"/>
          <w:i/>
          <w:iCs/>
          <w:color w:val="auto"/>
        </w:rPr>
        <w:t xml:space="preserve">MARBEC, Univ Montpellier, CNRS,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Ifremer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 xml:space="preserve">, IRD, </w:t>
      </w:r>
      <w:proofErr w:type="spellStart"/>
      <w:r w:rsidRPr="006A60DB">
        <w:rPr>
          <w:rFonts w:ascii="Times New Roman" w:hAnsi="Times New Roman" w:cs="Times New Roman"/>
          <w:i/>
          <w:iCs/>
          <w:color w:val="auto"/>
        </w:rPr>
        <w:t>Sète</w:t>
      </w:r>
      <w:proofErr w:type="spellEnd"/>
      <w:r w:rsidRPr="006A60DB">
        <w:rPr>
          <w:rFonts w:ascii="Times New Roman" w:hAnsi="Times New Roman" w:cs="Times New Roman"/>
          <w:i/>
          <w:iCs/>
          <w:color w:val="auto"/>
        </w:rPr>
        <w:t>, France</w:t>
      </w:r>
    </w:p>
    <w:p w14:paraId="1ECDE527" w14:textId="4453D81D" w:rsidR="00B263B0" w:rsidRDefault="00B263B0" w:rsidP="00B263B0">
      <w:pPr>
        <w:suppressAutoHyphens w:val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14:paraId="5A43A64B" w14:textId="10F40428" w:rsidR="00B263B0" w:rsidRDefault="00B263B0" w:rsidP="00B263B0">
      <w:pPr>
        <w:suppressAutoHyphens w:val="0"/>
        <w:rPr>
          <w:rFonts w:ascii="Times New Roman" w:hAnsi="Times New Roman" w:cs="Times New Roman"/>
          <w:b/>
          <w:bCs/>
          <w:color w:val="auto"/>
        </w:rPr>
      </w:pPr>
      <w:r w:rsidRPr="00B263B0">
        <w:rPr>
          <w:rFonts w:ascii="Times New Roman" w:hAnsi="Times New Roman" w:cs="Times New Roman"/>
          <w:b/>
          <w:bCs/>
          <w:color w:val="auto"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  <w:color w:val="auto"/>
        </w:rPr>
        <w:t>FIGURES</w:t>
      </w:r>
    </w:p>
    <w:p w14:paraId="312E3279" w14:textId="77777777" w:rsidR="006F310A" w:rsidRDefault="006F310A" w:rsidP="006F310A">
      <w:pPr>
        <w:spacing w:before="240" w:line="360" w:lineRule="auto"/>
        <w:jc w:val="both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33747CC" wp14:editId="4ACA081E">
            <wp:extent cx="5589905" cy="8229600"/>
            <wp:effectExtent l="0" t="0" r="0" b="0"/>
            <wp:docPr id="1765645271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45271" name="Picture 3" descr="A screenshot of a graph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1AC8" w14:textId="77777777" w:rsidR="006F310A" w:rsidRPr="0041198F" w:rsidRDefault="006F310A" w:rsidP="006F310A">
      <w:pPr>
        <w:spacing w:before="240" w:line="360" w:lineRule="auto"/>
        <w:jc w:val="both"/>
        <w:rPr>
          <w:rFonts w:ascii="Times New Roman" w:hAnsi="Times New Roman" w:cs="Times New Roman"/>
          <w:color w:val="auto"/>
        </w:rPr>
      </w:pPr>
      <w:r w:rsidRPr="00180C6C">
        <w:rPr>
          <w:rFonts w:ascii="Times New Roman" w:hAnsi="Times New Roman" w:cs="Times New Roman"/>
          <w:b/>
          <w:bCs/>
          <w:color w:val="auto"/>
        </w:rPr>
        <w:lastRenderedPageBreak/>
        <w:t>Figure S</w:t>
      </w:r>
      <w:r>
        <w:rPr>
          <w:rFonts w:ascii="Times New Roman" w:hAnsi="Times New Roman" w:cs="Times New Roman"/>
          <w:b/>
          <w:bCs/>
          <w:color w:val="auto"/>
        </w:rPr>
        <w:t>10</w:t>
      </w:r>
      <w:r w:rsidRPr="00180C6C">
        <w:rPr>
          <w:rFonts w:ascii="Times New Roman" w:hAnsi="Times New Roman" w:cs="Times New Roman"/>
          <w:b/>
          <w:bCs/>
          <w:color w:val="auto"/>
        </w:rPr>
        <w:t>.</w:t>
      </w:r>
      <w:r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C4377C">
        <w:rPr>
          <w:rFonts w:ascii="Times New Roman" w:hAnsi="Times New Roman" w:cs="Times New Roman"/>
          <w:color w:val="auto"/>
        </w:rPr>
        <w:t xml:space="preserve">Investigation of </w:t>
      </w:r>
      <w:r w:rsidRPr="00C4377C">
        <w:rPr>
          <w:rFonts w:ascii="Times New Roman" w:hAnsi="Times New Roman" w:cs="Times New Roman"/>
          <w:i/>
          <w:iCs/>
          <w:color w:val="auto"/>
        </w:rPr>
        <w:t xml:space="preserve">Nucleocytoviricota </w:t>
      </w:r>
      <w:r w:rsidRPr="00C4377C">
        <w:rPr>
          <w:rFonts w:ascii="Times New Roman" w:hAnsi="Times New Roman" w:cs="Times New Roman"/>
          <w:color w:val="auto"/>
        </w:rPr>
        <w:t xml:space="preserve">and PLV relationships </w:t>
      </w:r>
      <w:r>
        <w:rPr>
          <w:rFonts w:ascii="Times New Roman" w:hAnsi="Times New Roman" w:cs="Times New Roman"/>
          <w:color w:val="auto"/>
        </w:rPr>
        <w:t>through</w:t>
      </w:r>
      <w:r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180C6C">
        <w:rPr>
          <w:rFonts w:ascii="Times New Roman" w:hAnsi="Times New Roman" w:cs="Times New Roman"/>
          <w:b/>
          <w:bCs/>
          <w:color w:val="auto"/>
        </w:rPr>
        <w:t>(</w:t>
      </w:r>
      <w:r w:rsidRPr="00C4377C">
        <w:rPr>
          <w:rFonts w:ascii="Times New Roman" w:hAnsi="Times New Roman" w:cs="Times New Roman"/>
          <w:b/>
          <w:bCs/>
          <w:color w:val="auto"/>
        </w:rPr>
        <w:t>A</w:t>
      </w:r>
      <w:r w:rsidRPr="00180C6C">
        <w:rPr>
          <w:rFonts w:ascii="Times New Roman" w:hAnsi="Times New Roman" w:cs="Times New Roman"/>
          <w:b/>
          <w:bCs/>
          <w:color w:val="auto"/>
        </w:rPr>
        <w:t xml:space="preserve">) </w:t>
      </w:r>
      <w:r>
        <w:rPr>
          <w:rFonts w:ascii="Times New Roman" w:hAnsi="Times New Roman" w:cs="Times New Roman"/>
          <w:color w:val="auto"/>
        </w:rPr>
        <w:t>p</w:t>
      </w:r>
      <w:r w:rsidRPr="00180C6C">
        <w:rPr>
          <w:rFonts w:ascii="Times New Roman" w:hAnsi="Times New Roman" w:cs="Times New Roman"/>
          <w:color w:val="auto"/>
        </w:rPr>
        <w:t>rincipal component analyses using combined and normalised qPCR data and 18S rDNA ASVs (</w:t>
      </w:r>
      <w:r w:rsidRPr="00180C6C">
        <w:rPr>
          <w:rFonts w:ascii="Times New Roman" w:hAnsi="Times New Roman" w:cs="Times New Roman"/>
          <w:i/>
          <w:iCs/>
          <w:color w:val="auto"/>
        </w:rPr>
        <w:t>i.e.,</w:t>
      </w:r>
      <w:r w:rsidRPr="00180C6C">
        <w:rPr>
          <w:rFonts w:ascii="Times New Roman" w:hAnsi="Times New Roman" w:cs="Times New Roman"/>
          <w:color w:val="auto"/>
        </w:rPr>
        <w:t xml:space="preserve"> metabarcoding) on tracked putative viruses and potential alga (Chlorophyta) hosts for</w:t>
      </w:r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180C6C">
        <w:rPr>
          <w:rFonts w:ascii="Times New Roman" w:hAnsi="Times New Roman" w:cs="Times New Roman"/>
          <w:i/>
          <w:iCs/>
          <w:color w:val="auto"/>
        </w:rPr>
        <w:t>Mimiviridae</w:t>
      </w:r>
      <w:proofErr w:type="spellEnd"/>
      <w:r w:rsidRPr="00180C6C"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180C6C">
        <w:rPr>
          <w:rFonts w:ascii="Times New Roman" w:hAnsi="Times New Roman" w:cs="Times New Roman"/>
          <w:color w:val="auto"/>
        </w:rPr>
        <w:t xml:space="preserve">(M), </w:t>
      </w:r>
      <w:proofErr w:type="spellStart"/>
      <w:r w:rsidRPr="00180C6C">
        <w:rPr>
          <w:rFonts w:ascii="Times New Roman" w:hAnsi="Times New Roman" w:cs="Times New Roman"/>
          <w:i/>
          <w:iCs/>
          <w:color w:val="auto"/>
        </w:rPr>
        <w:t>Phycodnaviridae</w:t>
      </w:r>
      <w:proofErr w:type="spellEnd"/>
      <w:r w:rsidRPr="00180C6C">
        <w:rPr>
          <w:rFonts w:ascii="Times New Roman" w:hAnsi="Times New Roman" w:cs="Times New Roman"/>
          <w:color w:val="auto"/>
        </w:rPr>
        <w:t xml:space="preserve"> (P), </w:t>
      </w:r>
      <w:r w:rsidRPr="00C4377C">
        <w:rPr>
          <w:rFonts w:ascii="Times New Roman" w:hAnsi="Times New Roman" w:cs="Times New Roman"/>
          <w:color w:val="auto"/>
        </w:rPr>
        <w:t>and</w:t>
      </w:r>
      <w:r w:rsidRPr="00180C6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180C6C">
        <w:rPr>
          <w:rFonts w:ascii="Times New Roman" w:hAnsi="Times New Roman" w:cs="Times New Roman"/>
          <w:color w:val="auto"/>
        </w:rPr>
        <w:t>polinton</w:t>
      </w:r>
      <w:proofErr w:type="spellEnd"/>
      <w:r w:rsidRPr="00180C6C">
        <w:rPr>
          <w:rFonts w:ascii="Times New Roman" w:hAnsi="Times New Roman" w:cs="Times New Roman"/>
          <w:color w:val="auto"/>
        </w:rPr>
        <w:t>-like viruses (PLV). Cos2 reports the strength of the principal component for the observations (</w:t>
      </w:r>
      <w:proofErr w:type="gramStart"/>
      <w:r w:rsidRPr="00C4377C">
        <w:rPr>
          <w:rFonts w:ascii="Times New Roman" w:hAnsi="Times New Roman" w:cs="Times New Roman"/>
          <w:i/>
          <w:iCs/>
          <w:color w:val="auto"/>
        </w:rPr>
        <w:t>i.e.</w:t>
      </w:r>
      <w:proofErr w:type="gramEnd"/>
      <w:r w:rsidRPr="00180C6C">
        <w:rPr>
          <w:rFonts w:ascii="Times New Roman" w:hAnsi="Times New Roman" w:cs="Times New Roman"/>
          <w:color w:val="auto"/>
        </w:rPr>
        <w:t xml:space="preserve"> virus or potential hosts), where a higher value depicts a stronger relationship between them or a “good representation”. The vector length of each observations represents the contribution they make to the ordination. Dates are represented by numbered objects, where 2017 is composed of 1–5 (April is 1 and 2, May is 3, June is 4 and 5), and 2018 is composed of 6–16 (April is 6, May is 7–9, August is 9, September Is 10–13, and October is 14–16). </w:t>
      </w:r>
      <w:r>
        <w:rPr>
          <w:rFonts w:ascii="Times New Roman" w:hAnsi="Times New Roman" w:cs="Times New Roman"/>
          <w:color w:val="auto"/>
        </w:rPr>
        <w:t xml:space="preserve">A second analysis: </w:t>
      </w:r>
      <w:r w:rsidRPr="00180C6C">
        <w:rPr>
          <w:rFonts w:ascii="Times New Roman" w:hAnsi="Times New Roman" w:cs="Times New Roman"/>
          <w:b/>
          <w:bCs/>
          <w:color w:val="auto"/>
        </w:rPr>
        <w:t>(</w:t>
      </w:r>
      <w:r w:rsidRPr="00C4377C">
        <w:rPr>
          <w:rFonts w:ascii="Times New Roman" w:hAnsi="Times New Roman" w:cs="Times New Roman"/>
          <w:b/>
          <w:bCs/>
          <w:color w:val="auto"/>
        </w:rPr>
        <w:t>B</w:t>
      </w:r>
      <w:r w:rsidRPr="00180C6C">
        <w:rPr>
          <w:rFonts w:ascii="Times New Roman" w:hAnsi="Times New Roman" w:cs="Times New Roman"/>
          <w:color w:val="auto"/>
        </w:rPr>
        <w:t xml:space="preserve">) Hierarchical clustering (SIMPROF, </w:t>
      </w:r>
      <w:r w:rsidRPr="00180C6C">
        <w:rPr>
          <w:rFonts w:ascii="Symbol" w:eastAsia="Symbol" w:hAnsi="Symbol" w:cs="Symbol"/>
          <w:color w:val="auto"/>
        </w:rPr>
        <w:t></w:t>
      </w:r>
      <w:r w:rsidRPr="00180C6C">
        <w:rPr>
          <w:rFonts w:ascii="Times New Roman" w:hAnsi="Times New Roman" w:cs="Times New Roman"/>
          <w:color w:val="auto"/>
        </w:rPr>
        <w:t xml:space="preserve"> = 0.1) of potential hosts (Chlorophyta) and viruses of interest</w:t>
      </w:r>
      <w:r>
        <w:rPr>
          <w:rFonts w:ascii="Times New Roman" w:hAnsi="Times New Roman" w:cs="Times New Roman"/>
          <w:color w:val="auto"/>
        </w:rPr>
        <w:t xml:space="preserve">, where colours represent different groups clustering at our minimum. Bolded text signifies hosts and viruses mentioned within the manuscript.  </w:t>
      </w:r>
    </w:p>
    <w:p w14:paraId="2B95E991" w14:textId="77777777" w:rsidR="006F310A" w:rsidRPr="00B263B0" w:rsidRDefault="006F310A" w:rsidP="00B263B0">
      <w:pPr>
        <w:suppressAutoHyphens w:val="0"/>
        <w:rPr>
          <w:rFonts w:ascii="Times New Roman" w:hAnsi="Times New Roman" w:cs="Times New Roman"/>
          <w:b/>
          <w:bCs/>
          <w:color w:val="auto"/>
        </w:rPr>
      </w:pPr>
    </w:p>
    <w:p w14:paraId="7BFBF4AD" w14:textId="77777777" w:rsidR="006F310A" w:rsidRDefault="006F310A" w:rsidP="006F310A">
      <w:pPr>
        <w:spacing w:before="240" w:line="360" w:lineRule="auto"/>
        <w:jc w:val="both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2834C770" wp14:editId="0BD3E2AA">
            <wp:extent cx="4300220" cy="6885940"/>
            <wp:effectExtent l="0" t="0" r="0" b="0"/>
            <wp:docPr id="22" name="Picture 15" descr="A diagram of a computer co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5" descr="A diagram of a computer co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474A" w14:textId="1088BD80" w:rsidR="0041198F" w:rsidRPr="0041198F" w:rsidRDefault="006F310A" w:rsidP="006F310A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Figure S11.  </w:t>
      </w:r>
      <w:r>
        <w:rPr>
          <w:rFonts w:ascii="Times New Roman" w:hAnsi="Times New Roman" w:cs="Times New Roman"/>
          <w:color w:val="auto"/>
        </w:rPr>
        <w:t>Putative Nucleocytoviricota phylogeny based on the DNA polymerase B gene (</w:t>
      </w:r>
      <w:proofErr w:type="spellStart"/>
      <w:r>
        <w:rPr>
          <w:rFonts w:ascii="Times New Roman" w:hAnsi="Times New Roman" w:cs="Times New Roman"/>
          <w:color w:val="auto"/>
        </w:rPr>
        <w:t>PolB</w:t>
      </w:r>
      <w:proofErr w:type="spellEnd"/>
      <w:r>
        <w:rPr>
          <w:rFonts w:ascii="Times New Roman" w:hAnsi="Times New Roman" w:cs="Times New Roman"/>
          <w:color w:val="auto"/>
        </w:rPr>
        <w:t xml:space="preserve">). Reference sequences were downloaded by NCBI GenBank (accession numbers as indicated) and sequenced recovered from the HRAP are included (in bold). Bootstrap values are indicated by circle size. </w:t>
      </w:r>
    </w:p>
    <w:sectPr w:rsidR="0041198F" w:rsidRPr="0041198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504"/>
    <w:rsid w:val="000114F9"/>
    <w:rsid w:val="00071E81"/>
    <w:rsid w:val="00073733"/>
    <w:rsid w:val="000E2051"/>
    <w:rsid w:val="001534C4"/>
    <w:rsid w:val="00171B0D"/>
    <w:rsid w:val="00173208"/>
    <w:rsid w:val="00257FF2"/>
    <w:rsid w:val="0033532E"/>
    <w:rsid w:val="00335A0E"/>
    <w:rsid w:val="00342BF8"/>
    <w:rsid w:val="00381045"/>
    <w:rsid w:val="003B12E9"/>
    <w:rsid w:val="003C2917"/>
    <w:rsid w:val="003D1C11"/>
    <w:rsid w:val="0041198F"/>
    <w:rsid w:val="00415314"/>
    <w:rsid w:val="00441D17"/>
    <w:rsid w:val="00450DF4"/>
    <w:rsid w:val="00454759"/>
    <w:rsid w:val="00470B46"/>
    <w:rsid w:val="004F6F3A"/>
    <w:rsid w:val="00531526"/>
    <w:rsid w:val="005E17A6"/>
    <w:rsid w:val="005E5504"/>
    <w:rsid w:val="00671104"/>
    <w:rsid w:val="00684568"/>
    <w:rsid w:val="006A60DB"/>
    <w:rsid w:val="006C7F43"/>
    <w:rsid w:val="006F310A"/>
    <w:rsid w:val="00913A7B"/>
    <w:rsid w:val="00942C10"/>
    <w:rsid w:val="00963084"/>
    <w:rsid w:val="00985DE3"/>
    <w:rsid w:val="009905E9"/>
    <w:rsid w:val="00994137"/>
    <w:rsid w:val="009D6CF1"/>
    <w:rsid w:val="00A2062E"/>
    <w:rsid w:val="00A72819"/>
    <w:rsid w:val="00B263B0"/>
    <w:rsid w:val="00B54543"/>
    <w:rsid w:val="00B7177A"/>
    <w:rsid w:val="00BB7FC5"/>
    <w:rsid w:val="00BF5787"/>
    <w:rsid w:val="00C86321"/>
    <w:rsid w:val="00CA5C2A"/>
    <w:rsid w:val="00CC6287"/>
    <w:rsid w:val="00D24236"/>
    <w:rsid w:val="00D97679"/>
    <w:rsid w:val="00DA022A"/>
    <w:rsid w:val="00DD0519"/>
    <w:rsid w:val="00E013AE"/>
    <w:rsid w:val="00E23D77"/>
    <w:rsid w:val="00ED2503"/>
    <w:rsid w:val="00F3131D"/>
    <w:rsid w:val="00F511F6"/>
    <w:rsid w:val="00F7660A"/>
    <w:rsid w:val="00F8072E"/>
    <w:rsid w:val="00F865B5"/>
    <w:rsid w:val="00FA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E1D5C4"/>
  <w15:chartTrackingRefBased/>
  <w15:docId w15:val="{AF9DA1BB-E223-1F46-A869-1E217D12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3B0"/>
    <w:pPr>
      <w:suppressAutoHyphens/>
    </w:pPr>
    <w:rPr>
      <w:rFonts w:ascii="Calibri" w:eastAsia="Calibri" w:hAnsi="Calibri" w:cs="DejaVu Sans"/>
      <w:color w:val="00000A"/>
      <w:kern w:val="0"/>
      <w:lang w:val="en-C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Chase, Emily</dc:creator>
  <cp:keywords/>
  <dc:description/>
  <cp:lastModifiedBy>Chase, Emily</cp:lastModifiedBy>
  <cp:revision>2</cp:revision>
  <dcterms:created xsi:type="dcterms:W3CDTF">2024-09-23T19:06:00Z</dcterms:created>
  <dcterms:modified xsi:type="dcterms:W3CDTF">2024-09-23T19:06:00Z</dcterms:modified>
</cp:coreProperties>
</file>