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D57" w:rsidRPr="00606C29" w:rsidRDefault="00473000" w:rsidP="00473000">
      <w:pPr>
        <w:jc w:val="center"/>
        <w:rPr>
          <w:rFonts w:ascii="Times New Roman" w:hAnsi="Times New Roman" w:cs="Times New Roman"/>
          <w:b/>
          <w:sz w:val="28"/>
          <w:szCs w:val="28"/>
          <w:lang w:val="en-US"/>
        </w:rPr>
      </w:pPr>
      <w:r w:rsidRPr="00606C29">
        <w:rPr>
          <w:rFonts w:ascii="Times New Roman" w:hAnsi="Times New Roman" w:cs="Times New Roman"/>
          <w:b/>
          <w:sz w:val="28"/>
          <w:szCs w:val="28"/>
          <w:lang w:val="en-US"/>
        </w:rPr>
        <w:t>Supp</w:t>
      </w:r>
      <w:r w:rsidR="000F4F40">
        <w:rPr>
          <w:rFonts w:ascii="Times New Roman" w:hAnsi="Times New Roman" w:cs="Times New Roman"/>
          <w:b/>
          <w:sz w:val="28"/>
          <w:szCs w:val="28"/>
          <w:lang w:val="en-US"/>
        </w:rPr>
        <w:t>lementary</w:t>
      </w:r>
      <w:r w:rsidRPr="00606C29">
        <w:rPr>
          <w:rFonts w:ascii="Times New Roman" w:hAnsi="Times New Roman" w:cs="Times New Roman"/>
          <w:b/>
          <w:sz w:val="28"/>
          <w:szCs w:val="28"/>
          <w:lang w:val="en-US"/>
        </w:rPr>
        <w:t xml:space="preserve"> I</w:t>
      </w:r>
      <w:r w:rsidR="00DB2569" w:rsidRPr="00606C29">
        <w:rPr>
          <w:rFonts w:ascii="Times New Roman" w:hAnsi="Times New Roman" w:cs="Times New Roman"/>
          <w:b/>
          <w:sz w:val="28"/>
          <w:szCs w:val="28"/>
          <w:lang w:val="en-US"/>
        </w:rPr>
        <w:t>nformation</w:t>
      </w:r>
    </w:p>
    <w:p w:rsidR="00DB2569" w:rsidRPr="00606C29" w:rsidRDefault="00DB2569">
      <w:pPr>
        <w:rPr>
          <w:lang w:val="en-US"/>
        </w:rPr>
      </w:pPr>
    </w:p>
    <w:p w:rsidR="004B15D0" w:rsidRDefault="004B15D0" w:rsidP="00874B12">
      <w:pPr>
        <w:autoSpaceDE w:val="0"/>
        <w:autoSpaceDN w:val="0"/>
        <w:adjustRightInd w:val="0"/>
        <w:spacing w:line="480" w:lineRule="auto"/>
        <w:jc w:val="both"/>
        <w:rPr>
          <w:rFonts w:ascii="Times New Roman" w:hAnsi="Times New Roman"/>
          <w:b/>
          <w:bCs/>
          <w:sz w:val="32"/>
          <w:szCs w:val="32"/>
          <w:lang w:val="en-GB"/>
        </w:rPr>
      </w:pPr>
      <w:proofErr w:type="spellStart"/>
      <w:r>
        <w:rPr>
          <w:rFonts w:ascii="Times New Roman" w:hAnsi="Times New Roman"/>
          <w:b/>
          <w:bCs/>
          <w:sz w:val="32"/>
          <w:szCs w:val="32"/>
          <w:lang w:val="en-GB"/>
        </w:rPr>
        <w:t>Poroelastic</w:t>
      </w:r>
      <w:proofErr w:type="spellEnd"/>
      <w:r>
        <w:rPr>
          <w:rFonts w:ascii="Times New Roman" w:hAnsi="Times New Roman"/>
          <w:b/>
          <w:bCs/>
          <w:sz w:val="32"/>
          <w:szCs w:val="32"/>
          <w:lang w:val="en-GB"/>
        </w:rPr>
        <w:t xml:space="preserve"> and viscoelastic properties of soft materials determined from AFM force re</w:t>
      </w:r>
      <w:r w:rsidRPr="00F40452">
        <w:rPr>
          <w:rFonts w:ascii="Times New Roman" w:hAnsi="Times New Roman"/>
          <w:b/>
          <w:bCs/>
          <w:sz w:val="32"/>
          <w:szCs w:val="32"/>
          <w:lang w:val="en-GB"/>
        </w:rPr>
        <w:t>laxation</w:t>
      </w:r>
      <w:r>
        <w:rPr>
          <w:rFonts w:ascii="Times New Roman" w:hAnsi="Times New Roman"/>
          <w:b/>
          <w:bCs/>
          <w:sz w:val="32"/>
          <w:szCs w:val="32"/>
          <w:lang w:val="en-GB"/>
        </w:rPr>
        <w:t xml:space="preserve"> and force-distance curve</w:t>
      </w:r>
      <w:r w:rsidRPr="00F40452">
        <w:rPr>
          <w:rFonts w:ascii="Times New Roman" w:hAnsi="Times New Roman"/>
          <w:b/>
          <w:bCs/>
          <w:sz w:val="32"/>
          <w:szCs w:val="32"/>
          <w:lang w:val="en-GB"/>
        </w:rPr>
        <w:t>s</w:t>
      </w:r>
      <w:r>
        <w:rPr>
          <w:rFonts w:ascii="Times New Roman" w:hAnsi="Times New Roman"/>
          <w:b/>
          <w:bCs/>
          <w:sz w:val="32"/>
          <w:szCs w:val="32"/>
          <w:lang w:val="en-GB"/>
        </w:rPr>
        <w:t xml:space="preserve"> </w:t>
      </w:r>
    </w:p>
    <w:p w:rsidR="004B15D0" w:rsidRPr="002973D7" w:rsidRDefault="004B15D0" w:rsidP="00D63BA8">
      <w:pPr>
        <w:autoSpaceDE w:val="0"/>
        <w:autoSpaceDN w:val="0"/>
        <w:adjustRightInd w:val="0"/>
        <w:spacing w:line="480" w:lineRule="auto"/>
        <w:jc w:val="both"/>
        <w:rPr>
          <w:rFonts w:ascii="Times New Roman" w:hAnsi="Times New Roman"/>
          <w:bCs/>
          <w:szCs w:val="24"/>
          <w:vertAlign w:val="superscript"/>
        </w:rPr>
      </w:pPr>
      <w:r w:rsidRPr="002973D7">
        <w:rPr>
          <w:rFonts w:ascii="Times New Roman" w:hAnsi="Times New Roman"/>
          <w:bCs/>
          <w:szCs w:val="24"/>
        </w:rPr>
        <w:t xml:space="preserve">Stéphane </w:t>
      </w:r>
      <w:proofErr w:type="spellStart"/>
      <w:r w:rsidRPr="002973D7">
        <w:rPr>
          <w:rFonts w:ascii="Times New Roman" w:hAnsi="Times New Roman"/>
          <w:bCs/>
          <w:szCs w:val="24"/>
        </w:rPr>
        <w:t>Cuenot</w:t>
      </w:r>
      <w:proofErr w:type="spellEnd"/>
      <w:r w:rsidRPr="002973D7">
        <w:rPr>
          <w:rFonts w:ascii="Times New Roman" w:hAnsi="Times New Roman"/>
          <w:bCs/>
          <w:szCs w:val="24"/>
        </w:rPr>
        <w:t xml:space="preserve">, </w:t>
      </w:r>
      <w:r w:rsidRPr="002973D7">
        <w:rPr>
          <w:rFonts w:ascii="Times New Roman" w:hAnsi="Times New Roman"/>
          <w:szCs w:val="24"/>
        </w:rPr>
        <w:t xml:space="preserve">Arnaud </w:t>
      </w:r>
      <w:proofErr w:type="spellStart"/>
      <w:r w:rsidRPr="002973D7">
        <w:rPr>
          <w:rFonts w:ascii="Times New Roman" w:hAnsi="Times New Roman"/>
          <w:szCs w:val="24"/>
        </w:rPr>
        <w:t>Fillaudeau</w:t>
      </w:r>
      <w:proofErr w:type="spellEnd"/>
      <w:r w:rsidRPr="002973D7">
        <w:rPr>
          <w:rFonts w:ascii="Times New Roman" w:hAnsi="Times New Roman"/>
          <w:szCs w:val="24"/>
        </w:rPr>
        <w:t xml:space="preserve">, Tina </w:t>
      </w:r>
      <w:proofErr w:type="spellStart"/>
      <w:r w:rsidRPr="002973D7">
        <w:rPr>
          <w:rFonts w:ascii="Times New Roman" w:hAnsi="Times New Roman"/>
          <w:szCs w:val="24"/>
        </w:rPr>
        <w:t>Briolay</w:t>
      </w:r>
      <w:proofErr w:type="spellEnd"/>
      <w:r w:rsidRPr="002973D7">
        <w:rPr>
          <w:rFonts w:ascii="Times New Roman" w:hAnsi="Times New Roman"/>
          <w:bCs/>
          <w:szCs w:val="24"/>
        </w:rPr>
        <w:t xml:space="preserve">, </w:t>
      </w:r>
      <w:r w:rsidR="00041767">
        <w:rPr>
          <w:rFonts w:ascii="Times New Roman" w:hAnsi="Times New Roman"/>
          <w:bCs/>
          <w:szCs w:val="24"/>
        </w:rPr>
        <w:t xml:space="preserve">Judith </w:t>
      </w:r>
      <w:proofErr w:type="spellStart"/>
      <w:r w:rsidR="00041767">
        <w:rPr>
          <w:rFonts w:ascii="Times New Roman" w:hAnsi="Times New Roman"/>
          <w:bCs/>
          <w:szCs w:val="24"/>
        </w:rPr>
        <w:t>Fresquet</w:t>
      </w:r>
      <w:proofErr w:type="spellEnd"/>
      <w:r w:rsidR="00041767">
        <w:rPr>
          <w:rFonts w:ascii="Times New Roman" w:hAnsi="Times New Roman"/>
          <w:bCs/>
          <w:szCs w:val="24"/>
        </w:rPr>
        <w:t xml:space="preserve">, </w:t>
      </w:r>
      <w:bookmarkStart w:id="0" w:name="_GoBack"/>
      <w:bookmarkEnd w:id="0"/>
      <w:r w:rsidRPr="002973D7">
        <w:rPr>
          <w:rFonts w:ascii="Times New Roman" w:hAnsi="Times New Roman"/>
          <w:bCs/>
          <w:szCs w:val="24"/>
        </w:rPr>
        <w:t xml:space="preserve">Christophe </w:t>
      </w:r>
      <w:proofErr w:type="spellStart"/>
      <w:r w:rsidRPr="002973D7">
        <w:rPr>
          <w:rFonts w:ascii="Times New Roman" w:hAnsi="Times New Roman"/>
          <w:bCs/>
          <w:szCs w:val="24"/>
        </w:rPr>
        <w:t>Blanquart</w:t>
      </w:r>
      <w:proofErr w:type="spellEnd"/>
      <w:r w:rsidRPr="002973D7">
        <w:rPr>
          <w:rFonts w:ascii="Times New Roman" w:hAnsi="Times New Roman"/>
          <w:bCs/>
          <w:szCs w:val="24"/>
        </w:rPr>
        <w:t xml:space="preserve">, Elena </w:t>
      </w:r>
      <w:proofErr w:type="spellStart"/>
      <w:r w:rsidRPr="002973D7">
        <w:rPr>
          <w:rFonts w:ascii="Times New Roman" w:hAnsi="Times New Roman"/>
          <w:bCs/>
          <w:szCs w:val="24"/>
        </w:rPr>
        <w:t>Ishow</w:t>
      </w:r>
      <w:proofErr w:type="spellEnd"/>
      <w:r w:rsidRPr="002973D7">
        <w:rPr>
          <w:rFonts w:ascii="Times New Roman" w:hAnsi="Times New Roman"/>
          <w:bCs/>
          <w:szCs w:val="24"/>
        </w:rPr>
        <w:t xml:space="preserve">, Agata </w:t>
      </w:r>
      <w:proofErr w:type="spellStart"/>
      <w:r w:rsidRPr="002973D7">
        <w:rPr>
          <w:rFonts w:ascii="Times New Roman" w:hAnsi="Times New Roman"/>
          <w:bCs/>
          <w:szCs w:val="24"/>
        </w:rPr>
        <w:t>Zykwinska</w:t>
      </w:r>
      <w:proofErr w:type="spellEnd"/>
    </w:p>
    <w:p w:rsidR="00DB2569" w:rsidRDefault="00DB2569">
      <w:pPr>
        <w:rPr>
          <w:lang w:val="en-US"/>
        </w:rPr>
      </w:pPr>
    </w:p>
    <w:p w:rsidR="00336F80" w:rsidRPr="00C55C1A" w:rsidRDefault="000D4345" w:rsidP="00336F80">
      <w:pPr>
        <w:pStyle w:val="Paragraphedeliste"/>
        <w:numPr>
          <w:ilvl w:val="0"/>
          <w:numId w:val="1"/>
        </w:numPr>
        <w:ind w:left="357" w:hanging="357"/>
        <w:rPr>
          <w:rFonts w:ascii="Times" w:hAnsi="Times" w:cs="Times"/>
          <w:b/>
          <w:sz w:val="24"/>
          <w:szCs w:val="24"/>
          <w:lang w:val="en-US"/>
        </w:rPr>
      </w:pPr>
      <w:r w:rsidRPr="00C55C1A">
        <w:rPr>
          <w:rFonts w:ascii="Times" w:hAnsi="Times" w:cs="Times"/>
          <w:b/>
          <w:sz w:val="24"/>
          <w:szCs w:val="24"/>
          <w:lang w:val="en-US"/>
        </w:rPr>
        <w:t>Elastic properties of cells</w:t>
      </w:r>
    </w:p>
    <w:p w:rsidR="007C5271" w:rsidRDefault="000D4345" w:rsidP="007C5271">
      <w:pPr>
        <w:pStyle w:val="FACorrespondingAuthorFootnote"/>
        <w:spacing w:after="0"/>
      </w:pPr>
      <w:r>
        <w:t>T</w:t>
      </w:r>
      <w:r w:rsidRPr="001E05EA">
        <w:t xml:space="preserve">he elastic properties of cells </w:t>
      </w:r>
      <w:proofErr w:type="gramStart"/>
      <w:r w:rsidR="003A4C3A">
        <w:t>can be</w:t>
      </w:r>
      <w:r w:rsidRPr="001E05EA">
        <w:t xml:space="preserve"> determined</w:t>
      </w:r>
      <w:proofErr w:type="gramEnd"/>
      <w:r w:rsidRPr="001E05EA">
        <w:t xml:space="preserve"> by fitting equation </w:t>
      </w:r>
      <w:r>
        <w:t>(</w:t>
      </w:r>
      <w:r w:rsidRPr="001E05EA">
        <w:t>1</w:t>
      </w:r>
      <w:r>
        <w:t>)</w:t>
      </w:r>
      <w:r w:rsidRPr="001E05EA">
        <w:t xml:space="preserve"> on the approach </w:t>
      </w:r>
      <w:r>
        <w:t>part of force-</w:t>
      </w:r>
      <w:r w:rsidRPr="00D7541D">
        <w:t>indentation curves</w:t>
      </w:r>
      <w:r w:rsidR="003A4C3A">
        <w:t>,</w:t>
      </w:r>
      <w:r w:rsidRPr="00D7541D">
        <w:t xml:space="preserve"> by taking into account or not the cell height. In this </w:t>
      </w:r>
      <w:r w:rsidR="00236760">
        <w:t>equation</w:t>
      </w:r>
      <w:r w:rsidRPr="00D7541D">
        <w:t xml:space="preserve">, the only adjustable parameter is the elastic modulus </w:t>
      </w:r>
      <w:r w:rsidR="00D7541D">
        <w:t>(</w:t>
      </w:r>
      <w:r w:rsidR="00D7541D" w:rsidRPr="00D7541D">
        <w:rPr>
          <w:i/>
        </w:rPr>
        <w:t>E</w:t>
      </w:r>
      <w:r w:rsidR="00D7541D">
        <w:t xml:space="preserve">) </w:t>
      </w:r>
      <w:r w:rsidRPr="00D7541D">
        <w:t xml:space="preserve">of the probed cell. </w:t>
      </w:r>
      <w:r w:rsidR="00D7541D" w:rsidRPr="00D7541D">
        <w:t>Supplementary Figure S1A shows two representativ</w:t>
      </w:r>
      <w:r w:rsidR="00D7541D">
        <w:t xml:space="preserve">e experimental curves with the </w:t>
      </w:r>
      <w:r w:rsidR="00874B12">
        <w:t xml:space="preserve">obtained </w:t>
      </w:r>
      <w:r w:rsidR="00D7541D">
        <w:t>fit</w:t>
      </w:r>
      <w:r w:rsidR="00C55C1A">
        <w:t>s</w:t>
      </w:r>
      <w:r w:rsidR="00D7541D">
        <w:t xml:space="preserve"> of equation (1) </w:t>
      </w:r>
      <w:r w:rsidR="00C55C1A">
        <w:t xml:space="preserve">by the least-squares method, </w:t>
      </w:r>
      <w:r w:rsidR="00D7541D">
        <w:t>c</w:t>
      </w:r>
      <w:r w:rsidR="00C55C1A">
        <w:t xml:space="preserve">haracterized by </w:t>
      </w:r>
      <w:r w:rsidR="00874B12" w:rsidRPr="00C55C1A">
        <w:rPr>
          <w:i/>
        </w:rPr>
        <w:t>E</w:t>
      </w:r>
      <w:r w:rsidR="00874B12">
        <w:t xml:space="preserve"> values of</w:t>
      </w:r>
      <w:r w:rsidR="00D427FD">
        <w:t xml:space="preserve"> 1.2 </w:t>
      </w:r>
      <w:proofErr w:type="spellStart"/>
      <w:r w:rsidR="00D427FD">
        <w:t>kPa</w:t>
      </w:r>
      <w:proofErr w:type="spellEnd"/>
      <w:r w:rsidR="00D427FD">
        <w:t xml:space="preserve"> and 0.7 </w:t>
      </w:r>
      <w:proofErr w:type="spellStart"/>
      <w:r w:rsidR="00D427FD">
        <w:t>kPa</w:t>
      </w:r>
      <w:proofErr w:type="spellEnd"/>
      <w:r w:rsidR="00E436ED">
        <w:t xml:space="preserve"> </w:t>
      </w:r>
      <w:r w:rsidR="003E58D7">
        <w:t>by considering the</w:t>
      </w:r>
      <w:r w:rsidR="00181314">
        <w:t xml:space="preserve"> measured </w:t>
      </w:r>
      <w:r w:rsidR="004D5CC4">
        <w:t xml:space="preserve">cell </w:t>
      </w:r>
      <w:r w:rsidR="00181314">
        <w:t>thickness of ~</w:t>
      </w:r>
      <w:r w:rsidR="004D5CC4">
        <w:t>3</w:t>
      </w:r>
      <w:r w:rsidR="00DA21DD">
        <w:t xml:space="preserve"> </w:t>
      </w:r>
      <w:r w:rsidR="00181314">
        <w:t>µm</w:t>
      </w:r>
      <w:r w:rsidR="004D5CC4">
        <w:t xml:space="preserve"> (at the FDC location)</w:t>
      </w:r>
      <w:r w:rsidR="00181314">
        <w:t>.</w:t>
      </w:r>
      <w:r w:rsidR="003A4C3A">
        <w:t xml:space="preserve"> All the obtained </w:t>
      </w:r>
      <w:r w:rsidR="003A4C3A" w:rsidRPr="00D7541D">
        <w:rPr>
          <w:i/>
        </w:rPr>
        <w:t>E</w:t>
      </w:r>
      <w:r w:rsidR="003A4C3A">
        <w:t xml:space="preserve"> values on the cytoplasmic regions of cell</w:t>
      </w:r>
      <w:r w:rsidR="004F4235">
        <w:t>s</w:t>
      </w:r>
      <w:r w:rsidR="003A4C3A">
        <w:t xml:space="preserve"> are gathered in the boxplot representation </w:t>
      </w:r>
      <w:r w:rsidR="004F4235">
        <w:t>with mean value</w:t>
      </w:r>
      <w:r w:rsidR="00236760">
        <w:t>s</w:t>
      </w:r>
      <w:r w:rsidR="004F4235">
        <w:t xml:space="preserve"> of 1.2 </w:t>
      </w:r>
      <w:r w:rsidR="004F4235">
        <w:rPr>
          <w:rFonts w:cs="Times"/>
        </w:rPr>
        <w:t>±</w:t>
      </w:r>
      <w:r w:rsidR="004F4235">
        <w:t xml:space="preserve"> 0.3 </w:t>
      </w:r>
      <w:proofErr w:type="spellStart"/>
      <w:r w:rsidR="004F4235">
        <w:t>kPa</w:t>
      </w:r>
      <w:proofErr w:type="spellEnd"/>
      <w:r w:rsidR="004F4235">
        <w:t xml:space="preserve"> (values comprised between 0.8 </w:t>
      </w:r>
      <w:proofErr w:type="spellStart"/>
      <w:r w:rsidR="004F4235">
        <w:t>kPa</w:t>
      </w:r>
      <w:proofErr w:type="spellEnd"/>
      <w:r w:rsidR="004F4235">
        <w:t xml:space="preserve"> and 2.1 </w:t>
      </w:r>
      <w:proofErr w:type="spellStart"/>
      <w:r w:rsidR="004F4235">
        <w:t>kPa</w:t>
      </w:r>
      <w:proofErr w:type="spellEnd"/>
      <w:r w:rsidR="004F4235">
        <w:t xml:space="preserve">) </w:t>
      </w:r>
      <w:r w:rsidR="00236760">
        <w:t xml:space="preserve">and of 0.8 </w:t>
      </w:r>
      <w:r w:rsidR="00236760">
        <w:rPr>
          <w:rFonts w:cs="Times"/>
        </w:rPr>
        <w:t>±</w:t>
      </w:r>
      <w:r w:rsidR="00236760">
        <w:t xml:space="preserve"> 0.3 </w:t>
      </w:r>
      <w:proofErr w:type="spellStart"/>
      <w:proofErr w:type="gramStart"/>
      <w:r w:rsidR="00236760">
        <w:t>kPa</w:t>
      </w:r>
      <w:proofErr w:type="spellEnd"/>
      <w:r w:rsidR="00236760">
        <w:t xml:space="preserve">  (</w:t>
      </w:r>
      <w:proofErr w:type="gramEnd"/>
      <w:r w:rsidR="00236760">
        <w:t xml:space="preserve">between 0.5 </w:t>
      </w:r>
      <w:proofErr w:type="spellStart"/>
      <w:r w:rsidR="00236760">
        <w:t>kPa</w:t>
      </w:r>
      <w:proofErr w:type="spellEnd"/>
      <w:r w:rsidR="00236760">
        <w:t xml:space="preserve"> and 1.5 </w:t>
      </w:r>
      <w:proofErr w:type="spellStart"/>
      <w:r w:rsidR="00236760">
        <w:t>kPa</w:t>
      </w:r>
      <w:proofErr w:type="spellEnd"/>
      <w:r w:rsidR="00236760">
        <w:t xml:space="preserve">) </w:t>
      </w:r>
      <w:r w:rsidR="004F4235">
        <w:t xml:space="preserve">for </w:t>
      </w:r>
      <w:r w:rsidR="004F4235" w:rsidRPr="00042ADB">
        <w:t xml:space="preserve">semi-infinite </w:t>
      </w:r>
      <w:r w:rsidR="00236760">
        <w:t>and finite-thickness models, respectively</w:t>
      </w:r>
      <w:r w:rsidR="00937499">
        <w:t xml:space="preserve"> (Supplementary Figure S1B)</w:t>
      </w:r>
      <w:r w:rsidR="00236760">
        <w:t>.</w:t>
      </w:r>
      <w:r w:rsidR="007C5271">
        <w:t xml:space="preserve"> These results also highlight the need to take into account the cell thickness to avoid overestimation of the extracted mechanical parameters, like the elastic modulus. However, such analysis seems only pertinent when FDC hysteresis (revealing the presence of energy dissipative processes) is weak indicating that the elastic modulus values deduced from fitting on approach and retraction parts should be close (</w:t>
      </w:r>
      <w:r w:rsidR="007C5271" w:rsidRPr="00531515">
        <w:rPr>
          <w:rStyle w:val="q4iawc"/>
          <w:lang w:val="en"/>
        </w:rPr>
        <w:t>Sanchez et al., 2021</w:t>
      </w:r>
      <w:r w:rsidR="007C5271">
        <w:rPr>
          <w:rStyle w:val="q4iawc"/>
          <w:lang w:val="en"/>
        </w:rPr>
        <w:t>)</w:t>
      </w:r>
      <w:r w:rsidR="007C5271">
        <w:t xml:space="preserve">. </w:t>
      </w:r>
      <w:r w:rsidR="004D5CC4">
        <w:t xml:space="preserve">Indeed, in the contrary case, elastic properties represent only a part of the mechanical properties that have to </w:t>
      </w:r>
      <w:proofErr w:type="gramStart"/>
      <w:r w:rsidR="004D5CC4">
        <w:t>be completed</w:t>
      </w:r>
      <w:proofErr w:type="gramEnd"/>
      <w:r w:rsidR="004D5CC4">
        <w:t xml:space="preserve"> by characterizing the dissipative component.</w:t>
      </w:r>
    </w:p>
    <w:p w:rsidR="00D7541D" w:rsidRDefault="00D7541D" w:rsidP="000D4345">
      <w:pPr>
        <w:pStyle w:val="FACorrespondingAuthorFootnote"/>
        <w:spacing w:after="0"/>
      </w:pPr>
    </w:p>
    <w:p w:rsidR="00FF0B04" w:rsidRDefault="00152C48" w:rsidP="00B6554F">
      <w:pPr>
        <w:jc w:val="center"/>
        <w:rPr>
          <w:lang w:val="en-US"/>
        </w:rPr>
      </w:pPr>
      <w:r>
        <w:rPr>
          <w:noProof/>
          <w:lang w:eastAsia="fr-FR"/>
        </w:rPr>
        <w:drawing>
          <wp:inline distT="0" distB="0" distL="0" distR="0">
            <wp:extent cx="5760720" cy="21399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SI_2.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139950"/>
                    </a:xfrm>
                    <a:prstGeom prst="rect">
                      <a:avLst/>
                    </a:prstGeom>
                  </pic:spPr>
                </pic:pic>
              </a:graphicData>
            </a:graphic>
          </wp:inline>
        </w:drawing>
      </w:r>
    </w:p>
    <w:p w:rsidR="00AB0BC0" w:rsidRDefault="00AB0BC0" w:rsidP="00AB0BC0">
      <w:pPr>
        <w:pStyle w:val="FACorrespondingAuthorFootnote"/>
        <w:spacing w:after="0"/>
      </w:pPr>
      <w:r>
        <w:t>Supplementary Figure S1</w:t>
      </w:r>
      <w:r w:rsidR="00966E5B">
        <w:t xml:space="preserve">: </w:t>
      </w:r>
      <w:r w:rsidR="00D7541D">
        <w:t xml:space="preserve">(A) </w:t>
      </w:r>
      <w:r w:rsidR="0071268F">
        <w:t>Experimental force-indentation curves with the fitting curve</w:t>
      </w:r>
      <w:r w:rsidR="00C55C1A">
        <w:t>s</w:t>
      </w:r>
      <w:r w:rsidR="0071268F">
        <w:t xml:space="preserve"> </w:t>
      </w:r>
      <w:r w:rsidR="0071268F" w:rsidRPr="0071268F">
        <w:t xml:space="preserve">obtained by adjusting the </w:t>
      </w:r>
      <w:r w:rsidR="0071268F">
        <w:rPr>
          <w:rFonts w:ascii="Times New Roman" w:hAnsi="Times New Roman"/>
          <w:szCs w:val="24"/>
        </w:rPr>
        <w:t>elastic</w:t>
      </w:r>
      <w:r w:rsidR="0071268F" w:rsidRPr="0071268F">
        <w:rPr>
          <w:rFonts w:ascii="Times New Roman" w:hAnsi="Times New Roman"/>
          <w:szCs w:val="24"/>
        </w:rPr>
        <w:t xml:space="preserve"> model</w:t>
      </w:r>
      <w:r w:rsidR="0071268F">
        <w:rPr>
          <w:rFonts w:ascii="Times New Roman" w:hAnsi="Times New Roman"/>
          <w:szCs w:val="24"/>
        </w:rPr>
        <w:t xml:space="preserve"> on the approach part</w:t>
      </w:r>
      <w:r w:rsidR="00C93BB6" w:rsidRPr="00C93BB6">
        <w:t xml:space="preserve"> </w:t>
      </w:r>
      <w:r w:rsidR="00C93BB6">
        <w:t>by the least-squares method</w:t>
      </w:r>
      <w:r w:rsidR="002E26AD">
        <w:t>.</w:t>
      </w:r>
      <w:r w:rsidR="0071268F">
        <w:t xml:space="preserve"> (B) </w:t>
      </w:r>
      <w:r w:rsidR="00042ADB" w:rsidRPr="00042ADB">
        <w:t xml:space="preserve">Boxplot representation of the elastic modulus values obtained by using the elastic model either with an infinite </w:t>
      </w:r>
      <w:r w:rsidR="00CA2992">
        <w:t xml:space="preserve">cell </w:t>
      </w:r>
      <w:r w:rsidR="00042ADB" w:rsidRPr="00042ADB">
        <w:t xml:space="preserve">thickness (semi-infinite model) or the measured </w:t>
      </w:r>
      <w:r w:rsidR="00CA2992">
        <w:t xml:space="preserve">cell </w:t>
      </w:r>
      <w:r w:rsidR="00042ADB" w:rsidRPr="00042ADB">
        <w:t>thi</w:t>
      </w:r>
      <w:r w:rsidR="00042ADB">
        <w:t>ckness (finite-thickness model)</w:t>
      </w:r>
      <w:r w:rsidR="00042ADB" w:rsidRPr="00DC0819">
        <w:t>.</w:t>
      </w:r>
    </w:p>
    <w:p w:rsidR="00D55933" w:rsidRDefault="00D55933" w:rsidP="00AB0BC0">
      <w:pPr>
        <w:pStyle w:val="FACorrespondingAuthorFootnote"/>
        <w:spacing w:after="0"/>
      </w:pPr>
    </w:p>
    <w:p w:rsidR="00336F80" w:rsidRPr="00D5120D" w:rsidRDefault="00874B12" w:rsidP="007430D3">
      <w:pPr>
        <w:pStyle w:val="Paragraphedeliste"/>
        <w:numPr>
          <w:ilvl w:val="0"/>
          <w:numId w:val="1"/>
        </w:numPr>
        <w:ind w:left="357" w:hanging="357"/>
        <w:rPr>
          <w:rFonts w:ascii="Times" w:hAnsi="Times" w:cs="Times"/>
          <w:b/>
          <w:sz w:val="24"/>
          <w:szCs w:val="24"/>
          <w:lang w:val="en-US"/>
        </w:rPr>
      </w:pPr>
      <w:r w:rsidRPr="00D5120D">
        <w:rPr>
          <w:rFonts w:ascii="Times" w:hAnsi="Times" w:cs="Times"/>
          <w:b/>
          <w:sz w:val="24"/>
          <w:szCs w:val="24"/>
          <w:lang w:val="en-US"/>
        </w:rPr>
        <w:t xml:space="preserve">Generalized Maxwell model </w:t>
      </w:r>
      <w:r w:rsidR="00CA2992">
        <w:rPr>
          <w:rFonts w:ascii="Times" w:hAnsi="Times" w:cs="Times"/>
          <w:b/>
          <w:sz w:val="24"/>
          <w:szCs w:val="24"/>
          <w:lang w:val="en-US"/>
        </w:rPr>
        <w:t>applied to</w:t>
      </w:r>
      <w:r w:rsidRPr="00D5120D">
        <w:rPr>
          <w:rFonts w:ascii="Times" w:hAnsi="Times" w:cs="Times"/>
          <w:b/>
          <w:sz w:val="24"/>
          <w:szCs w:val="24"/>
          <w:lang w:val="en-US"/>
        </w:rPr>
        <w:t xml:space="preserve"> cells  </w:t>
      </w:r>
      <w:r w:rsidR="004A1E96" w:rsidRPr="00D5120D">
        <w:rPr>
          <w:rFonts w:ascii="Times" w:hAnsi="Times" w:cs="Times"/>
          <w:b/>
          <w:sz w:val="24"/>
          <w:szCs w:val="24"/>
          <w:lang w:val="en-US"/>
        </w:rPr>
        <w:t xml:space="preserve"> </w:t>
      </w:r>
    </w:p>
    <w:p w:rsidR="00937499" w:rsidRDefault="00D7541D" w:rsidP="00D7541D">
      <w:pPr>
        <w:pStyle w:val="FACorrespondingAuthorFootnote"/>
        <w:spacing w:after="0"/>
        <w:rPr>
          <w:rStyle w:val="rynqvb"/>
          <w:lang w:val="en"/>
        </w:rPr>
      </w:pPr>
      <w:r>
        <w:t xml:space="preserve">The viscoelastic nature of time-dependent responses of fibroblast cells offers the ability to use </w:t>
      </w:r>
      <w:r w:rsidR="00937499">
        <w:t xml:space="preserve">various </w:t>
      </w:r>
      <w:r>
        <w:t xml:space="preserve">viscoelastic models to analyze their </w:t>
      </w:r>
      <w:r w:rsidR="00CA2992">
        <w:t>dissipative</w:t>
      </w:r>
      <w:r>
        <w:t xml:space="preserve"> processes. In this way, to determine relaxation times associated to these processes, the generalized Maxwell model, where several Maxwell elements composed by a spring (elastic) and a dashpot (viscous) in series </w:t>
      </w:r>
      <w:proofErr w:type="gramStart"/>
      <w:r>
        <w:t>are connected</w:t>
      </w:r>
      <w:proofErr w:type="gramEnd"/>
      <w:r>
        <w:t xml:space="preserve"> in parallel, was applied to force relaxation curves. Best fits of these curves were obtained with two relaxation times</w:t>
      </w:r>
      <w:r w:rsidR="00937499">
        <w:t xml:space="preserve"> (by adjusting the five parameters</w:t>
      </w:r>
      <w:r w:rsidR="00CA2992">
        <w:t xml:space="preserve"> by the least-squares method </w:t>
      </w:r>
      <w:r w:rsidR="00937499" w:rsidRPr="004F6D2B">
        <w:rPr>
          <w:rFonts w:cs="Times"/>
          <w:szCs w:val="24"/>
        </w:rPr>
        <w:t>(</w:t>
      </w:r>
      <w:r w:rsidR="00937499" w:rsidRPr="002C3A98">
        <w:rPr>
          <w:rFonts w:cs="Times"/>
          <w:i/>
          <w:szCs w:val="24"/>
        </w:rPr>
        <w:t>E</w:t>
      </w:r>
      <w:r w:rsidR="00937499" w:rsidRPr="002C3A98">
        <w:rPr>
          <w:rFonts w:cs="Times"/>
          <w:i/>
          <w:szCs w:val="24"/>
          <w:vertAlign w:val="subscript"/>
          <w:lang w:val="fr-FR"/>
        </w:rPr>
        <w:sym w:font="Symbol" w:char="F0A5"/>
      </w:r>
      <w:r w:rsidR="00937499" w:rsidRPr="004F6D2B">
        <w:rPr>
          <w:rFonts w:cs="Times"/>
          <w:szCs w:val="24"/>
        </w:rPr>
        <w:t xml:space="preserve">, </w:t>
      </w:r>
      <w:r w:rsidR="00937499" w:rsidRPr="002C3A98">
        <w:rPr>
          <w:rFonts w:cs="Times"/>
          <w:i/>
          <w:szCs w:val="24"/>
        </w:rPr>
        <w:t>E</w:t>
      </w:r>
      <w:r w:rsidR="00937499" w:rsidRPr="002C3A98">
        <w:rPr>
          <w:rFonts w:cs="Times"/>
          <w:i/>
          <w:szCs w:val="24"/>
          <w:vertAlign w:val="subscript"/>
        </w:rPr>
        <w:t>1</w:t>
      </w:r>
      <w:r w:rsidR="00937499" w:rsidRPr="004F6D2B">
        <w:rPr>
          <w:rFonts w:cs="Times"/>
          <w:szCs w:val="24"/>
        </w:rPr>
        <w:t xml:space="preserve">, </w:t>
      </w:r>
      <w:r w:rsidR="00937499" w:rsidRPr="002C3A98">
        <w:rPr>
          <w:rFonts w:cs="Times"/>
          <w:i/>
          <w:szCs w:val="24"/>
          <w:lang w:val="fr-FR"/>
        </w:rPr>
        <w:sym w:font="Symbol" w:char="F074"/>
      </w:r>
      <w:r w:rsidR="00937499" w:rsidRPr="002C3A98">
        <w:rPr>
          <w:rFonts w:cs="Times"/>
          <w:i/>
          <w:szCs w:val="24"/>
          <w:vertAlign w:val="subscript"/>
        </w:rPr>
        <w:t>1</w:t>
      </w:r>
      <w:r w:rsidR="00937499">
        <w:rPr>
          <w:rFonts w:cs="Times"/>
          <w:szCs w:val="24"/>
        </w:rPr>
        <w:t xml:space="preserve">, </w:t>
      </w:r>
      <w:r w:rsidR="00937499" w:rsidRPr="002C3A98">
        <w:rPr>
          <w:rFonts w:cs="Times"/>
          <w:i/>
          <w:szCs w:val="24"/>
        </w:rPr>
        <w:t>E</w:t>
      </w:r>
      <w:r w:rsidR="00937499" w:rsidRPr="002C3A98">
        <w:rPr>
          <w:rFonts w:cs="Times"/>
          <w:i/>
          <w:szCs w:val="24"/>
          <w:vertAlign w:val="subscript"/>
        </w:rPr>
        <w:t>2</w:t>
      </w:r>
      <w:r w:rsidR="00937499" w:rsidRPr="004F6D2B">
        <w:rPr>
          <w:rFonts w:cs="Times"/>
          <w:szCs w:val="24"/>
        </w:rPr>
        <w:t xml:space="preserve">, </w:t>
      </w:r>
      <w:r w:rsidR="00937499" w:rsidRPr="002C3A98">
        <w:rPr>
          <w:rFonts w:cs="Times"/>
          <w:i/>
          <w:szCs w:val="24"/>
          <w:lang w:val="fr-FR"/>
        </w:rPr>
        <w:sym w:font="Symbol" w:char="F074"/>
      </w:r>
      <w:r w:rsidR="00937499" w:rsidRPr="002C3A98">
        <w:rPr>
          <w:rFonts w:cs="Times"/>
          <w:i/>
          <w:szCs w:val="24"/>
          <w:vertAlign w:val="subscript"/>
        </w:rPr>
        <w:t>2</w:t>
      </w:r>
      <w:r w:rsidR="00937499">
        <w:rPr>
          <w:rFonts w:cs="Times"/>
          <w:szCs w:val="24"/>
        </w:rPr>
        <w:t>) of equation (8))</w:t>
      </w:r>
      <w:r>
        <w:t xml:space="preserve">, as shown in </w:t>
      </w:r>
      <w:r w:rsidR="00937499" w:rsidRPr="00D7541D">
        <w:t>Supplementary Figure S</w:t>
      </w:r>
      <w:r w:rsidR="00937499">
        <w:t>2</w:t>
      </w:r>
      <w:r w:rsidR="00937499" w:rsidRPr="00D7541D">
        <w:t>A</w:t>
      </w:r>
      <w:r>
        <w:t xml:space="preserve">, indicating that two distinct relaxation processes occur after indenting the cells. Indeed, the Maxwell model with a single relaxation time was not able </w:t>
      </w:r>
      <w:proofErr w:type="gramStart"/>
      <w:r>
        <w:t>to correctly describe</w:t>
      </w:r>
      <w:proofErr w:type="gramEnd"/>
      <w:r>
        <w:t xml:space="preserve"> the measured relaxation behavior (</w:t>
      </w:r>
      <w:r w:rsidR="00937499" w:rsidRPr="00D7541D">
        <w:t>Supplementary Figure S</w:t>
      </w:r>
      <w:r w:rsidR="00937499">
        <w:t>2</w:t>
      </w:r>
      <w:r w:rsidR="00937499" w:rsidRPr="00D7541D">
        <w:t>A</w:t>
      </w:r>
      <w:r>
        <w:t xml:space="preserve">). </w:t>
      </w:r>
      <w:r w:rsidR="00937499">
        <w:t xml:space="preserve">However, by zooming in the experimental decay within the first second, </w:t>
      </w:r>
      <w:r w:rsidR="00CA2992">
        <w:t xml:space="preserve">best </w:t>
      </w:r>
      <w:r w:rsidR="00D5120D">
        <w:t xml:space="preserve">Maxwell fits with two relaxation times did not correctly </w:t>
      </w:r>
      <w:r w:rsidR="00D5120D">
        <w:lastRenderedPageBreak/>
        <w:t>describe the relaxation behavior of cells (</w:t>
      </w:r>
      <w:r w:rsidR="00D5120D" w:rsidRPr="00D7541D">
        <w:t xml:space="preserve">Supplementary </w:t>
      </w:r>
      <w:r w:rsidR="00D5120D" w:rsidRPr="00D5120D">
        <w:t xml:space="preserve">Figure S2B). </w:t>
      </w:r>
      <w:r w:rsidR="00CA2992">
        <w:t>Contrary to viscoelastic hydrogels, i</w:t>
      </w:r>
      <w:r w:rsidR="00D5120D" w:rsidRPr="00D5120D">
        <w:t xml:space="preserve">t results that </w:t>
      </w:r>
      <w:r w:rsidR="00512DBE">
        <w:t xml:space="preserve">the generalized Maxwell model </w:t>
      </w:r>
      <w:r w:rsidR="00D5120D" w:rsidRPr="00D5120D">
        <w:t>w</w:t>
      </w:r>
      <w:r w:rsidR="00512DBE">
        <w:t>as</w:t>
      </w:r>
      <w:r w:rsidR="00D5120D" w:rsidRPr="00D5120D">
        <w:t xml:space="preserve"> not able to finely interp</w:t>
      </w:r>
      <w:r w:rsidR="00512DBE">
        <w:t>ret the experimental relaxation</w:t>
      </w:r>
      <w:r w:rsidR="00D5120D" w:rsidRPr="00D5120D">
        <w:t xml:space="preserve">s, </w:t>
      </w:r>
      <w:r w:rsidR="00D5120D" w:rsidRPr="00D5120D">
        <w:rPr>
          <w:rStyle w:val="rynqvb"/>
          <w:lang w:val="en"/>
        </w:rPr>
        <w:t>neither by considering a single exponential (</w:t>
      </w:r>
      <w:r w:rsidR="00D5120D" w:rsidRPr="00D5120D">
        <w:rPr>
          <w:rStyle w:val="rynqvb"/>
          <w:i/>
          <w:lang w:val="en"/>
        </w:rPr>
        <w:t>i.e</w:t>
      </w:r>
      <w:r w:rsidR="00D5120D" w:rsidRPr="00D5120D">
        <w:rPr>
          <w:rStyle w:val="rynqvb"/>
          <w:lang w:val="en"/>
        </w:rPr>
        <w:t>. single relaxation time), nor with double exponential (</w:t>
      </w:r>
      <w:r w:rsidR="00D5120D" w:rsidRPr="00D5120D">
        <w:rPr>
          <w:rStyle w:val="rynqvb"/>
          <w:i/>
          <w:lang w:val="en"/>
        </w:rPr>
        <w:t>i.e</w:t>
      </w:r>
      <w:r w:rsidR="00D5120D" w:rsidRPr="00D5120D">
        <w:rPr>
          <w:rStyle w:val="rynqvb"/>
          <w:lang w:val="en"/>
        </w:rPr>
        <w:t>. two relaxation times)</w:t>
      </w:r>
      <w:r w:rsidR="00CA2992">
        <w:rPr>
          <w:rStyle w:val="rynqvb"/>
          <w:lang w:val="en"/>
        </w:rPr>
        <w:t xml:space="preserve"> </w:t>
      </w:r>
      <w:r w:rsidR="00CA2992">
        <w:t>(</w:t>
      </w:r>
      <w:proofErr w:type="spellStart"/>
      <w:r w:rsidR="00CA2992">
        <w:rPr>
          <w:rStyle w:val="q4iawc"/>
          <w:lang w:val="en"/>
        </w:rPr>
        <w:t>Cuenot</w:t>
      </w:r>
      <w:proofErr w:type="spellEnd"/>
      <w:r w:rsidR="00CA2992" w:rsidRPr="00531515">
        <w:rPr>
          <w:rStyle w:val="q4iawc"/>
          <w:lang w:val="en"/>
        </w:rPr>
        <w:t xml:space="preserve"> et </w:t>
      </w:r>
      <w:r w:rsidR="00CA2992">
        <w:rPr>
          <w:rStyle w:val="q4iawc"/>
          <w:lang w:val="en"/>
        </w:rPr>
        <w:t>al., 2022)</w:t>
      </w:r>
      <w:r w:rsidR="00D5120D" w:rsidRPr="00D5120D">
        <w:rPr>
          <w:rStyle w:val="rynqvb"/>
          <w:lang w:val="en"/>
        </w:rPr>
        <w:t>.</w:t>
      </w:r>
      <w:r w:rsidR="00D5120D" w:rsidRPr="00D5120D">
        <w:rPr>
          <w:rStyle w:val="hwtze"/>
          <w:lang w:val="en"/>
        </w:rPr>
        <w:t xml:space="preserve"> </w:t>
      </w:r>
      <w:r w:rsidR="00D5120D" w:rsidRPr="00D5120D">
        <w:rPr>
          <w:rStyle w:val="rynqvb"/>
          <w:lang w:val="en"/>
        </w:rPr>
        <w:t>Therefore, the viscoelastic relaxation of cells subjected to the AFM indentation does not follow a single or double decreasing exponential law.</w:t>
      </w:r>
    </w:p>
    <w:p w:rsidR="00D5120D" w:rsidRDefault="00D5120D" w:rsidP="00D7541D">
      <w:pPr>
        <w:pStyle w:val="FACorrespondingAuthorFootnote"/>
        <w:spacing w:after="0"/>
      </w:pPr>
    </w:p>
    <w:p w:rsidR="00903BD3" w:rsidRDefault="0071268F" w:rsidP="00903BD3">
      <w:pPr>
        <w:pStyle w:val="FACorrespondingAuthorFootnote"/>
        <w:spacing w:after="0"/>
        <w:jc w:val="center"/>
        <w:rPr>
          <w:rFonts w:cs="Times"/>
          <w:szCs w:val="24"/>
        </w:rPr>
      </w:pPr>
      <w:r>
        <w:rPr>
          <w:rFonts w:cs="Times"/>
          <w:noProof/>
          <w:szCs w:val="24"/>
          <w:lang w:val="fr-FR" w:eastAsia="fr-FR"/>
        </w:rPr>
        <w:drawing>
          <wp:inline distT="0" distB="0" distL="0" distR="0">
            <wp:extent cx="5760720" cy="23717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SI_1.tif"/>
                    <pic:cNvPicPr/>
                  </pic:nvPicPr>
                  <pic:blipFill>
                    <a:blip r:embed="rId6">
                      <a:extLst>
                        <a:ext uri="{28A0092B-C50C-407E-A947-70E740481C1C}">
                          <a14:useLocalDpi xmlns:a14="http://schemas.microsoft.com/office/drawing/2010/main" val="0"/>
                        </a:ext>
                      </a:extLst>
                    </a:blip>
                    <a:stretch>
                      <a:fillRect/>
                    </a:stretch>
                  </pic:blipFill>
                  <pic:spPr>
                    <a:xfrm>
                      <a:off x="0" y="0"/>
                      <a:ext cx="5760720" cy="2371725"/>
                    </a:xfrm>
                    <a:prstGeom prst="rect">
                      <a:avLst/>
                    </a:prstGeom>
                  </pic:spPr>
                </pic:pic>
              </a:graphicData>
            </a:graphic>
          </wp:inline>
        </w:drawing>
      </w:r>
    </w:p>
    <w:p w:rsidR="00903BD3" w:rsidRPr="0071268F" w:rsidRDefault="00903BD3" w:rsidP="00AB0BC0">
      <w:pPr>
        <w:pStyle w:val="FACorrespondingAuthorFootnote"/>
        <w:spacing w:after="0"/>
      </w:pPr>
      <w:r w:rsidRPr="0071268F">
        <w:rPr>
          <w:rFonts w:cs="Times"/>
          <w:szCs w:val="24"/>
        </w:rPr>
        <w:t>Supplementary Figure S</w:t>
      </w:r>
      <w:r w:rsidR="00966E5B" w:rsidRPr="0071268F">
        <w:rPr>
          <w:rFonts w:cs="Times"/>
          <w:szCs w:val="24"/>
        </w:rPr>
        <w:t>2</w:t>
      </w:r>
      <w:r w:rsidR="004D6450" w:rsidRPr="0071268F">
        <w:rPr>
          <w:rFonts w:cs="Times"/>
          <w:szCs w:val="24"/>
        </w:rPr>
        <w:t xml:space="preserve">: </w:t>
      </w:r>
      <w:r w:rsidR="0071268F" w:rsidRPr="0071268F">
        <w:rPr>
          <w:rFonts w:cs="Times"/>
          <w:szCs w:val="24"/>
        </w:rPr>
        <w:t xml:space="preserve">(A) Experimental force relaxation curve </w:t>
      </w:r>
      <w:r w:rsidR="0025037F" w:rsidRPr="0071268F">
        <w:t xml:space="preserve">with two fitting curves obtained by adjusting the </w:t>
      </w:r>
      <w:r w:rsidR="0025037F" w:rsidRPr="0071268F">
        <w:rPr>
          <w:rFonts w:ascii="Times New Roman" w:hAnsi="Times New Roman"/>
          <w:szCs w:val="24"/>
        </w:rPr>
        <w:t xml:space="preserve">generalized Maxwell model with one </w:t>
      </w:r>
      <w:r w:rsidR="0071268F" w:rsidRPr="0071268F">
        <w:rPr>
          <w:rFonts w:ascii="Times New Roman" w:hAnsi="Times New Roman"/>
          <w:szCs w:val="24"/>
        </w:rPr>
        <w:t>(</w:t>
      </w:r>
      <w:r w:rsidR="0071268F" w:rsidRPr="0071268F">
        <w:rPr>
          <w:rFonts w:ascii="Times New Roman" w:hAnsi="Times New Roman"/>
          <w:szCs w:val="24"/>
        </w:rPr>
        <w:sym w:font="Symbol" w:char="F074"/>
      </w:r>
      <w:r w:rsidR="0071268F" w:rsidRPr="0071268F">
        <w:rPr>
          <w:rFonts w:ascii="Times New Roman" w:hAnsi="Times New Roman"/>
          <w:szCs w:val="24"/>
          <w:vertAlign w:val="subscript"/>
        </w:rPr>
        <w:t>1</w:t>
      </w:r>
      <w:r w:rsidR="0071268F" w:rsidRPr="0071268F">
        <w:rPr>
          <w:rFonts w:ascii="Times New Roman" w:hAnsi="Times New Roman"/>
          <w:szCs w:val="24"/>
        </w:rPr>
        <w:t xml:space="preserve">) </w:t>
      </w:r>
      <w:r w:rsidR="0025037F" w:rsidRPr="0071268F">
        <w:rPr>
          <w:rFonts w:ascii="Times New Roman" w:hAnsi="Times New Roman"/>
          <w:szCs w:val="24"/>
        </w:rPr>
        <w:t xml:space="preserve">and two relaxation times </w:t>
      </w:r>
      <w:r w:rsidR="0071268F" w:rsidRPr="0071268F">
        <w:rPr>
          <w:rFonts w:ascii="Times New Roman" w:hAnsi="Times New Roman"/>
          <w:szCs w:val="24"/>
        </w:rPr>
        <w:t>(</w:t>
      </w:r>
      <w:r w:rsidR="0071268F" w:rsidRPr="0071268F">
        <w:rPr>
          <w:rFonts w:ascii="Times New Roman" w:hAnsi="Times New Roman"/>
          <w:szCs w:val="24"/>
        </w:rPr>
        <w:sym w:font="Symbol" w:char="F074"/>
      </w:r>
      <w:r w:rsidR="0071268F" w:rsidRPr="0071268F">
        <w:rPr>
          <w:rFonts w:ascii="Times New Roman" w:hAnsi="Times New Roman"/>
          <w:szCs w:val="24"/>
          <w:vertAlign w:val="subscript"/>
        </w:rPr>
        <w:t>1</w:t>
      </w:r>
      <w:r w:rsidR="0071268F" w:rsidRPr="0071268F">
        <w:rPr>
          <w:rFonts w:ascii="Times New Roman" w:hAnsi="Times New Roman"/>
          <w:szCs w:val="24"/>
        </w:rPr>
        <w:t xml:space="preserve">, </w:t>
      </w:r>
      <w:r w:rsidR="0071268F" w:rsidRPr="0071268F">
        <w:rPr>
          <w:rFonts w:ascii="Times New Roman" w:hAnsi="Times New Roman"/>
          <w:szCs w:val="24"/>
        </w:rPr>
        <w:sym w:font="Symbol" w:char="F074"/>
      </w:r>
      <w:r w:rsidR="0071268F" w:rsidRPr="0071268F">
        <w:rPr>
          <w:rFonts w:ascii="Times New Roman" w:hAnsi="Times New Roman"/>
          <w:szCs w:val="24"/>
          <w:vertAlign w:val="subscript"/>
        </w:rPr>
        <w:t>2</w:t>
      </w:r>
      <w:r w:rsidR="0071268F" w:rsidRPr="0071268F">
        <w:rPr>
          <w:rFonts w:ascii="Times New Roman" w:hAnsi="Times New Roman"/>
          <w:szCs w:val="24"/>
        </w:rPr>
        <w:t xml:space="preserve">) </w:t>
      </w:r>
      <w:r w:rsidR="0025037F" w:rsidRPr="0071268F">
        <w:rPr>
          <w:rFonts w:ascii="Times New Roman" w:hAnsi="Times New Roman"/>
          <w:szCs w:val="24"/>
        </w:rPr>
        <w:t>by the least-squares method.</w:t>
      </w:r>
      <w:r w:rsidR="0071268F" w:rsidRPr="0071268F">
        <w:rPr>
          <w:rFonts w:ascii="Times New Roman" w:hAnsi="Times New Roman"/>
          <w:szCs w:val="24"/>
        </w:rPr>
        <w:t xml:space="preserve"> (B) Zoom of the obtained results in A for times comprised between 0 and 1 second.</w:t>
      </w:r>
    </w:p>
    <w:p w:rsidR="00BF2BC7" w:rsidRPr="006C39A9" w:rsidRDefault="00BF2BC7" w:rsidP="00AB0BC0">
      <w:pPr>
        <w:pStyle w:val="FACorrespondingAuthorFootnote"/>
        <w:spacing w:after="0"/>
        <w:rPr>
          <w:rFonts w:cs="Times"/>
          <w:szCs w:val="24"/>
        </w:rPr>
      </w:pPr>
    </w:p>
    <w:p w:rsidR="00FF0B04" w:rsidRPr="00606C29" w:rsidRDefault="00FF0B04" w:rsidP="00FF0B04">
      <w:pPr>
        <w:autoSpaceDE w:val="0"/>
        <w:autoSpaceDN w:val="0"/>
        <w:adjustRightInd w:val="0"/>
        <w:spacing w:after="0" w:line="480" w:lineRule="auto"/>
        <w:rPr>
          <w:rFonts w:ascii="Times" w:hAnsi="Times" w:cs="Times"/>
          <w:b/>
          <w:bCs/>
          <w:sz w:val="24"/>
          <w:szCs w:val="24"/>
          <w:lang w:val="en-US"/>
        </w:rPr>
      </w:pPr>
      <w:r w:rsidRPr="00606C29">
        <w:rPr>
          <w:rFonts w:ascii="Times" w:hAnsi="Times" w:cs="Times"/>
          <w:b/>
          <w:bCs/>
          <w:sz w:val="24"/>
          <w:szCs w:val="24"/>
          <w:lang w:val="en-US"/>
        </w:rPr>
        <w:t>REFERENCES</w:t>
      </w:r>
    </w:p>
    <w:p w:rsidR="00CA2992" w:rsidRPr="00CA2992" w:rsidRDefault="00CA2992" w:rsidP="00AB3D36">
      <w:pPr>
        <w:jc w:val="both"/>
        <w:rPr>
          <w:rFonts w:ascii="Times" w:hAnsi="Times" w:cs="Times"/>
          <w:sz w:val="24"/>
          <w:szCs w:val="24"/>
        </w:rPr>
      </w:pPr>
      <w:proofErr w:type="spellStart"/>
      <w:r w:rsidRPr="00CA2992">
        <w:rPr>
          <w:rFonts w:ascii="Times" w:hAnsi="Times" w:cs="Times"/>
          <w:sz w:val="24"/>
          <w:szCs w:val="24"/>
        </w:rPr>
        <w:t>Cuenot</w:t>
      </w:r>
      <w:proofErr w:type="spellEnd"/>
      <w:r w:rsidRPr="00CA2992">
        <w:rPr>
          <w:rFonts w:ascii="Times" w:hAnsi="Times" w:cs="Times"/>
          <w:sz w:val="24"/>
          <w:szCs w:val="24"/>
        </w:rPr>
        <w:t xml:space="preserve">, S., </w:t>
      </w:r>
      <w:proofErr w:type="spellStart"/>
      <w:r w:rsidRPr="00CA2992">
        <w:rPr>
          <w:rFonts w:ascii="Times" w:hAnsi="Times" w:cs="Times"/>
          <w:sz w:val="24"/>
          <w:szCs w:val="24"/>
        </w:rPr>
        <w:t>Gélébart</w:t>
      </w:r>
      <w:proofErr w:type="spellEnd"/>
      <w:r w:rsidRPr="00CA2992">
        <w:rPr>
          <w:rFonts w:ascii="Times" w:hAnsi="Times" w:cs="Times"/>
          <w:sz w:val="24"/>
          <w:szCs w:val="24"/>
        </w:rPr>
        <w:t xml:space="preserve">, P., </w:t>
      </w:r>
      <w:proofErr w:type="spellStart"/>
      <w:r w:rsidRPr="00CA2992">
        <w:rPr>
          <w:rFonts w:ascii="Times" w:hAnsi="Times" w:cs="Times"/>
          <w:sz w:val="24"/>
          <w:szCs w:val="24"/>
        </w:rPr>
        <w:t>Sinquin</w:t>
      </w:r>
      <w:proofErr w:type="spellEnd"/>
      <w:r w:rsidRPr="00CA2992">
        <w:rPr>
          <w:rFonts w:ascii="Times" w:hAnsi="Times" w:cs="Times"/>
          <w:sz w:val="24"/>
          <w:szCs w:val="24"/>
        </w:rPr>
        <w:t xml:space="preserve">, C., </w:t>
      </w:r>
      <w:proofErr w:type="spellStart"/>
      <w:r w:rsidRPr="00CA2992">
        <w:rPr>
          <w:rFonts w:ascii="Times" w:hAnsi="Times" w:cs="Times"/>
          <w:sz w:val="24"/>
          <w:szCs w:val="24"/>
        </w:rPr>
        <w:t>Colliec-Jouault</w:t>
      </w:r>
      <w:proofErr w:type="spellEnd"/>
      <w:r w:rsidRPr="00CA2992">
        <w:rPr>
          <w:rFonts w:ascii="Times" w:hAnsi="Times" w:cs="Times"/>
          <w:sz w:val="24"/>
          <w:szCs w:val="24"/>
        </w:rPr>
        <w:t xml:space="preserve">, S., </w:t>
      </w:r>
      <w:proofErr w:type="spellStart"/>
      <w:r w:rsidRPr="00CA2992">
        <w:rPr>
          <w:rFonts w:ascii="Times" w:hAnsi="Times" w:cs="Times"/>
          <w:sz w:val="24"/>
          <w:szCs w:val="24"/>
        </w:rPr>
        <w:t>Zykwinska</w:t>
      </w:r>
      <w:proofErr w:type="spellEnd"/>
      <w:r w:rsidRPr="00CA2992">
        <w:rPr>
          <w:rFonts w:ascii="Times" w:hAnsi="Times" w:cs="Times"/>
          <w:sz w:val="24"/>
          <w:szCs w:val="24"/>
        </w:rPr>
        <w:t xml:space="preserve">, A., 2022. </w:t>
      </w:r>
      <w:proofErr w:type="spellStart"/>
      <w:r w:rsidRPr="00CA2992">
        <w:rPr>
          <w:rFonts w:ascii="Times" w:hAnsi="Times" w:cs="Times"/>
          <w:sz w:val="24"/>
          <w:szCs w:val="24"/>
        </w:rPr>
        <w:t>Mechanical</w:t>
      </w:r>
      <w:proofErr w:type="spellEnd"/>
      <w:r w:rsidRPr="00CA2992">
        <w:rPr>
          <w:rFonts w:ascii="Times" w:hAnsi="Times" w:cs="Times"/>
          <w:sz w:val="24"/>
          <w:szCs w:val="24"/>
        </w:rPr>
        <w:t xml:space="preserve"> relaxations of hydrogels </w:t>
      </w:r>
      <w:proofErr w:type="spellStart"/>
      <w:r w:rsidRPr="00CA2992">
        <w:rPr>
          <w:rFonts w:ascii="Times" w:hAnsi="Times" w:cs="Times"/>
          <w:sz w:val="24"/>
          <w:szCs w:val="24"/>
        </w:rPr>
        <w:t>governed</w:t>
      </w:r>
      <w:proofErr w:type="spellEnd"/>
      <w:r w:rsidRPr="00CA2992">
        <w:rPr>
          <w:rFonts w:ascii="Times" w:hAnsi="Times" w:cs="Times"/>
          <w:sz w:val="24"/>
          <w:szCs w:val="24"/>
        </w:rPr>
        <w:t xml:space="preserve"> by </w:t>
      </w:r>
      <w:proofErr w:type="spellStart"/>
      <w:r w:rsidRPr="00CA2992">
        <w:rPr>
          <w:rFonts w:ascii="Times" w:hAnsi="Times" w:cs="Times"/>
          <w:sz w:val="24"/>
          <w:szCs w:val="24"/>
        </w:rPr>
        <w:t>their</w:t>
      </w:r>
      <w:proofErr w:type="spellEnd"/>
      <w:r w:rsidRPr="00CA2992">
        <w:rPr>
          <w:rFonts w:ascii="Times" w:hAnsi="Times" w:cs="Times"/>
          <w:sz w:val="24"/>
          <w:szCs w:val="24"/>
        </w:rPr>
        <w:t xml:space="preserve"> </w:t>
      </w:r>
      <w:proofErr w:type="spellStart"/>
      <w:r w:rsidRPr="00CA2992">
        <w:rPr>
          <w:rFonts w:ascii="Times" w:hAnsi="Times" w:cs="Times"/>
          <w:sz w:val="24"/>
          <w:szCs w:val="24"/>
        </w:rPr>
        <w:t>physical</w:t>
      </w:r>
      <w:proofErr w:type="spellEnd"/>
      <w:r w:rsidRPr="00CA2992">
        <w:rPr>
          <w:rFonts w:ascii="Times" w:hAnsi="Times" w:cs="Times"/>
          <w:sz w:val="24"/>
          <w:szCs w:val="24"/>
        </w:rPr>
        <w:t xml:space="preserve"> or </w:t>
      </w:r>
      <w:proofErr w:type="spellStart"/>
      <w:r w:rsidRPr="00CA2992">
        <w:rPr>
          <w:rFonts w:ascii="Times" w:hAnsi="Times" w:cs="Times"/>
          <w:sz w:val="24"/>
          <w:szCs w:val="24"/>
        </w:rPr>
        <w:t>chemical</w:t>
      </w:r>
      <w:proofErr w:type="spellEnd"/>
      <w:r w:rsidRPr="00CA2992">
        <w:rPr>
          <w:rFonts w:ascii="Times" w:hAnsi="Times" w:cs="Times"/>
          <w:sz w:val="24"/>
          <w:szCs w:val="24"/>
        </w:rPr>
        <w:t xml:space="preserve"> </w:t>
      </w:r>
      <w:proofErr w:type="spellStart"/>
      <w:r w:rsidRPr="00CA2992">
        <w:rPr>
          <w:rFonts w:ascii="Times" w:hAnsi="Times" w:cs="Times"/>
          <w:sz w:val="24"/>
          <w:szCs w:val="24"/>
        </w:rPr>
        <w:t>crosslinks</w:t>
      </w:r>
      <w:proofErr w:type="spellEnd"/>
      <w:r w:rsidRPr="00CA2992">
        <w:rPr>
          <w:rFonts w:ascii="Times" w:hAnsi="Times" w:cs="Times"/>
          <w:sz w:val="24"/>
          <w:szCs w:val="24"/>
        </w:rPr>
        <w:t xml:space="preserve">. J. </w:t>
      </w:r>
      <w:proofErr w:type="spellStart"/>
      <w:r w:rsidRPr="00CA2992">
        <w:rPr>
          <w:rFonts w:ascii="Times" w:hAnsi="Times" w:cs="Times"/>
          <w:sz w:val="24"/>
          <w:szCs w:val="24"/>
        </w:rPr>
        <w:t>Mech</w:t>
      </w:r>
      <w:proofErr w:type="spellEnd"/>
      <w:r w:rsidRPr="00CA2992">
        <w:rPr>
          <w:rFonts w:ascii="Times" w:hAnsi="Times" w:cs="Times"/>
          <w:sz w:val="24"/>
          <w:szCs w:val="24"/>
        </w:rPr>
        <w:t xml:space="preserve">. </w:t>
      </w:r>
      <w:proofErr w:type="spellStart"/>
      <w:r w:rsidRPr="00CA2992">
        <w:rPr>
          <w:rFonts w:ascii="Times" w:hAnsi="Times" w:cs="Times"/>
          <w:sz w:val="24"/>
          <w:szCs w:val="24"/>
        </w:rPr>
        <w:t>Behav</w:t>
      </w:r>
      <w:proofErr w:type="spellEnd"/>
      <w:r w:rsidRPr="00CA2992">
        <w:rPr>
          <w:rFonts w:ascii="Times" w:hAnsi="Times" w:cs="Times"/>
          <w:sz w:val="24"/>
          <w:szCs w:val="24"/>
        </w:rPr>
        <w:t xml:space="preserve">. </w:t>
      </w:r>
      <w:proofErr w:type="spellStart"/>
      <w:r w:rsidRPr="00CA2992">
        <w:rPr>
          <w:rFonts w:ascii="Times" w:hAnsi="Times" w:cs="Times"/>
          <w:sz w:val="24"/>
          <w:szCs w:val="24"/>
        </w:rPr>
        <w:t>Biomed</w:t>
      </w:r>
      <w:proofErr w:type="spellEnd"/>
      <w:r w:rsidRPr="00CA2992">
        <w:rPr>
          <w:rFonts w:ascii="Times" w:hAnsi="Times" w:cs="Times"/>
          <w:sz w:val="24"/>
          <w:szCs w:val="24"/>
        </w:rPr>
        <w:t>. Mater. 133, 105343</w:t>
      </w:r>
      <w:r>
        <w:rPr>
          <w:rFonts w:ascii="Times" w:hAnsi="Times" w:cs="Times"/>
          <w:sz w:val="24"/>
          <w:szCs w:val="24"/>
        </w:rPr>
        <w:t>.</w:t>
      </w:r>
    </w:p>
    <w:p w:rsidR="00AB3D36" w:rsidRPr="007C5271" w:rsidRDefault="007C5271" w:rsidP="00AB3D36">
      <w:pPr>
        <w:jc w:val="both"/>
        <w:rPr>
          <w:rFonts w:ascii="Times" w:hAnsi="Times" w:cs="Times"/>
          <w:sz w:val="24"/>
          <w:szCs w:val="24"/>
          <w:lang w:val="en-US"/>
        </w:rPr>
      </w:pPr>
      <w:r w:rsidRPr="007C5271">
        <w:rPr>
          <w:rFonts w:ascii="Times" w:hAnsi="Times" w:cs="Times"/>
          <w:sz w:val="24"/>
          <w:szCs w:val="24"/>
        </w:rPr>
        <w:t xml:space="preserve">Sanchez, J.G., Espinosa, F.M., </w:t>
      </w:r>
      <w:proofErr w:type="spellStart"/>
      <w:r w:rsidRPr="007C5271">
        <w:rPr>
          <w:rFonts w:ascii="Times" w:hAnsi="Times" w:cs="Times"/>
          <w:sz w:val="24"/>
          <w:szCs w:val="24"/>
        </w:rPr>
        <w:t>Miguez</w:t>
      </w:r>
      <w:proofErr w:type="spellEnd"/>
      <w:r w:rsidRPr="007C5271">
        <w:rPr>
          <w:rFonts w:ascii="Times" w:hAnsi="Times" w:cs="Times"/>
          <w:sz w:val="24"/>
          <w:szCs w:val="24"/>
        </w:rPr>
        <w:t xml:space="preserve">, R., Garcia R., 2021. The </w:t>
      </w:r>
      <w:proofErr w:type="spellStart"/>
      <w:r w:rsidRPr="007C5271">
        <w:rPr>
          <w:rFonts w:ascii="Times" w:hAnsi="Times" w:cs="Times"/>
          <w:sz w:val="24"/>
          <w:szCs w:val="24"/>
        </w:rPr>
        <w:t>viscoelasticity</w:t>
      </w:r>
      <w:proofErr w:type="spellEnd"/>
      <w:r w:rsidRPr="007C5271">
        <w:rPr>
          <w:rFonts w:ascii="Times" w:hAnsi="Times" w:cs="Times"/>
          <w:sz w:val="24"/>
          <w:szCs w:val="24"/>
        </w:rPr>
        <w:t xml:space="preserve"> of </w:t>
      </w:r>
      <w:proofErr w:type="spellStart"/>
      <w:r w:rsidRPr="007C5271">
        <w:rPr>
          <w:rFonts w:ascii="Times" w:hAnsi="Times" w:cs="Times"/>
          <w:sz w:val="24"/>
          <w:szCs w:val="24"/>
        </w:rPr>
        <w:t>adherent</w:t>
      </w:r>
      <w:proofErr w:type="spellEnd"/>
      <w:r w:rsidRPr="007C5271">
        <w:rPr>
          <w:rFonts w:ascii="Times" w:hAnsi="Times" w:cs="Times"/>
          <w:sz w:val="24"/>
          <w:szCs w:val="24"/>
        </w:rPr>
        <w:t xml:space="preserve"> </w:t>
      </w:r>
      <w:proofErr w:type="spellStart"/>
      <w:r w:rsidRPr="007C5271">
        <w:rPr>
          <w:rFonts w:ascii="Times" w:hAnsi="Times" w:cs="Times"/>
          <w:sz w:val="24"/>
          <w:szCs w:val="24"/>
        </w:rPr>
        <w:t>cells</w:t>
      </w:r>
      <w:proofErr w:type="spellEnd"/>
      <w:r w:rsidRPr="007C5271">
        <w:rPr>
          <w:rFonts w:ascii="Times" w:hAnsi="Times" w:cs="Times"/>
          <w:sz w:val="24"/>
          <w:szCs w:val="24"/>
        </w:rPr>
        <w:t xml:space="preserve"> </w:t>
      </w:r>
      <w:proofErr w:type="spellStart"/>
      <w:r w:rsidRPr="007C5271">
        <w:rPr>
          <w:rFonts w:ascii="Times" w:hAnsi="Times" w:cs="Times"/>
          <w:sz w:val="24"/>
          <w:szCs w:val="24"/>
        </w:rPr>
        <w:t>follows</w:t>
      </w:r>
      <w:proofErr w:type="spellEnd"/>
      <w:r w:rsidRPr="007C5271">
        <w:rPr>
          <w:rFonts w:ascii="Times" w:hAnsi="Times" w:cs="Times"/>
          <w:sz w:val="24"/>
          <w:szCs w:val="24"/>
        </w:rPr>
        <w:t xml:space="preserve"> a single power-</w:t>
      </w:r>
      <w:proofErr w:type="spellStart"/>
      <w:r w:rsidRPr="007C5271">
        <w:rPr>
          <w:rFonts w:ascii="Times" w:hAnsi="Times" w:cs="Times"/>
          <w:sz w:val="24"/>
          <w:szCs w:val="24"/>
        </w:rPr>
        <w:t>law</w:t>
      </w:r>
      <w:proofErr w:type="spellEnd"/>
      <w:r w:rsidRPr="007C5271">
        <w:rPr>
          <w:rFonts w:ascii="Times" w:hAnsi="Times" w:cs="Times"/>
          <w:sz w:val="24"/>
          <w:szCs w:val="24"/>
        </w:rPr>
        <w:t xml:space="preserve"> </w:t>
      </w:r>
      <w:proofErr w:type="spellStart"/>
      <w:r w:rsidRPr="007C5271">
        <w:rPr>
          <w:rFonts w:ascii="Times" w:hAnsi="Times" w:cs="Times"/>
          <w:sz w:val="24"/>
          <w:szCs w:val="24"/>
        </w:rPr>
        <w:t>with</w:t>
      </w:r>
      <w:proofErr w:type="spellEnd"/>
      <w:r w:rsidRPr="007C5271">
        <w:rPr>
          <w:rFonts w:ascii="Times" w:hAnsi="Times" w:cs="Times"/>
          <w:sz w:val="24"/>
          <w:szCs w:val="24"/>
        </w:rPr>
        <w:t xml:space="preserve"> distinct local variations </w:t>
      </w:r>
      <w:proofErr w:type="spellStart"/>
      <w:r w:rsidRPr="007C5271">
        <w:rPr>
          <w:rFonts w:ascii="Times" w:hAnsi="Times" w:cs="Times"/>
          <w:sz w:val="24"/>
          <w:szCs w:val="24"/>
        </w:rPr>
        <w:t>within</w:t>
      </w:r>
      <w:proofErr w:type="spellEnd"/>
      <w:r w:rsidRPr="007C5271">
        <w:rPr>
          <w:rFonts w:ascii="Times" w:hAnsi="Times" w:cs="Times"/>
          <w:sz w:val="24"/>
          <w:szCs w:val="24"/>
        </w:rPr>
        <w:t xml:space="preserve"> a single </w:t>
      </w:r>
      <w:proofErr w:type="spellStart"/>
      <w:r w:rsidRPr="007C5271">
        <w:rPr>
          <w:rFonts w:ascii="Times" w:hAnsi="Times" w:cs="Times"/>
          <w:sz w:val="24"/>
          <w:szCs w:val="24"/>
        </w:rPr>
        <w:t>cell</w:t>
      </w:r>
      <w:proofErr w:type="spellEnd"/>
      <w:r w:rsidRPr="007C5271">
        <w:rPr>
          <w:rFonts w:ascii="Times" w:hAnsi="Times" w:cs="Times"/>
          <w:sz w:val="24"/>
          <w:szCs w:val="24"/>
        </w:rPr>
        <w:t xml:space="preserve"> and </w:t>
      </w:r>
      <w:proofErr w:type="spellStart"/>
      <w:r w:rsidRPr="007C5271">
        <w:rPr>
          <w:rFonts w:ascii="Times" w:hAnsi="Times" w:cs="Times"/>
          <w:sz w:val="24"/>
          <w:szCs w:val="24"/>
        </w:rPr>
        <w:t>across</w:t>
      </w:r>
      <w:proofErr w:type="spellEnd"/>
      <w:r w:rsidRPr="007C5271">
        <w:rPr>
          <w:rFonts w:ascii="Times" w:hAnsi="Times" w:cs="Times"/>
          <w:sz w:val="24"/>
          <w:szCs w:val="24"/>
        </w:rPr>
        <w:t xml:space="preserve"> </w:t>
      </w:r>
      <w:proofErr w:type="spellStart"/>
      <w:r w:rsidRPr="007C5271">
        <w:rPr>
          <w:rFonts w:ascii="Times" w:hAnsi="Times" w:cs="Times"/>
          <w:sz w:val="24"/>
          <w:szCs w:val="24"/>
        </w:rPr>
        <w:t>cell</w:t>
      </w:r>
      <w:proofErr w:type="spellEnd"/>
      <w:r w:rsidRPr="007C5271">
        <w:rPr>
          <w:rFonts w:ascii="Times" w:hAnsi="Times" w:cs="Times"/>
          <w:sz w:val="24"/>
          <w:szCs w:val="24"/>
        </w:rPr>
        <w:t xml:space="preserve"> </w:t>
      </w:r>
      <w:proofErr w:type="spellStart"/>
      <w:r w:rsidRPr="007C5271">
        <w:rPr>
          <w:rFonts w:ascii="Times" w:hAnsi="Times" w:cs="Times"/>
          <w:sz w:val="24"/>
          <w:szCs w:val="24"/>
        </w:rPr>
        <w:t>lines</w:t>
      </w:r>
      <w:proofErr w:type="spellEnd"/>
      <w:r w:rsidRPr="007C5271">
        <w:rPr>
          <w:rFonts w:ascii="Times" w:hAnsi="Times" w:cs="Times"/>
          <w:sz w:val="24"/>
          <w:szCs w:val="24"/>
        </w:rPr>
        <w:t xml:space="preserve">. </w:t>
      </w:r>
      <w:proofErr w:type="spellStart"/>
      <w:r w:rsidRPr="007C5271">
        <w:rPr>
          <w:rFonts w:ascii="Times" w:hAnsi="Times" w:cs="Times"/>
          <w:sz w:val="24"/>
          <w:szCs w:val="24"/>
        </w:rPr>
        <w:t>Nanoscale</w:t>
      </w:r>
      <w:proofErr w:type="spellEnd"/>
      <w:r w:rsidRPr="007C5271">
        <w:rPr>
          <w:rFonts w:ascii="Times" w:hAnsi="Times" w:cs="Times"/>
          <w:sz w:val="24"/>
          <w:szCs w:val="24"/>
        </w:rPr>
        <w:t>, 13, 16339.</w:t>
      </w:r>
    </w:p>
    <w:sectPr w:rsidR="00AB3D36" w:rsidRPr="007C5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96C9E"/>
    <w:multiLevelType w:val="hybridMultilevel"/>
    <w:tmpl w:val="6936CF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69"/>
    <w:rsid w:val="00013663"/>
    <w:rsid w:val="00041767"/>
    <w:rsid w:val="00042ADB"/>
    <w:rsid w:val="000D4345"/>
    <w:rsid w:val="000D73DA"/>
    <w:rsid w:val="000E1D88"/>
    <w:rsid w:val="000F4958"/>
    <w:rsid w:val="000F4F40"/>
    <w:rsid w:val="00122CC2"/>
    <w:rsid w:val="00132B94"/>
    <w:rsid w:val="00151DC7"/>
    <w:rsid w:val="00152C48"/>
    <w:rsid w:val="001555A1"/>
    <w:rsid w:val="0017566F"/>
    <w:rsid w:val="00181314"/>
    <w:rsid w:val="00181BF5"/>
    <w:rsid w:val="001F792F"/>
    <w:rsid w:val="0021672A"/>
    <w:rsid w:val="00235909"/>
    <w:rsid w:val="00236760"/>
    <w:rsid w:val="0025037F"/>
    <w:rsid w:val="002B768B"/>
    <w:rsid w:val="002E26AD"/>
    <w:rsid w:val="00320FA0"/>
    <w:rsid w:val="0032196D"/>
    <w:rsid w:val="00336F80"/>
    <w:rsid w:val="00356FDB"/>
    <w:rsid w:val="00365ACE"/>
    <w:rsid w:val="00382345"/>
    <w:rsid w:val="003A4C3A"/>
    <w:rsid w:val="003B2B2D"/>
    <w:rsid w:val="003C36B8"/>
    <w:rsid w:val="003E58D7"/>
    <w:rsid w:val="004332C2"/>
    <w:rsid w:val="00436258"/>
    <w:rsid w:val="004502D9"/>
    <w:rsid w:val="004619C5"/>
    <w:rsid w:val="00473000"/>
    <w:rsid w:val="00482D05"/>
    <w:rsid w:val="00496410"/>
    <w:rsid w:val="004A1E96"/>
    <w:rsid w:val="004B15D0"/>
    <w:rsid w:val="004B3DA0"/>
    <w:rsid w:val="004B5EC6"/>
    <w:rsid w:val="004C1EBA"/>
    <w:rsid w:val="004D5CC4"/>
    <w:rsid w:val="004D6450"/>
    <w:rsid w:val="004F41C0"/>
    <w:rsid w:val="004F4235"/>
    <w:rsid w:val="00512DBE"/>
    <w:rsid w:val="005225E2"/>
    <w:rsid w:val="00534DF0"/>
    <w:rsid w:val="00583AA8"/>
    <w:rsid w:val="005C4941"/>
    <w:rsid w:val="005E5D6A"/>
    <w:rsid w:val="00606C29"/>
    <w:rsid w:val="00630C5A"/>
    <w:rsid w:val="00643BBC"/>
    <w:rsid w:val="006B7C7E"/>
    <w:rsid w:val="006C39A9"/>
    <w:rsid w:val="006C4E10"/>
    <w:rsid w:val="006F32FD"/>
    <w:rsid w:val="0071268F"/>
    <w:rsid w:val="00736BFE"/>
    <w:rsid w:val="0074585C"/>
    <w:rsid w:val="00791AB8"/>
    <w:rsid w:val="007B432B"/>
    <w:rsid w:val="007C5271"/>
    <w:rsid w:val="007E3A80"/>
    <w:rsid w:val="007F7A62"/>
    <w:rsid w:val="00820BE4"/>
    <w:rsid w:val="00823015"/>
    <w:rsid w:val="00861706"/>
    <w:rsid w:val="00872389"/>
    <w:rsid w:val="00874B12"/>
    <w:rsid w:val="00903BD3"/>
    <w:rsid w:val="00921441"/>
    <w:rsid w:val="00937499"/>
    <w:rsid w:val="009454D8"/>
    <w:rsid w:val="00962D57"/>
    <w:rsid w:val="00966E5B"/>
    <w:rsid w:val="0098293A"/>
    <w:rsid w:val="009A0ABC"/>
    <w:rsid w:val="009F44A6"/>
    <w:rsid w:val="00A35BBA"/>
    <w:rsid w:val="00A47194"/>
    <w:rsid w:val="00A471FC"/>
    <w:rsid w:val="00AB0BC0"/>
    <w:rsid w:val="00AB3D36"/>
    <w:rsid w:val="00B177E9"/>
    <w:rsid w:val="00B6554F"/>
    <w:rsid w:val="00BA64F6"/>
    <w:rsid w:val="00BB0A23"/>
    <w:rsid w:val="00BC1582"/>
    <w:rsid w:val="00BE4509"/>
    <w:rsid w:val="00BF2BC7"/>
    <w:rsid w:val="00C27091"/>
    <w:rsid w:val="00C55C1A"/>
    <w:rsid w:val="00C62DDB"/>
    <w:rsid w:val="00C93BB6"/>
    <w:rsid w:val="00CA1F4F"/>
    <w:rsid w:val="00CA2992"/>
    <w:rsid w:val="00CC3F5F"/>
    <w:rsid w:val="00CF37EC"/>
    <w:rsid w:val="00D40E42"/>
    <w:rsid w:val="00D427FD"/>
    <w:rsid w:val="00D5120D"/>
    <w:rsid w:val="00D55933"/>
    <w:rsid w:val="00D63BA8"/>
    <w:rsid w:val="00D714AA"/>
    <w:rsid w:val="00D7541D"/>
    <w:rsid w:val="00DA21DD"/>
    <w:rsid w:val="00DA6F48"/>
    <w:rsid w:val="00DB2569"/>
    <w:rsid w:val="00DB46B4"/>
    <w:rsid w:val="00DC2398"/>
    <w:rsid w:val="00E341FF"/>
    <w:rsid w:val="00E436ED"/>
    <w:rsid w:val="00E471AF"/>
    <w:rsid w:val="00E74430"/>
    <w:rsid w:val="00EB6163"/>
    <w:rsid w:val="00F32F07"/>
    <w:rsid w:val="00FC4E68"/>
    <w:rsid w:val="00FF0034"/>
    <w:rsid w:val="00FF0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9F1C"/>
  <w15:docId w15:val="{1FD28612-2187-4015-BA32-1E58A17A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34DF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CorrespondingAuthorFootnote">
    <w:name w:val="FA_Corresponding_Author_Footnote"/>
    <w:basedOn w:val="Normal"/>
    <w:rsid w:val="00DB2569"/>
    <w:pPr>
      <w:suppressAutoHyphens/>
      <w:spacing w:line="480" w:lineRule="auto"/>
      <w:jc w:val="both"/>
    </w:pPr>
    <w:rPr>
      <w:rFonts w:ascii="Times" w:eastAsia="Times New Roman" w:hAnsi="Times" w:cs="Times New Roman"/>
      <w:kern w:val="1"/>
      <w:sz w:val="24"/>
      <w:szCs w:val="20"/>
      <w:lang w:val="en-US" w:eastAsia="ar-SA"/>
    </w:rPr>
  </w:style>
  <w:style w:type="paragraph" w:styleId="Textedebulles">
    <w:name w:val="Balloon Text"/>
    <w:basedOn w:val="Normal"/>
    <w:link w:val="TextedebullesCar"/>
    <w:uiPriority w:val="99"/>
    <w:semiHidden/>
    <w:unhideWhenUsed/>
    <w:rsid w:val="004B3D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3DA0"/>
    <w:rPr>
      <w:rFonts w:ascii="Tahoma" w:hAnsi="Tahoma" w:cs="Tahoma"/>
      <w:sz w:val="16"/>
      <w:szCs w:val="16"/>
    </w:rPr>
  </w:style>
  <w:style w:type="character" w:customStyle="1" w:styleId="Titre2Car">
    <w:name w:val="Titre 2 Car"/>
    <w:basedOn w:val="Policepardfaut"/>
    <w:link w:val="Titre2"/>
    <w:uiPriority w:val="9"/>
    <w:rsid w:val="00534DF0"/>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336F80"/>
    <w:pPr>
      <w:ind w:left="720"/>
      <w:contextualSpacing/>
    </w:pPr>
  </w:style>
  <w:style w:type="character" w:customStyle="1" w:styleId="q4iawc">
    <w:name w:val="q4iawc"/>
    <w:basedOn w:val="Policepardfaut"/>
    <w:rsid w:val="00BA64F6"/>
  </w:style>
  <w:style w:type="paragraph" w:customStyle="1" w:styleId="VDTableTitle">
    <w:name w:val="VD_Table_Title"/>
    <w:basedOn w:val="Normal"/>
    <w:rsid w:val="00BB0A23"/>
    <w:pPr>
      <w:suppressAutoHyphens/>
      <w:spacing w:line="480" w:lineRule="auto"/>
      <w:jc w:val="both"/>
    </w:pPr>
    <w:rPr>
      <w:rFonts w:ascii="Times" w:eastAsia="Times New Roman" w:hAnsi="Times" w:cs="Times New Roman"/>
      <w:kern w:val="1"/>
      <w:sz w:val="24"/>
      <w:szCs w:val="20"/>
      <w:lang w:val="en-US" w:eastAsia="ar-SA"/>
    </w:rPr>
  </w:style>
  <w:style w:type="paragraph" w:customStyle="1" w:styleId="TCTableBody">
    <w:name w:val="TC_Table_Body"/>
    <w:basedOn w:val="Normal"/>
    <w:rsid w:val="00BB0A23"/>
    <w:pPr>
      <w:suppressAutoHyphens/>
      <w:spacing w:line="240" w:lineRule="auto"/>
      <w:jc w:val="both"/>
    </w:pPr>
    <w:rPr>
      <w:rFonts w:ascii="Times" w:eastAsia="Times New Roman" w:hAnsi="Times" w:cs="Times New Roman"/>
      <w:kern w:val="1"/>
      <w:sz w:val="24"/>
      <w:szCs w:val="20"/>
      <w:lang w:val="en-US" w:eastAsia="ar-SA"/>
    </w:rPr>
  </w:style>
  <w:style w:type="character" w:customStyle="1" w:styleId="rynqvb">
    <w:name w:val="rynqvb"/>
    <w:rsid w:val="00D7541D"/>
  </w:style>
  <w:style w:type="character" w:customStyle="1" w:styleId="hwtze">
    <w:name w:val="hwtze"/>
    <w:rsid w:val="00D7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776578">
      <w:bodyDiv w:val="1"/>
      <w:marLeft w:val="0"/>
      <w:marRight w:val="0"/>
      <w:marTop w:val="0"/>
      <w:marBottom w:val="0"/>
      <w:divBdr>
        <w:top w:val="none" w:sz="0" w:space="0" w:color="auto"/>
        <w:left w:val="none" w:sz="0" w:space="0" w:color="auto"/>
        <w:bottom w:val="none" w:sz="0" w:space="0" w:color="auto"/>
        <w:right w:val="none" w:sz="0" w:space="0" w:color="auto"/>
      </w:divBdr>
    </w:div>
    <w:div w:id="1261988345">
      <w:bodyDiv w:val="1"/>
      <w:marLeft w:val="0"/>
      <w:marRight w:val="0"/>
      <w:marTop w:val="0"/>
      <w:marBottom w:val="0"/>
      <w:divBdr>
        <w:top w:val="none" w:sz="0" w:space="0" w:color="auto"/>
        <w:left w:val="none" w:sz="0" w:space="0" w:color="auto"/>
        <w:bottom w:val="none" w:sz="0" w:space="0" w:color="auto"/>
        <w:right w:val="none" w:sz="0" w:space="0" w:color="auto"/>
      </w:divBdr>
    </w:div>
    <w:div w:id="194487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3</Pages>
  <Words>687</Words>
  <Characters>3779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dc:creator>
  <cp:lastModifiedBy>scuenot</cp:lastModifiedBy>
  <cp:revision>60</cp:revision>
  <cp:lastPrinted>2024-05-24T13:25:00Z</cp:lastPrinted>
  <dcterms:created xsi:type="dcterms:W3CDTF">2022-05-09T14:16:00Z</dcterms:created>
  <dcterms:modified xsi:type="dcterms:W3CDTF">2024-07-15T09:11:00Z</dcterms:modified>
</cp:coreProperties>
</file>