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95" w:rsidRDefault="00A05D95" w:rsidP="00A05D95">
      <w:pPr>
        <w:pStyle w:val="Caption"/>
        <w:spacing w:after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</w:pPr>
      <w:bookmarkStart w:id="0" w:name="_Ref475799925"/>
      <w:r w:rsidRPr="006667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1 Appendix.</w:t>
      </w:r>
      <w:r w:rsidRPr="006667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1770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Large Marine Ecosystems (LMEs) map and characteristics.</w:t>
      </w:r>
      <w:r w:rsidRPr="0017700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</w:t>
      </w:r>
    </w:p>
    <w:p w:rsidR="0002042B" w:rsidRPr="0002042B" w:rsidRDefault="0002042B" w:rsidP="0002042B">
      <w:pPr>
        <w:rPr>
          <w:lang w:val="en-US"/>
        </w:rPr>
      </w:pPr>
    </w:p>
    <w:p w:rsidR="00A05D95" w:rsidRDefault="0002042B" w:rsidP="007019AB">
      <w:pPr>
        <w:pStyle w:val="Caption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val="da-DK" w:eastAsia="da-DK"/>
        </w:rPr>
        <w:drawing>
          <wp:inline distT="0" distB="0" distL="0" distR="0" wp14:anchorId="21CCB4DC" wp14:editId="4543117F">
            <wp:extent cx="6112933" cy="2988733"/>
            <wp:effectExtent l="0" t="0" r="2540" b="2540"/>
            <wp:docPr id="1" name="Picture 1" descr="C:\Users\auma\Documents\for submission\global change in the trophic functioning 8_05\supplementray.materials\Suppl.figs\S1 Fi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ma\Documents\for submission\global change in the trophic functioning 8_05\supplementray.materials\Suppl.figs\S1 Fig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3997"/>
                    <a:stretch/>
                  </pic:blipFill>
                  <pic:spPr bwMode="auto">
                    <a:xfrm>
                      <a:off x="0" y="0"/>
                      <a:ext cx="6124575" cy="299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5D95" w:rsidRDefault="00A05D95" w:rsidP="00A05D95">
      <w:pPr>
        <w:pStyle w:val="Caption"/>
        <w:spacing w:after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</w:pPr>
      <w:r w:rsidRPr="0017700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The 66 LMEs are represented with the corresponding official names (from </w:t>
      </w:r>
      <w:hyperlink r:id="rId8" w:history="1">
        <w:r w:rsidRPr="00885815">
          <w:rPr>
            <w:rStyle w:val="Hyperlink"/>
            <w:rFonts w:ascii="Times New Roman" w:hAnsi="Times New Roman" w:cs="Times New Roman"/>
            <w:b w:val="0"/>
            <w:color w:val="000000" w:themeColor="text1"/>
            <w:sz w:val="24"/>
            <w:szCs w:val="24"/>
            <w:lang w:val="en-US"/>
          </w:rPr>
          <w:t>www.lme.noaa.gov</w:t>
        </w:r>
      </w:hyperlink>
      <w:r w:rsidRPr="0088581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).</w:t>
      </w:r>
      <w:r w:rsidRPr="0017700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The 10 ecosystems that include the highest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frac</w:t>
      </w:r>
      <w:r w:rsidRPr="0017700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tion of overexploited and collapsed stocks are represented in red (Group 1). The 10 ecosystems that demonstrate the highest increase in sea </w:t>
      </w:r>
      <w:r w:rsidR="008E474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surface temperature between 1980-1985</w:t>
      </w:r>
      <w:r w:rsidRPr="0017700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and </w:t>
      </w:r>
      <w:r w:rsidR="008E474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2005-</w:t>
      </w:r>
      <w:bookmarkStart w:id="1" w:name="_GoBack"/>
      <w:bookmarkEnd w:id="1"/>
      <w:r w:rsidRPr="0017700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2010 are represented in orange (Group 2). The 10 LMEs excluded from the database are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listed </w:t>
      </w:r>
      <w:r w:rsidRPr="0017700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as ‘not included’.</w:t>
      </w:r>
    </w:p>
    <w:p w:rsidR="00483606" w:rsidRDefault="008E4749">
      <w:pPr>
        <w:rPr>
          <w:lang w:val="en-US"/>
        </w:rPr>
      </w:pPr>
    </w:p>
    <w:p w:rsidR="0002042B" w:rsidRDefault="0002042B" w:rsidP="0002042B">
      <w:pPr>
        <w:pStyle w:val="ListParagraph"/>
        <w:numPr>
          <w:ilvl w:val="0"/>
          <w:numId w:val="1"/>
        </w:numPr>
        <w:rPr>
          <w:lang w:val="en-US"/>
        </w:rPr>
        <w:sectPr w:rsidR="0002042B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lastRenderedPageBreak/>
        <w:t>East Bering Sea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Gulf of Alaska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California Current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Gulf of California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Gulf of Mexico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Southeast U.S. Continental Shelf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Northeast U.S. Continental Shelf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Scotian Shelf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Newfoundland-Labrador Shelf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Insular Pacific-Hawaiian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Pacific Central-American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Caribbean Sea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Humboldt Current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Patagonian Shelf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South Brazil Shelf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East Brazil Shelf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North Brazil Shelf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Canadian Eastern Arctic-West Greenland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Greenland Sea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Barents Sea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Norwegian Sea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North Sea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Baltic Sea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lastRenderedPageBreak/>
        <w:t>Celtic-Biscay Shelf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Iberian Coastal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Mediterranean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Canary Current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Guinea Current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Benguela Current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Agulhas Current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Somali Coastal Current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Arabian Sea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Red Sea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Bay of Bengal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Gulf of Thailand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South China Sea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Sulu-Celebes Sea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Indonesian Sea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North Australian Shelf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Northeast Australian Shelf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East-Central Australian Shelf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Southeast Australian Shelf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Southwest Australian Shelf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West-Central Australian Shelf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Northwest Australian Shelf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New Zealand Shelf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East China Sea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lastRenderedPageBreak/>
        <w:t>Yellow Sea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Kuroshio Current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Sea of Japan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Oyashio Current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Sea of Okhotsk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West Bering Sea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Chukchi Seas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Beaufort Sea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East Siberian Sea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Laptev Sea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Kara Sea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Iceland Shelf and Sea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Faroe Plateau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Antarctic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Black Sea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Hudson Bay Complex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Central Arctic Ocean</w:t>
      </w:r>
    </w:p>
    <w:p w:rsidR="0002042B" w:rsidRPr="00EE109D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Aleutian Islands</w:t>
      </w:r>
    </w:p>
    <w:p w:rsidR="0002042B" w:rsidRDefault="0002042B" w:rsidP="00020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 w:rsidRPr="00EE109D">
        <w:rPr>
          <w:rFonts w:ascii="Times New Roman" w:hAnsi="Times New Roman" w:cs="Times New Roman"/>
          <w:sz w:val="18"/>
          <w:szCs w:val="18"/>
          <w:lang w:val="en-US"/>
        </w:rPr>
        <w:t>Canadian High Artic-North Greenland</w:t>
      </w:r>
    </w:p>
    <w:p w:rsidR="00845987" w:rsidRDefault="00845987" w:rsidP="00845987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AD74B5" w:rsidRDefault="00AD74B5">
      <w:pPr>
        <w:rPr>
          <w:rFonts w:ascii="Times New Roman" w:hAnsi="Times New Roman" w:cs="Times New Roman"/>
          <w:sz w:val="18"/>
          <w:szCs w:val="18"/>
          <w:lang w:val="en-US"/>
        </w:rPr>
      </w:pPr>
    </w:p>
    <w:sectPr w:rsidR="00AD74B5" w:rsidSect="00D11FA9">
      <w:type w:val="continuous"/>
      <w:pgSz w:w="11906" w:h="16838"/>
      <w:pgMar w:top="1701" w:right="1134" w:bottom="1701" w:left="1134" w:header="708" w:footer="708" w:gutter="0"/>
      <w:cols w:num="3" w:space="14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C37FC"/>
    <w:multiLevelType w:val="hybridMultilevel"/>
    <w:tmpl w:val="E6C6D2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95"/>
    <w:rsid w:val="0002042B"/>
    <w:rsid w:val="00031F5F"/>
    <w:rsid w:val="0014032E"/>
    <w:rsid w:val="00223F4E"/>
    <w:rsid w:val="003F30D6"/>
    <w:rsid w:val="00436D90"/>
    <w:rsid w:val="007019AB"/>
    <w:rsid w:val="00772727"/>
    <w:rsid w:val="00845987"/>
    <w:rsid w:val="00861B94"/>
    <w:rsid w:val="008E4749"/>
    <w:rsid w:val="008F16D8"/>
    <w:rsid w:val="00A05D95"/>
    <w:rsid w:val="00AD74B5"/>
    <w:rsid w:val="00AE2FD0"/>
    <w:rsid w:val="00D11FA9"/>
    <w:rsid w:val="00E95BEE"/>
    <w:rsid w:val="00EE109D"/>
    <w:rsid w:val="00F9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D95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05D95"/>
    <w:pPr>
      <w:spacing w:line="240" w:lineRule="auto"/>
    </w:pPr>
    <w:rPr>
      <w:b/>
      <w:bCs/>
      <w:color w:val="4F81BD" w:themeColor="accent1"/>
      <w:sz w:val="18"/>
      <w:szCs w:val="1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4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D95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05D95"/>
    <w:pPr>
      <w:spacing w:line="240" w:lineRule="auto"/>
    </w:pPr>
    <w:rPr>
      <w:b/>
      <w:bCs/>
      <w:color w:val="4F81BD" w:themeColor="accent1"/>
      <w:sz w:val="18"/>
      <w:szCs w:val="1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4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me.noaa.gov" TargetMode="Externa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3200D-C074-4ECC-896C-AC312E77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 AQUA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Aurore</cp:lastModifiedBy>
  <cp:revision>11</cp:revision>
  <dcterms:created xsi:type="dcterms:W3CDTF">2017-05-08T15:22:00Z</dcterms:created>
  <dcterms:modified xsi:type="dcterms:W3CDTF">2017-07-27T08:56:00Z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id="TrRZ6jvf"/&gt;&lt;style id="http://www.zotero.org/styles/vancouver-brackets" locale="en-US" hasBibliography="1" bibliographyStyleHasBeenSet="0"/&gt;&lt;prefs&gt;&lt;pref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value="true"/&gt;&lt;pref name="noteType" value=""/&gt;&lt;/prefs&gt;&lt;/data&gt;</vt:lpwstr>
  </property>
</Properties>
</file>