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4E" w:rsidRPr="008F25B6" w:rsidRDefault="004F04FA" w:rsidP="006567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S4</w:t>
      </w:r>
      <w:r w:rsidR="0065674E" w:rsidRPr="008F2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Appendix.</w:t>
      </w:r>
      <w:proofErr w:type="gramEnd"/>
      <w:r w:rsidR="0065674E" w:rsidRPr="008F25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65674E" w:rsidRPr="008F25B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Case studies and species assemblages.</w:t>
      </w:r>
      <w:proofErr w:type="gramEnd"/>
    </w:p>
    <w:p w:rsidR="000E0BF7" w:rsidRPr="003743F9" w:rsidRDefault="000E0BF7" w:rsidP="000E0BF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For a sub-set of 6 LMEs </w:t>
      </w:r>
      <w:r w:rsidRPr="003743F9">
        <w:rPr>
          <w:rFonts w:ascii="Times New Roman" w:hAnsi="Times New Roman" w:cs="Times New Roman"/>
          <w:sz w:val="24"/>
          <w:szCs w:val="24"/>
          <w:lang w:val="en-US"/>
        </w:rPr>
        <w:t>(Scotian Shelf, Humboldt Current, North Sea, Gulf of Thailand, Kuroshio Current and Aleutian Islands)</w:t>
      </w:r>
      <w:r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>, c</w:t>
      </w:r>
      <w:r w:rsidR="001B684F">
        <w:rPr>
          <w:rFonts w:ascii="Times New Roman" w:eastAsiaTheme="minorEastAsia" w:hAnsi="Times New Roman" w:cs="Times New Roman"/>
          <w:sz w:val="24"/>
          <w:szCs w:val="24"/>
          <w:lang w:val="en-US"/>
        </w:rPr>
        <w:t>hange in species assemblages were</w:t>
      </w:r>
      <w:r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studied using partial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indicators</w:t>
      </w:r>
      <w:r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TCI</w:t>
      </w:r>
      <w:r w:rsidR="00B40A6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 ECI</w:t>
      </w:r>
      <w:r w:rsidR="00B40A6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cumulated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progressively </w:t>
      </w:r>
      <w:r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>until TL=2.5/3.0/3.5/4.0/4.5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thus searching at which TLs changes in </w:t>
      </w:r>
      <w:r w:rsidR="00B40A6F"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>TCI</w:t>
      </w:r>
      <w:r w:rsidR="00B40A6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or </w:t>
      </w:r>
      <w:r w:rsidR="00B40A6F"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>ECI</w:t>
      </w:r>
      <w:r w:rsidR="00B40A6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occurred,</w:t>
      </w:r>
      <w:r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 analyzing species parameters among the different trophic class.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For each trophic class, the taxonomic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groups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parameters and catch abundance </w:t>
      </w:r>
      <w:r w:rsidR="001B684F">
        <w:rPr>
          <w:rFonts w:ascii="Times New Roman" w:eastAsiaTheme="minorEastAsia" w:hAnsi="Times New Roman" w:cs="Times New Roman"/>
          <w:sz w:val="24"/>
          <w:szCs w:val="24"/>
          <w:lang w:val="en-US"/>
        </w:rPr>
        <w:t>were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analyzed </w:t>
      </w:r>
      <w:r w:rsidR="00BC338A">
        <w:rPr>
          <w:rFonts w:ascii="Times New Roman" w:eastAsiaTheme="minorEastAsia" w:hAnsi="Times New Roman" w:cs="Times New Roman"/>
          <w:sz w:val="24"/>
          <w:szCs w:val="24"/>
          <w:lang w:val="en-US"/>
        </w:rPr>
        <w:t>along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indicators variations </w:t>
      </w:r>
      <w:r w:rsidR="00BC338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 order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to relate variations in </w:t>
      </w:r>
      <w:r w:rsidR="00B40A6F"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>TCI</w:t>
      </w:r>
      <w:r w:rsidR="00B40A6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B40A6F"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>ECI</w:t>
      </w:r>
      <w:r w:rsidR="00B40A6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 species responsible for such variations. For instance, if in one ecosystem the </w:t>
      </w:r>
      <w:r w:rsidR="001B684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indicator </w:t>
      </w:r>
      <w:r w:rsidR="00B40A6F"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>TCI</w:t>
      </w:r>
      <w:r w:rsidR="00B40A6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</w:t>
      </w:r>
      <w:r w:rsidR="001B684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(or </w:t>
      </w:r>
      <w:r w:rsidR="00B40A6F" w:rsidRPr="003743F9">
        <w:rPr>
          <w:rFonts w:ascii="Times New Roman" w:eastAsiaTheme="minorEastAsia" w:hAnsi="Times New Roman" w:cs="Times New Roman"/>
          <w:sz w:val="24"/>
          <w:szCs w:val="24"/>
          <w:lang w:val="en-US"/>
        </w:rPr>
        <w:t>ECI</w:t>
      </w:r>
      <w:r w:rsidR="00B40A6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</w:t>
      </w:r>
      <w:r w:rsidR="001B684F">
        <w:rPr>
          <w:rFonts w:ascii="Times New Roman" w:eastAsiaTheme="minorEastAsia" w:hAnsi="Times New Roman" w:cs="Times New Roman"/>
          <w:sz w:val="24"/>
          <w:szCs w:val="24"/>
          <w:lang w:val="en-US"/>
        </w:rPr>
        <w:t>) decreased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in the trophic class 3.0-3.5, we look</w:t>
      </w:r>
      <w:r w:rsidR="001B684F">
        <w:rPr>
          <w:rFonts w:ascii="Times New Roman" w:eastAsiaTheme="minorEastAsia" w:hAnsi="Times New Roman" w:cs="Times New Roman"/>
          <w:sz w:val="24"/>
          <w:szCs w:val="24"/>
          <w:lang w:val="en-US"/>
        </w:rPr>
        <w:t>ed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for the species </w:t>
      </w:r>
      <w:r w:rsidR="0037115E">
        <w:rPr>
          <w:rFonts w:ascii="Times New Roman" w:eastAsiaTheme="minorEastAsia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corresponding trophic level </w:t>
      </w:r>
      <w:r w:rsidR="00480A0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 high P/B ratio (or low P/Q ratio) and whose abundance in the catch increased. </w:t>
      </w:r>
      <w:r w:rsidR="00F2711B">
        <w:rPr>
          <w:rFonts w:ascii="Times New Roman" w:eastAsiaTheme="minorEastAsia" w:hAnsi="Times New Roman" w:cs="Times New Roman"/>
          <w:sz w:val="24"/>
          <w:szCs w:val="24"/>
          <w:lang w:val="en-US"/>
        </w:rPr>
        <w:t>Thus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this analysis </w:t>
      </w:r>
      <w:r w:rsidR="001B684F">
        <w:rPr>
          <w:rFonts w:ascii="Times New Roman" w:eastAsiaTheme="minorEastAsia" w:hAnsi="Times New Roman" w:cs="Times New Roman"/>
          <w:sz w:val="24"/>
          <w:szCs w:val="24"/>
          <w:lang w:val="en-US"/>
        </w:rPr>
        <w:t>was</w:t>
      </w:r>
      <w:r w:rsidR="00F2711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using the progressively cumulated indicators along the trophic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class,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species catch abundance per trophic class since 1950 and the species corresponding parameters.</w:t>
      </w:r>
    </w:p>
    <w:p w:rsidR="000E0BF7" w:rsidRDefault="000E0BF7" w:rsidP="0065674E">
      <w:pPr>
        <w:pStyle w:val="Caption"/>
        <w:spacing w:after="0" w:line="48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</w:p>
    <w:p w:rsidR="0065674E" w:rsidRDefault="0065674E" w:rsidP="0065674E">
      <w:pPr>
        <w:pStyle w:val="Caption"/>
        <w:spacing w:after="0" w:line="48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8047C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There </w:t>
      </w:r>
      <w:r w:rsidR="00FD66D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was</w:t>
      </w:r>
      <w:r w:rsidRPr="008047C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a great variability in the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trophic</w:t>
      </w:r>
      <w:r w:rsidRPr="008047C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functioning of the six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ecosystems </w:t>
      </w:r>
      <w:r w:rsidR="00750FB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used</w:t>
      </w:r>
      <w:r w:rsidRPr="008047C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as case studies. </w:t>
      </w:r>
      <w:r w:rsidRPr="008047C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Indicators comput</w:t>
      </w:r>
      <w:r w:rsidR="00336DE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ed for increasing ranges of TLs</w:t>
      </w:r>
      <w:r w:rsidRPr="008047C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provide</w:t>
      </w:r>
      <w:r w:rsidR="00FD66D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d</w:t>
      </w:r>
      <w:r w:rsidRPr="008047C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a more comprehensive understanding of changes that have occurred sinc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e</w:t>
      </w:r>
      <w:r w:rsidRPr="008047C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1950</w:t>
      </w:r>
      <w:r w:rsidR="00592D4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.</w:t>
      </w:r>
    </w:p>
    <w:p w:rsidR="004D641C" w:rsidRPr="00251AF4" w:rsidRDefault="00251AF4" w:rsidP="004D641C">
      <w:pPr>
        <w:jc w:val="center"/>
        <w:rPr>
          <w:lang w:val="en-US"/>
        </w:rPr>
      </w:pPr>
      <w:r>
        <w:rPr>
          <w:noProof/>
          <w:lang w:eastAsia="da-DK"/>
        </w:rPr>
        <w:lastRenderedPageBreak/>
        <w:drawing>
          <wp:inline distT="0" distB="0" distL="0" distR="0">
            <wp:extent cx="4643120" cy="5939665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S1 Appendix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650" cy="59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74E" w:rsidRPr="00A85024" w:rsidRDefault="0065674E" w:rsidP="0065674E">
      <w:pPr>
        <w:pStyle w:val="Caption"/>
        <w:jc w:val="both"/>
        <w:rPr>
          <w:rFonts w:ascii="Times New Roman" w:hAnsi="Times New Roman" w:cs="Times New Roman"/>
          <w:lang w:val="en-US"/>
        </w:rPr>
      </w:pPr>
      <w:bookmarkStart w:id="0" w:name="_Ref469933822"/>
      <w:proofErr w:type="gramStart"/>
      <w:r w:rsidRPr="00A850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</w:t>
      </w:r>
      <w:bookmarkEnd w:id="0"/>
      <w:r w:rsidR="00166D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A850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A850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Time and efficiency </w:t>
      </w:r>
      <w:r w:rsidRPr="00A85024">
        <w:rPr>
          <w:rFonts w:ascii="Times New Roman" w:hAnsi="Times New Roman" w:cs="Times New Roman"/>
          <w:color w:val="000000" w:themeColor="text1"/>
          <w:sz w:val="24"/>
          <w:szCs w:val="20"/>
          <w:lang w:val="en-US"/>
        </w:rPr>
        <w:t xml:space="preserve">cumulated </w:t>
      </w:r>
      <w:r>
        <w:rPr>
          <w:rFonts w:ascii="Times New Roman" w:hAnsi="Times New Roman" w:cs="Times New Roman"/>
          <w:color w:val="000000" w:themeColor="text1"/>
          <w:sz w:val="24"/>
          <w:szCs w:val="20"/>
          <w:lang w:val="en-US"/>
        </w:rPr>
        <w:t xml:space="preserve">indicators, computed between TL=2.0 and TL=b (for increasing b, from 2.5 to 4.5), in </w:t>
      </w:r>
      <w:r w:rsidRPr="00A85024">
        <w:rPr>
          <w:rFonts w:ascii="Times New Roman" w:hAnsi="Times New Roman" w:cs="Times New Roman"/>
          <w:color w:val="000000" w:themeColor="text1"/>
          <w:sz w:val="24"/>
          <w:szCs w:val="20"/>
          <w:lang w:val="en-US"/>
        </w:rPr>
        <w:t>six LMEs</w:t>
      </w:r>
      <w:r>
        <w:rPr>
          <w:rFonts w:ascii="Times New Roman" w:hAnsi="Times New Roman" w:cs="Times New Roman"/>
          <w:color w:val="000000" w:themeColor="text1"/>
          <w:sz w:val="24"/>
          <w:szCs w:val="20"/>
          <w:lang w:val="en-US"/>
        </w:rPr>
        <w:t xml:space="preserve"> selected as case studies</w:t>
      </w:r>
      <w:r w:rsidRPr="00A85024">
        <w:rPr>
          <w:rFonts w:ascii="Times New Roman" w:hAnsi="Times New Roman" w:cs="Times New Roman"/>
          <w:color w:val="000000" w:themeColor="text1"/>
          <w:sz w:val="24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>L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>eft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>: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 xml:space="preserve">  relative </w:t>
      </w:r>
      <w:r w:rsidR="00B40A6F" w:rsidRPr="00B40A6F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 xml:space="preserve"> to 1950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>;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>R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>ight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>: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 xml:space="preserve"> relative</w:t>
      </w:r>
      <w:r w:rsidRPr="00B40A6F"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 xml:space="preserve">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B40A6F"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0"/>
          <w:lang w:val="en-US"/>
        </w:rPr>
        <w:t>to 1950</w:t>
      </w:r>
    </w:p>
    <w:p w:rsidR="0065674E" w:rsidRPr="003743F9" w:rsidRDefault="0065674E" w:rsidP="0065674E">
      <w:pPr>
        <w:pStyle w:val="Caption"/>
        <w:spacing w:after="0" w:line="48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Scotian Shelf ecosystem (</w:t>
      </w:r>
      <w:r w:rsidR="00B40A6F" w:rsidRPr="00B40A6F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cluster 1, </w:t>
      </w:r>
      <w:r w:rsidR="00B40A6F" w:rsidRPr="00B40A6F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cluster 4) </w:t>
      </w:r>
      <w:r w:rsidR="00FD66D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was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characterized by a significant drop in the fisheries catch from more than 2.2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="00336DE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million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of tons in the 60s to 300,000 </w:t>
      </w:r>
      <w:r w:rsidR="00FD66D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tons in the recent period. The 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70s </w:t>
      </w:r>
      <w:r w:rsidR="00FD66D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were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marked by the strong decrease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in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catch and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by a large 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change in the species composition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explaining the trends observed in both indicators, especially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for trophic levels higher than 3.0. The biomass flow properties </w:t>
      </w:r>
      <w:r w:rsidR="00E0326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were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no longer determined by the Gulf menhaden 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lastRenderedPageBreak/>
        <w:t>(TL=3.2)</w:t>
      </w:r>
      <w:r w:rsidRPr="003743F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, Sebastes 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genus (TL=3.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8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), Winter flounder</w:t>
      </w:r>
      <w:r w:rsidRPr="003743F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TL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=3.6)</w:t>
      </w:r>
      <w:r w:rsidRPr="003743F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, 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Atlantic cod</w:t>
      </w:r>
      <w:r w:rsidRPr="003743F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(TL=4.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1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)</w:t>
      </w:r>
      <w:r w:rsidRPr="003743F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743F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Merluccius</w:t>
      </w:r>
      <w:proofErr w:type="spellEnd"/>
      <w:r w:rsidRPr="003743F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genus but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rather by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species with higher conversion efficiency and s</w:t>
      </w:r>
      <w:r w:rsidR="009B687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horter residence time: 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Snow crab (TL=2.3), Atlantic rock crab (TL=2.6), Northern shrimp (TL=3.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1</w:t>
      </w:r>
      <w:r w:rsidRPr="003743F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), the American lobster (TL=3.7) and the Atlantic mackerel (TL=3.63).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Such kind of change towards lower trophic levels and invertebrates clearly reflect</w:t>
      </w:r>
      <w:r w:rsidR="00E0326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a strong overfishing of predator fishes and an overall fishing down the food web process.</w:t>
      </w:r>
    </w:p>
    <w:p w:rsidR="0065674E" w:rsidRPr="003743F9" w:rsidRDefault="0065674E" w:rsidP="006567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3743F9">
        <w:rPr>
          <w:rFonts w:ascii="Times New Roman" w:hAnsi="Times New Roman" w:cs="Times New Roman"/>
          <w:sz w:val="24"/>
          <w:lang w:val="en-US"/>
        </w:rPr>
        <w:t>The Humboldt Curren</w:t>
      </w:r>
      <w:r w:rsidRPr="00B40A6F">
        <w:rPr>
          <w:rFonts w:ascii="Times New Roman" w:hAnsi="Times New Roman" w:cs="Times New Roman"/>
          <w:sz w:val="24"/>
          <w:lang w:val="en-US"/>
        </w:rPr>
        <w:t>t LME (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cluste</w:t>
      </w:r>
      <w:r w:rsidR="00E03264" w:rsidRPr="00B40A6F">
        <w:rPr>
          <w:rFonts w:ascii="Times New Roman" w:hAnsi="Times New Roman" w:cs="Times New Roman"/>
          <w:sz w:val="24"/>
          <w:lang w:val="en-US"/>
        </w:rPr>
        <w:t xml:space="preserve">r 3,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="00E03264" w:rsidRPr="00B40A6F">
        <w:rPr>
          <w:rFonts w:ascii="Times New Roman" w:hAnsi="Times New Roman" w:cs="Times New Roman"/>
          <w:sz w:val="24"/>
          <w:lang w:val="en-US"/>
        </w:rPr>
        <w:t xml:space="preserve"> cluster 2) demonstrated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very different trends, in part due to the transition between small pelagic species. When the Peruvian </w:t>
      </w:r>
      <w:proofErr w:type="spellStart"/>
      <w:r w:rsidRPr="00B40A6F">
        <w:rPr>
          <w:rFonts w:ascii="Times New Roman" w:hAnsi="Times New Roman" w:cs="Times New Roman"/>
          <w:sz w:val="24"/>
          <w:lang w:val="en-US"/>
        </w:rPr>
        <w:t>Anchoveta</w:t>
      </w:r>
      <w:proofErr w:type="spellEnd"/>
      <w:r w:rsidRPr="00B40A6F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B40A6F">
        <w:rPr>
          <w:rFonts w:ascii="Times New Roman" w:hAnsi="Times New Roman" w:cs="Times New Roman"/>
          <w:i/>
          <w:sz w:val="24"/>
          <w:lang w:val="en-US"/>
        </w:rPr>
        <w:t>Engraulis</w:t>
      </w:r>
      <w:proofErr w:type="spellEnd"/>
      <w:r w:rsidRPr="00B40A6F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B40A6F">
        <w:rPr>
          <w:rFonts w:ascii="Times New Roman" w:hAnsi="Times New Roman" w:cs="Times New Roman"/>
          <w:i/>
          <w:sz w:val="24"/>
          <w:lang w:val="en-US"/>
        </w:rPr>
        <w:t>ringens</w:t>
      </w:r>
      <w:proofErr w:type="spellEnd"/>
      <w:r w:rsidRPr="00B40A6F">
        <w:rPr>
          <w:rFonts w:ascii="Times New Roman" w:hAnsi="Times New Roman" w:cs="Times New Roman"/>
          <w:sz w:val="24"/>
          <w:lang w:val="en-US"/>
        </w:rPr>
        <w:t xml:space="preserve">, TL=2.7) </w:t>
      </w:r>
      <w:r w:rsidR="00E03264" w:rsidRPr="00B40A6F">
        <w:rPr>
          <w:rFonts w:ascii="Times New Roman" w:hAnsi="Times New Roman" w:cs="Times New Roman"/>
          <w:sz w:val="24"/>
          <w:lang w:val="en-US"/>
        </w:rPr>
        <w:t>was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abundant, the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increase</w:t>
      </w:r>
      <w:r w:rsidR="00E03264" w:rsidRPr="00B40A6F">
        <w:rPr>
          <w:rFonts w:ascii="Times New Roman" w:hAnsi="Times New Roman" w:cs="Times New Roman"/>
          <w:sz w:val="24"/>
          <w:lang w:val="en-US"/>
        </w:rPr>
        <w:t>d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and the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decrease</w:t>
      </w:r>
      <w:r w:rsidR="00E03264" w:rsidRPr="00B40A6F">
        <w:rPr>
          <w:rFonts w:ascii="Times New Roman" w:hAnsi="Times New Roman" w:cs="Times New Roman"/>
          <w:sz w:val="24"/>
          <w:lang w:val="en-US"/>
        </w:rPr>
        <w:t>d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since this species is two times more efficient than the South American Pilchard (</w:t>
      </w:r>
      <w:proofErr w:type="spellStart"/>
      <w:r w:rsidRPr="00B40A6F">
        <w:rPr>
          <w:rFonts w:ascii="Times New Roman" w:hAnsi="Times New Roman" w:cs="Times New Roman"/>
          <w:i/>
          <w:sz w:val="24"/>
          <w:lang w:val="en-US"/>
        </w:rPr>
        <w:t>Sardinops</w:t>
      </w:r>
      <w:proofErr w:type="spellEnd"/>
      <w:r w:rsidRPr="00B40A6F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B40A6F">
        <w:rPr>
          <w:rFonts w:ascii="Times New Roman" w:hAnsi="Times New Roman" w:cs="Times New Roman"/>
          <w:i/>
          <w:sz w:val="24"/>
          <w:lang w:val="en-US"/>
        </w:rPr>
        <w:t>sagax</w:t>
      </w:r>
      <w:proofErr w:type="spellEnd"/>
      <w:r w:rsidRPr="00B40A6F">
        <w:rPr>
          <w:rFonts w:ascii="Times New Roman" w:hAnsi="Times New Roman" w:cs="Times New Roman"/>
          <w:sz w:val="24"/>
          <w:lang w:val="en-US"/>
        </w:rPr>
        <w:t xml:space="preserve">, TL=2.8). The drop in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concordant with the peak in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during the 80s-90s </w:t>
      </w:r>
      <w:r w:rsidR="00E03264" w:rsidRPr="00B40A6F">
        <w:rPr>
          <w:rFonts w:ascii="Times New Roman" w:hAnsi="Times New Roman" w:cs="Times New Roman"/>
          <w:sz w:val="24"/>
          <w:lang w:val="en-US"/>
        </w:rPr>
        <w:t>was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due to the abundance of pilchard. From the trophic class 3.0-3.5, the increasing presence of the Chilean Jack Mackerel (TL=3.3) induces a loss of trophic efficiency and lon</w:t>
      </w:r>
      <w:r w:rsidR="009B6876" w:rsidRPr="00B40A6F">
        <w:rPr>
          <w:rFonts w:ascii="Times New Roman" w:hAnsi="Times New Roman" w:cs="Times New Roman"/>
          <w:sz w:val="24"/>
          <w:lang w:val="en-US"/>
        </w:rPr>
        <w:t>ger time of transfers</w:t>
      </w:r>
      <w:r w:rsidRPr="00B40A6F">
        <w:rPr>
          <w:rFonts w:ascii="Times New Roman" w:hAnsi="Times New Roman" w:cs="Times New Roman"/>
          <w:sz w:val="24"/>
          <w:lang w:val="en-US"/>
        </w:rPr>
        <w:t>. Starting in the 2000s, an increase in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="00B40A6F" w:rsidRPr="00B40A6F">
        <w:rPr>
          <w:rFonts w:ascii="Times New Roman" w:hAnsi="Times New Roman" w:cs="Times New Roman"/>
          <w:sz w:val="24"/>
          <w:lang w:val="en-US"/>
        </w:rPr>
        <w:t xml:space="preserve"> 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and a decrease in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</w:t>
      </w:r>
      <w:r w:rsidR="00E03264" w:rsidRPr="00B40A6F">
        <w:rPr>
          <w:rFonts w:ascii="Times New Roman" w:hAnsi="Times New Roman" w:cs="Times New Roman"/>
          <w:sz w:val="24"/>
          <w:lang w:val="en-US"/>
        </w:rPr>
        <w:t>were</w:t>
      </w:r>
      <w:r w:rsidRPr="00B40A6F">
        <w:rPr>
          <w:rFonts w:ascii="Times New Roman" w:hAnsi="Times New Roman" w:cs="Times New Roman"/>
          <w:sz w:val="24"/>
          <w:lang w:val="en-US"/>
        </w:rPr>
        <w:t xml:space="preserve"> observed</w:t>
      </w:r>
      <w:r w:rsidRPr="003743F9">
        <w:rPr>
          <w:rFonts w:ascii="Times New Roman" w:hAnsi="Times New Roman" w:cs="Times New Roman"/>
          <w:sz w:val="24"/>
          <w:lang w:val="en-US"/>
        </w:rPr>
        <w:t>, due to the emergence of the Chilean silverside (TL=4.0), the Southern blue whiting (TL=3.</w:t>
      </w:r>
      <w:r>
        <w:rPr>
          <w:rFonts w:ascii="Times New Roman" w:hAnsi="Times New Roman" w:cs="Times New Roman"/>
          <w:sz w:val="24"/>
          <w:lang w:val="en-US"/>
        </w:rPr>
        <w:t>8</w:t>
      </w:r>
      <w:r w:rsidRPr="003743F9">
        <w:rPr>
          <w:rFonts w:ascii="Times New Roman" w:hAnsi="Times New Roman" w:cs="Times New Roman"/>
          <w:sz w:val="24"/>
          <w:lang w:val="en-US"/>
        </w:rPr>
        <w:t>), the Jumbo flying squid (TL=4.1) and the Common dolphinfish (TL=4.</w:t>
      </w:r>
      <w:r>
        <w:rPr>
          <w:rFonts w:ascii="Times New Roman" w:hAnsi="Times New Roman" w:cs="Times New Roman"/>
          <w:sz w:val="24"/>
          <w:lang w:val="en-US"/>
        </w:rPr>
        <w:t>4</w:t>
      </w:r>
      <w:r w:rsidRPr="003743F9">
        <w:rPr>
          <w:rFonts w:ascii="Times New Roman" w:hAnsi="Times New Roman" w:cs="Times New Roman"/>
          <w:sz w:val="24"/>
          <w:lang w:val="en-US"/>
        </w:rPr>
        <w:t>).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74D80">
        <w:rPr>
          <w:rFonts w:ascii="Times New Roman" w:hAnsi="Times New Roman" w:cs="Times New Roman"/>
          <w:sz w:val="24"/>
          <w:lang w:val="en-US"/>
        </w:rPr>
        <w:t>Such an evolution thus reflect</w:t>
      </w:r>
      <w:r w:rsidR="00E03264">
        <w:rPr>
          <w:rFonts w:ascii="Times New Roman" w:hAnsi="Times New Roman" w:cs="Times New Roman"/>
          <w:sz w:val="24"/>
          <w:lang w:val="en-US"/>
        </w:rPr>
        <w:t>ed</w:t>
      </w:r>
      <w:r w:rsidRPr="00A74D80">
        <w:rPr>
          <w:rFonts w:ascii="Times New Roman" w:hAnsi="Times New Roman" w:cs="Times New Roman"/>
          <w:sz w:val="24"/>
          <w:lang w:val="en-US"/>
        </w:rPr>
        <w:t xml:space="preserve"> the environment-induced alternations between two smal</w:t>
      </w:r>
      <w:r>
        <w:rPr>
          <w:rFonts w:ascii="Times New Roman" w:hAnsi="Times New Roman" w:cs="Times New Roman"/>
          <w:sz w:val="24"/>
          <w:lang w:val="en-US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pelagics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and the recent expa</w:t>
      </w:r>
      <w:r w:rsidRPr="00A74D80">
        <w:rPr>
          <w:rFonts w:ascii="Times New Roman" w:hAnsi="Times New Roman" w:cs="Times New Roman"/>
          <w:sz w:val="24"/>
          <w:lang w:val="en-US"/>
        </w:rPr>
        <w:t>nsion of fisheries towards high trophic levels.</w:t>
      </w:r>
    </w:p>
    <w:p w:rsidR="0065674E" w:rsidRPr="003743F9" w:rsidRDefault="0065674E" w:rsidP="006567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3743F9">
        <w:rPr>
          <w:rFonts w:ascii="Times New Roman" w:hAnsi="Times New Roman" w:cs="Times New Roman"/>
          <w:sz w:val="24"/>
          <w:lang w:val="en-US"/>
        </w:rPr>
        <w:t>Concerning the North Sea (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cluster 3, ECI</w:t>
      </w:r>
      <w:r w:rsidR="00B40A6F">
        <w:rPr>
          <w:rFonts w:ascii="Times New Roman" w:hAnsi="Times New Roman" w:cs="Times New Roman"/>
          <w:sz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cluster 1), a </w:t>
      </w:r>
      <w:r>
        <w:rPr>
          <w:rFonts w:ascii="Times New Roman" w:hAnsi="Times New Roman" w:cs="Times New Roman"/>
          <w:sz w:val="24"/>
          <w:lang w:val="en-US"/>
        </w:rPr>
        <w:t xml:space="preserve">significant 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decrease in the </w:t>
      </w:r>
      <w:r>
        <w:rPr>
          <w:rFonts w:ascii="Times New Roman" w:hAnsi="Times New Roman" w:cs="Times New Roman"/>
          <w:sz w:val="24"/>
          <w:lang w:val="en-US"/>
        </w:rPr>
        <w:t>trophic efficiency indicator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 xml:space="preserve">by 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30-40% since 1950) and a slight increase in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</w:t>
      </w:r>
      <w:r w:rsidR="00E03264">
        <w:rPr>
          <w:rFonts w:ascii="Times New Roman" w:hAnsi="Times New Roman" w:cs="Times New Roman"/>
          <w:sz w:val="24"/>
          <w:lang w:val="en-US"/>
        </w:rPr>
        <w:t>were</w:t>
      </w:r>
      <w:r>
        <w:rPr>
          <w:rFonts w:ascii="Times New Roman" w:hAnsi="Times New Roman" w:cs="Times New Roman"/>
          <w:sz w:val="24"/>
          <w:lang w:val="en-US"/>
        </w:rPr>
        <w:t xml:space="preserve"> highlighted</w:t>
      </w:r>
      <w:r w:rsidRPr="003743F9">
        <w:rPr>
          <w:rFonts w:ascii="Times New Roman" w:hAnsi="Times New Roman" w:cs="Times New Roman"/>
          <w:sz w:val="24"/>
          <w:lang w:val="en-US"/>
        </w:rPr>
        <w:t>. The higher proportion of the European sprat (TL=3.0) might have induced longer times of transfer</w:t>
      </w:r>
      <w:r>
        <w:rPr>
          <w:rFonts w:ascii="Times New Roman" w:hAnsi="Times New Roman" w:cs="Times New Roman"/>
          <w:sz w:val="24"/>
          <w:lang w:val="en-US"/>
        </w:rPr>
        <w:t xml:space="preserve"> at rather low trophic levels</w:t>
      </w:r>
      <w:r w:rsidRPr="003743F9">
        <w:rPr>
          <w:rFonts w:ascii="Times New Roman" w:hAnsi="Times New Roman" w:cs="Times New Roman"/>
          <w:sz w:val="24"/>
          <w:lang w:val="en-US"/>
        </w:rPr>
        <w:t>. The clear replacement of the Atlantic herring (TL=3.</w:t>
      </w:r>
      <w:r>
        <w:rPr>
          <w:rFonts w:ascii="Times New Roman" w:hAnsi="Times New Roman" w:cs="Times New Roman"/>
          <w:sz w:val="24"/>
          <w:lang w:val="en-US"/>
        </w:rPr>
        <w:t>4</w:t>
      </w:r>
      <w:r w:rsidRPr="003743F9">
        <w:rPr>
          <w:rFonts w:ascii="Times New Roman" w:hAnsi="Times New Roman" w:cs="Times New Roman"/>
          <w:sz w:val="24"/>
          <w:lang w:val="en-US"/>
        </w:rPr>
        <w:t>) by Sand eels (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Ammodytes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>, TL=3.1) and Sand lances (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Ammodytidae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, TL=3.1) induced faster and less efficient transfers in the ecosystem. </w:t>
      </w:r>
      <w:r>
        <w:rPr>
          <w:rFonts w:ascii="Times New Roman" w:hAnsi="Times New Roman" w:cs="Times New Roman"/>
          <w:sz w:val="24"/>
          <w:lang w:val="en-US"/>
        </w:rPr>
        <w:t>At higher trophic level t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he emergence of the Atlantic horse mackerel </w:t>
      </w:r>
      <w:r w:rsidRPr="003743F9">
        <w:rPr>
          <w:rFonts w:ascii="Times New Roman" w:hAnsi="Times New Roman" w:cs="Times New Roman"/>
          <w:sz w:val="24"/>
          <w:lang w:val="en-US"/>
        </w:rPr>
        <w:lastRenderedPageBreak/>
        <w:t xml:space="preserve">(TL=3.7) in the catch since the 80s-90s induced </w:t>
      </w:r>
      <w:r>
        <w:rPr>
          <w:rFonts w:ascii="Times New Roman" w:hAnsi="Times New Roman" w:cs="Times New Roman"/>
          <w:sz w:val="24"/>
          <w:lang w:val="en-US"/>
        </w:rPr>
        <w:t xml:space="preserve">even 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less efficient and faster transfers </w:t>
      </w:r>
      <w:r>
        <w:rPr>
          <w:rFonts w:ascii="Times New Roman" w:hAnsi="Times New Roman" w:cs="Times New Roman"/>
          <w:sz w:val="24"/>
          <w:lang w:val="en-US"/>
        </w:rPr>
        <w:t>Overexploitation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lang w:val="en-US"/>
        </w:rPr>
        <w:t xml:space="preserve">the 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Atlantic cod and other 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Gadidae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reinforced these trends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 xml:space="preserve">because </w:t>
      </w:r>
      <w:r w:rsidRPr="003743F9">
        <w:rPr>
          <w:rFonts w:ascii="Times New Roman" w:hAnsi="Times New Roman" w:cs="Times New Roman"/>
          <w:sz w:val="24"/>
          <w:lang w:val="en-US"/>
        </w:rPr>
        <w:t>the remaining species are less efficient and generate faster transfers: the Atlantic bonito (TL=4.5) and the Blue whiting (TL=4.1).</w:t>
      </w:r>
    </w:p>
    <w:p w:rsidR="0065674E" w:rsidRPr="003743F9" w:rsidRDefault="0065674E" w:rsidP="006567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3743F9">
        <w:rPr>
          <w:rFonts w:ascii="Times New Roman" w:hAnsi="Times New Roman" w:cs="Times New Roman"/>
          <w:sz w:val="24"/>
          <w:lang w:val="en-US"/>
        </w:rPr>
        <w:t>For the tropical Gulf of Thailand ecosystem (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cluster 2,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cluster 2), the </w:t>
      </w:r>
      <w:r>
        <w:rPr>
          <w:rFonts w:ascii="Times New Roman" w:hAnsi="Times New Roman" w:cs="Times New Roman"/>
          <w:sz w:val="24"/>
          <w:lang w:val="en-US"/>
        </w:rPr>
        <w:t xml:space="preserve">observed 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change </w:t>
      </w:r>
      <w:r>
        <w:rPr>
          <w:rFonts w:ascii="Times New Roman" w:hAnsi="Times New Roman" w:cs="Times New Roman"/>
          <w:sz w:val="24"/>
          <w:lang w:val="en-US"/>
        </w:rPr>
        <w:t>is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partly </w:t>
      </w:r>
      <w:r w:rsidRPr="003743F9">
        <w:rPr>
          <w:rFonts w:ascii="Times New Roman" w:hAnsi="Times New Roman" w:cs="Times New Roman"/>
          <w:sz w:val="24"/>
          <w:lang w:val="en-US"/>
        </w:rPr>
        <w:t>due to the development of the cnidarians fisheries (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Cnidaria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>, TL=2.5)</w:t>
      </w:r>
      <w:r>
        <w:rPr>
          <w:rFonts w:ascii="Times New Roman" w:hAnsi="Times New Roman" w:cs="Times New Roman"/>
          <w:sz w:val="24"/>
          <w:lang w:val="en-US"/>
        </w:rPr>
        <w:t>, which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induc</w:t>
      </w:r>
      <w:r>
        <w:rPr>
          <w:rFonts w:ascii="Times New Roman" w:hAnsi="Times New Roman" w:cs="Times New Roman"/>
          <w:sz w:val="24"/>
          <w:lang w:val="en-US"/>
        </w:rPr>
        <w:t>ed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a sudden increase </w:t>
      </w:r>
      <w:r>
        <w:rPr>
          <w:rFonts w:ascii="Times New Roman" w:hAnsi="Times New Roman" w:cs="Times New Roman"/>
          <w:sz w:val="24"/>
          <w:lang w:val="en-US"/>
        </w:rPr>
        <w:t>in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and decrease </w:t>
      </w:r>
      <w:r>
        <w:rPr>
          <w:rFonts w:ascii="Times New Roman" w:hAnsi="Times New Roman" w:cs="Times New Roman"/>
          <w:sz w:val="24"/>
          <w:lang w:val="en-US"/>
        </w:rPr>
        <w:t>in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in the </w:t>
      </w:r>
      <w:r>
        <w:rPr>
          <w:rFonts w:ascii="Times New Roman" w:hAnsi="Times New Roman" w:cs="Times New Roman"/>
          <w:sz w:val="24"/>
          <w:lang w:val="en-US"/>
        </w:rPr>
        <w:t xml:space="preserve">early </w:t>
      </w:r>
      <w:r w:rsidRPr="003743F9">
        <w:rPr>
          <w:rFonts w:ascii="Times New Roman" w:hAnsi="Times New Roman" w:cs="Times New Roman"/>
          <w:sz w:val="24"/>
          <w:lang w:val="en-US"/>
        </w:rPr>
        <w:t>70s. The decrease of the</w:t>
      </w:r>
      <w:r w:rsidRPr="003743F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Mugilidae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 species </w:t>
      </w:r>
      <w:r w:rsidR="00E03264">
        <w:rPr>
          <w:rFonts w:ascii="Times New Roman" w:hAnsi="Times New Roman" w:cs="Times New Roman"/>
          <w:sz w:val="24"/>
          <w:lang w:val="en-US"/>
        </w:rPr>
        <w:t>was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accompanied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by a replacement </w:t>
      </w:r>
      <w:r>
        <w:rPr>
          <w:rFonts w:ascii="Times New Roman" w:hAnsi="Times New Roman" w:cs="Times New Roman"/>
          <w:sz w:val="24"/>
          <w:lang w:val="en-US"/>
        </w:rPr>
        <w:t>by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shrimps species and </w:t>
      </w:r>
      <w:proofErr w:type="spellStart"/>
      <w:r w:rsidRPr="003743F9">
        <w:rPr>
          <w:rFonts w:ascii="Times New Roman" w:hAnsi="Times New Roman" w:cs="Times New Roman"/>
          <w:sz w:val="24"/>
          <w:lang w:val="en-US"/>
        </w:rPr>
        <w:t>Sardinellas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 (TL=2.</w:t>
      </w:r>
      <w:r>
        <w:rPr>
          <w:rFonts w:ascii="Times New Roman" w:hAnsi="Times New Roman" w:cs="Times New Roman"/>
          <w:sz w:val="24"/>
          <w:lang w:val="en-US"/>
        </w:rPr>
        <w:t>8</w:t>
      </w:r>
      <w:r w:rsidRPr="003743F9">
        <w:rPr>
          <w:rFonts w:ascii="Times New Roman" w:hAnsi="Times New Roman" w:cs="Times New Roman"/>
          <w:sz w:val="24"/>
          <w:lang w:val="en-US"/>
        </w:rPr>
        <w:t>), more efficient</w:t>
      </w:r>
      <w:r>
        <w:rPr>
          <w:rFonts w:ascii="Times New Roman" w:hAnsi="Times New Roman" w:cs="Times New Roman"/>
          <w:sz w:val="24"/>
          <w:lang w:val="en-US"/>
        </w:rPr>
        <w:t xml:space="preserve"> in trophic transfers, while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3743F9">
        <w:rPr>
          <w:rFonts w:ascii="Times New Roman" w:hAnsi="Times New Roman" w:cs="Times New Roman"/>
          <w:sz w:val="24"/>
          <w:lang w:val="en-US"/>
        </w:rPr>
        <w:t>onguefishes induce</w:t>
      </w:r>
      <w:r w:rsidR="00E03264">
        <w:rPr>
          <w:rFonts w:ascii="Times New Roman" w:hAnsi="Times New Roman" w:cs="Times New Roman"/>
          <w:sz w:val="24"/>
          <w:lang w:val="en-US"/>
        </w:rPr>
        <w:t>d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slower transfers (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Cynoglossidae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>, TL=3.2), just as Breams (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Nemipteridae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>, TL=3.5). However, the increasing proportion of Jacks (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Carangidae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>, TL=4.0) and Lizardfishes (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Synodontidae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, TL=4.3) induced another increase of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and decrease in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compared to the 50s when the King Mackerel was more abundant (TL=4.</w:t>
      </w:r>
      <w:r>
        <w:rPr>
          <w:rFonts w:ascii="Times New Roman" w:hAnsi="Times New Roman" w:cs="Times New Roman"/>
          <w:sz w:val="24"/>
          <w:lang w:val="en-US"/>
        </w:rPr>
        <w:t>3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). </w:t>
      </w:r>
      <w:r w:rsidRPr="00A242AF">
        <w:rPr>
          <w:rFonts w:ascii="Times New Roman" w:hAnsi="Times New Roman" w:cs="Times New Roman"/>
          <w:sz w:val="24"/>
          <w:lang w:val="en-US"/>
        </w:rPr>
        <w:t xml:space="preserve">Overall, the various effects offset each other for the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A242AF">
        <w:rPr>
          <w:rFonts w:ascii="Times New Roman" w:hAnsi="Times New Roman" w:cs="Times New Roman"/>
          <w:sz w:val="24"/>
          <w:lang w:val="en-US"/>
        </w:rPr>
        <w:t xml:space="preserve"> indicator, thus inducing almost no change</w:t>
      </w:r>
      <w:r>
        <w:rPr>
          <w:rFonts w:ascii="Times New Roman" w:hAnsi="Times New Roman" w:cs="Times New Roman"/>
          <w:sz w:val="24"/>
          <w:lang w:val="en-US"/>
        </w:rPr>
        <w:t xml:space="preserve"> in the time cumulated indicator be</w:t>
      </w:r>
      <w:r w:rsidRPr="00A242AF">
        <w:rPr>
          <w:rFonts w:ascii="Times New Roman" w:hAnsi="Times New Roman" w:cs="Times New Roman"/>
          <w:sz w:val="24"/>
          <w:lang w:val="en-US"/>
        </w:rPr>
        <w:t>tween trophic lev</w:t>
      </w:r>
      <w:r>
        <w:rPr>
          <w:rFonts w:ascii="Times New Roman" w:hAnsi="Times New Roman" w:cs="Times New Roman"/>
          <w:sz w:val="24"/>
          <w:lang w:val="en-US"/>
        </w:rPr>
        <w:t xml:space="preserve">els 2 and 4, while in contrast </w:t>
      </w:r>
      <w:r w:rsidRPr="00A242AF">
        <w:rPr>
          <w:rFonts w:ascii="Times New Roman" w:hAnsi="Times New Roman" w:cs="Times New Roman"/>
          <w:sz w:val="24"/>
          <w:lang w:val="en-US"/>
        </w:rPr>
        <w:t>trophic transfers appear</w:t>
      </w:r>
      <w:r w:rsidR="00E03264">
        <w:rPr>
          <w:rFonts w:ascii="Times New Roman" w:hAnsi="Times New Roman" w:cs="Times New Roman"/>
          <w:sz w:val="24"/>
          <w:lang w:val="en-US"/>
        </w:rPr>
        <w:t>ed</w:t>
      </w:r>
      <w:r w:rsidRPr="00A242AF">
        <w:rPr>
          <w:rFonts w:ascii="Times New Roman" w:hAnsi="Times New Roman" w:cs="Times New Roman"/>
          <w:sz w:val="24"/>
          <w:lang w:val="en-US"/>
        </w:rPr>
        <w:t xml:space="preserve"> more efficient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5674E" w:rsidRPr="003743F9" w:rsidRDefault="0065674E" w:rsidP="006567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3743F9">
        <w:rPr>
          <w:rFonts w:ascii="Times New Roman" w:hAnsi="Times New Roman" w:cs="Times New Roman"/>
          <w:sz w:val="24"/>
          <w:lang w:val="en-US"/>
        </w:rPr>
        <w:t>The Kuroshio Current (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cluster 2,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cluster 2) </w:t>
      </w:r>
      <w:r w:rsidR="00E03264">
        <w:rPr>
          <w:rFonts w:ascii="Times New Roman" w:hAnsi="Times New Roman" w:cs="Times New Roman"/>
          <w:sz w:val="24"/>
          <w:lang w:val="en-US"/>
        </w:rPr>
        <w:t>was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driven by species in the trophic class 2.5-3.0</w:t>
      </w:r>
      <w:r>
        <w:rPr>
          <w:rFonts w:ascii="Times New Roman" w:hAnsi="Times New Roman" w:cs="Times New Roman"/>
          <w:sz w:val="24"/>
          <w:lang w:val="en-US"/>
        </w:rPr>
        <w:t xml:space="preserve"> and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the Pacific Sardine (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Sardinops</w:t>
      </w:r>
      <w:proofErr w:type="spellEnd"/>
      <w:r w:rsidRPr="003743F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sagax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, TL=2.8) leads the </w:t>
      </w:r>
      <w:r>
        <w:rPr>
          <w:rFonts w:ascii="Times New Roman" w:hAnsi="Times New Roman" w:cs="Times New Roman"/>
          <w:sz w:val="24"/>
          <w:lang w:val="en-US"/>
        </w:rPr>
        <w:t xml:space="preserve">observed 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variations. The species </w:t>
      </w:r>
      <w:r w:rsidR="00E03264">
        <w:rPr>
          <w:rFonts w:ascii="Times New Roman" w:hAnsi="Times New Roman" w:cs="Times New Roman"/>
          <w:sz w:val="24"/>
          <w:lang w:val="en-US"/>
        </w:rPr>
        <w:t>was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abundant mainly during the</w:t>
      </w:r>
      <w:r w:rsidR="00E03264">
        <w:rPr>
          <w:rFonts w:ascii="Times New Roman" w:hAnsi="Times New Roman" w:cs="Times New Roman"/>
          <w:sz w:val="24"/>
          <w:lang w:val="en-US"/>
        </w:rPr>
        <w:t xml:space="preserve"> mid-70s to the 90s and explained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the drop in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at that period, since the Pacific </w:t>
      </w:r>
      <w:proofErr w:type="spellStart"/>
      <w:r w:rsidRPr="003743F9">
        <w:rPr>
          <w:rFonts w:ascii="Times New Roman" w:hAnsi="Times New Roman" w:cs="Times New Roman"/>
          <w:sz w:val="24"/>
          <w:lang w:val="en-US"/>
        </w:rPr>
        <w:t>Sandlance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 (TL=3.0) and </w:t>
      </w:r>
      <w:proofErr w:type="spellStart"/>
      <w:r w:rsidRPr="003743F9">
        <w:rPr>
          <w:rFonts w:ascii="Times New Roman" w:hAnsi="Times New Roman" w:cs="Times New Roman"/>
          <w:sz w:val="24"/>
          <w:lang w:val="en-US"/>
        </w:rPr>
        <w:t>Akaimi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 paste shrimp (TL=2.7) in the same class are more efficient. However, the residence time of the </w:t>
      </w:r>
      <w:proofErr w:type="spellStart"/>
      <w:r w:rsidRPr="003743F9">
        <w:rPr>
          <w:rFonts w:ascii="Times New Roman" w:hAnsi="Times New Roman" w:cs="Times New Roman"/>
          <w:sz w:val="24"/>
          <w:lang w:val="en-US"/>
        </w:rPr>
        <w:t>Sandlance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 is comparable to the sardine, explaining slighter and opposite variations on the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>.</w:t>
      </w:r>
    </w:p>
    <w:p w:rsidR="0065674E" w:rsidRPr="003743F9" w:rsidRDefault="0065674E" w:rsidP="0065674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3743F9">
        <w:rPr>
          <w:rFonts w:ascii="Times New Roman" w:hAnsi="Times New Roman" w:cs="Times New Roman"/>
          <w:sz w:val="24"/>
          <w:lang w:val="en-US"/>
        </w:rPr>
        <w:t>In the Aleutian Islands (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cluster 4,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ECI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cluster 1), there </w:t>
      </w:r>
      <w:r w:rsidR="00520A2D">
        <w:rPr>
          <w:rFonts w:ascii="Times New Roman" w:hAnsi="Times New Roman" w:cs="Times New Roman"/>
          <w:sz w:val="24"/>
          <w:lang w:val="en-US"/>
        </w:rPr>
        <w:t>was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a progressive loss of </w:t>
      </w:r>
      <w:r>
        <w:rPr>
          <w:rFonts w:ascii="Times New Roman" w:hAnsi="Times New Roman" w:cs="Times New Roman"/>
          <w:sz w:val="24"/>
          <w:lang w:val="en-US"/>
        </w:rPr>
        <w:t xml:space="preserve">trophic </w:t>
      </w:r>
      <w:r w:rsidRPr="003743F9">
        <w:rPr>
          <w:rFonts w:ascii="Times New Roman" w:hAnsi="Times New Roman" w:cs="Times New Roman"/>
          <w:sz w:val="24"/>
          <w:lang w:val="en-US"/>
        </w:rPr>
        <w:t>efficiency</w:t>
      </w:r>
      <w:r>
        <w:rPr>
          <w:rFonts w:ascii="Times New Roman" w:hAnsi="Times New Roman" w:cs="Times New Roman"/>
          <w:sz w:val="24"/>
          <w:lang w:val="en-US"/>
        </w:rPr>
        <w:t xml:space="preserve"> over the first decade, reflecting changes which jointly occurred at all trophic levels, but mainly driven by the development of fisheries at the beginning of the time-series.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</w:t>
      </w:r>
      <w:r w:rsidRPr="00041290">
        <w:rPr>
          <w:rFonts w:ascii="Times New Roman" w:hAnsi="Times New Roman" w:cs="Times New Roman"/>
          <w:sz w:val="24"/>
          <w:lang w:val="en-US"/>
        </w:rPr>
        <w:t xml:space="preserve">The </w:t>
      </w:r>
      <w:r w:rsidRPr="00041290">
        <w:rPr>
          <w:rFonts w:ascii="Times New Roman" w:hAnsi="Times New Roman" w:cs="Times New Roman"/>
          <w:sz w:val="24"/>
          <w:lang w:val="en-US"/>
        </w:rPr>
        <w:lastRenderedPageBreak/>
        <w:t>indicators started to increase in the late 80s mainly due to a higher proportions of the Alaska Pollock (TL=3.6) and the Sockeye salmon (TL=3.5).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The strong increase and difference between trophic class 2.5-3.0 and 3.0-3.5 for the 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TCI</w:t>
      </w:r>
      <w:r w:rsidR="00B40A6F" w:rsidRPr="00B40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bookmarkStart w:id="1" w:name="_GoBack"/>
      <w:bookmarkEnd w:id="1"/>
      <w:r w:rsidRPr="003743F9">
        <w:rPr>
          <w:rFonts w:ascii="Times New Roman" w:hAnsi="Times New Roman" w:cs="Times New Roman"/>
          <w:sz w:val="24"/>
          <w:lang w:val="en-US"/>
        </w:rPr>
        <w:t xml:space="preserve"> </w:t>
      </w:r>
      <w:r w:rsidR="00520A2D">
        <w:rPr>
          <w:rFonts w:ascii="Times New Roman" w:hAnsi="Times New Roman" w:cs="Times New Roman"/>
          <w:sz w:val="24"/>
          <w:lang w:val="en-US"/>
        </w:rPr>
        <w:t>was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due to the group </w:t>
      </w:r>
      <w:proofErr w:type="spellStart"/>
      <w:r w:rsidRPr="003743F9">
        <w:rPr>
          <w:rFonts w:ascii="Times New Roman" w:hAnsi="Times New Roman" w:cs="Times New Roman"/>
          <w:i/>
          <w:sz w:val="24"/>
          <w:lang w:val="en-US"/>
        </w:rPr>
        <w:t>Pleuronectidae</w:t>
      </w:r>
      <w:proofErr w:type="spellEnd"/>
      <w:r w:rsidRPr="003743F9">
        <w:rPr>
          <w:rFonts w:ascii="Times New Roman" w:hAnsi="Times New Roman" w:cs="Times New Roman"/>
          <w:sz w:val="24"/>
          <w:lang w:val="en-US"/>
        </w:rPr>
        <w:t xml:space="preserve"> (TL=3.</w:t>
      </w:r>
      <w:r>
        <w:rPr>
          <w:rFonts w:ascii="Times New Roman" w:hAnsi="Times New Roman" w:cs="Times New Roman"/>
          <w:sz w:val="24"/>
          <w:lang w:val="en-US"/>
        </w:rPr>
        <w:t>5</w:t>
      </w:r>
      <w:r w:rsidRPr="003743F9">
        <w:rPr>
          <w:rFonts w:ascii="Times New Roman" w:hAnsi="Times New Roman" w:cs="Times New Roman"/>
          <w:sz w:val="24"/>
          <w:lang w:val="en-US"/>
        </w:rPr>
        <w:t>) characterized by slow transfers, but the Pacific herring (TL=3.</w:t>
      </w:r>
      <w:r>
        <w:rPr>
          <w:rFonts w:ascii="Times New Roman" w:hAnsi="Times New Roman" w:cs="Times New Roman"/>
          <w:sz w:val="24"/>
          <w:lang w:val="en-US"/>
        </w:rPr>
        <w:t>2</w:t>
      </w:r>
      <w:r w:rsidRPr="003743F9">
        <w:rPr>
          <w:rFonts w:ascii="Times New Roman" w:hAnsi="Times New Roman" w:cs="Times New Roman"/>
          <w:sz w:val="24"/>
          <w:lang w:val="en-US"/>
        </w:rPr>
        <w:t>) and the Yellowfin sole (TL=3.</w:t>
      </w:r>
      <w:r>
        <w:rPr>
          <w:rFonts w:ascii="Times New Roman" w:hAnsi="Times New Roman" w:cs="Times New Roman"/>
          <w:sz w:val="24"/>
          <w:lang w:val="en-US"/>
        </w:rPr>
        <w:t>5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) </w:t>
      </w:r>
      <w:r w:rsidR="00520A2D">
        <w:rPr>
          <w:rFonts w:ascii="Times New Roman" w:hAnsi="Times New Roman" w:cs="Times New Roman"/>
          <w:sz w:val="24"/>
          <w:lang w:val="en-US"/>
        </w:rPr>
        <w:t>were</w:t>
      </w:r>
      <w:r w:rsidRPr="003743F9">
        <w:rPr>
          <w:rFonts w:ascii="Times New Roman" w:hAnsi="Times New Roman" w:cs="Times New Roman"/>
          <w:sz w:val="24"/>
          <w:lang w:val="en-US"/>
        </w:rPr>
        <w:t xml:space="preserve"> enhancing the decrease after the 80s.</w:t>
      </w:r>
    </w:p>
    <w:p w:rsidR="0065674E" w:rsidRPr="00A52089" w:rsidRDefault="0065674E" w:rsidP="0065674E">
      <w:pPr>
        <w:rPr>
          <w:lang w:val="en-US"/>
        </w:rPr>
      </w:pPr>
    </w:p>
    <w:p w:rsidR="00592D4A" w:rsidRPr="00197A78" w:rsidRDefault="00592D4A" w:rsidP="00592D4A">
      <w:pPr>
        <w:pStyle w:val="Caption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 w:rsidRPr="0019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97A7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Ratios of interest (P/B, P/Q) for the main species in 6 LMEs (Scotian Shelf, Humboldt Current, North Sea, Gulf of Thailand, Kuroshio Current and Aleutian Islands).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260"/>
        <w:gridCol w:w="2553"/>
        <w:gridCol w:w="2076"/>
        <w:gridCol w:w="608"/>
        <w:gridCol w:w="829"/>
        <w:gridCol w:w="846"/>
      </w:tblGrid>
      <w:tr w:rsidR="00592D4A" w:rsidRPr="00A85024" w:rsidTr="00227C3D"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Ecosystem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Trophic class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Scientific name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Common name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TL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P/B ratio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P/Q ratio</w:t>
            </w:r>
          </w:p>
        </w:tc>
      </w:tr>
      <w:tr w:rsidR="00592D4A" w:rsidRPr="00A85024" w:rsidTr="008709A7">
        <w:tc>
          <w:tcPr>
            <w:tcW w:w="1116" w:type="dxa"/>
            <w:vMerge w:val="restart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Scotian Shelf</w:t>
            </w: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[2.0 ; </w:t>
            </w:r>
            <w:proofErr w:type="gram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2.5[</w:t>
            </w:r>
            <w:proofErr w:type="gramEnd"/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Placopecten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magellanicus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Spisula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solidissima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Mercenaria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mercenaria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Chionoecetes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opilio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Scallop shell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Atlantic surf clam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Hard clam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Snow crab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1.88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[2.5 ; 3.0[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Pandalus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Cancer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irroratus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Shrimps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Atlantic rock crab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1.88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0.22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[3.0 ; 3.5[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Brevoortia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patronus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Clupea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harengus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Pandalus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borealis</w:t>
            </w:r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Gulf menhaden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Atlantic herring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Northern shrimp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3.33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0.21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[3.5 ; 4.0[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Sebastes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Rajidae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Homarus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americanus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Myoxocephalus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Redfishes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Stingrays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American lobster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Grubbies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sculpins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</w:t>
            </w:r>
          </w:p>
        </w:tc>
      </w:tr>
      <w:tr w:rsidR="00592D4A" w:rsidRPr="00A85024" w:rsidTr="00227C3D">
        <w:tc>
          <w:tcPr>
            <w:tcW w:w="1116" w:type="dxa"/>
            <w:vMerge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[4.0 ; 4.5 [</w:t>
            </w:r>
          </w:p>
        </w:tc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Merluccius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Isurus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oxyrinchus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Gadus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morhua</w:t>
            </w:r>
            <w:proofErr w:type="spellEnd"/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Hake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Shortfin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mako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Atlantic cod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0.30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0.15</w:t>
            </w:r>
          </w:p>
        </w:tc>
      </w:tr>
      <w:tr w:rsidR="00592D4A" w:rsidRPr="00A85024" w:rsidTr="00227C3D">
        <w:tc>
          <w:tcPr>
            <w:tcW w:w="1116" w:type="dxa"/>
            <w:vMerge w:val="restart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Humboldt Current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[2.0 ; </w:t>
            </w:r>
            <w:proofErr w:type="gram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2.5[</w:t>
            </w:r>
            <w:proofErr w:type="gramEnd"/>
          </w:p>
        </w:tc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Clupea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bentincki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Aulacomya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ater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Argopecten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purpuratus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Mugil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cephalus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Ethmidium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maculatum</w:t>
            </w:r>
            <w:proofErr w:type="spellEnd"/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Araucanian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herring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Chilean ribbed mussel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Peruvian calico scallop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Flathead grey mullet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menhaden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3.06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[2.5 ; 3.0[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Engraulis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ringens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Sardinops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sagax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Anchoveta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sardine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0.73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[3.0 ; 3.5[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Trachurus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murphyi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Scomber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japonicus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Marine fishes not id.</w:t>
            </w:r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Chilean jack mackerel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Chub mackerel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Marine fishes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0.42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0.07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[3.5 ; 4.0[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Anguilliformes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Macruronus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magellanicus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Odontesthes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regia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Micromesistius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australis</w:t>
            </w:r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Eels morays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Patagonian grenadier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Chilean silverside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Southern blue whiting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0.51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0.10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[4.0 ; 4.5 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Merluccius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Merluccius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gayi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gayi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Merluccius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australis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Sarda chiliensis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Dosidicus gigas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Coryphaena hippurus</w:t>
            </w:r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Hakes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 Pacific hake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Southern hake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Eastern Pacific bonito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Jumbo flying squid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Common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dolphinfish</w:t>
            </w:r>
            <w:proofErr w:type="spellEnd"/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1.68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0.65</w:t>
            </w:r>
          </w:p>
        </w:tc>
      </w:tr>
      <w:tr w:rsidR="00592D4A" w:rsidRPr="00A85024" w:rsidTr="00227C3D">
        <w:tc>
          <w:tcPr>
            <w:tcW w:w="1116" w:type="dxa"/>
            <w:vMerge w:val="restart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North Sea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[2.0 ; </w:t>
            </w:r>
            <w:proofErr w:type="gram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2.5[</w:t>
            </w:r>
            <w:proofErr w:type="gramEnd"/>
          </w:p>
        </w:tc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Cardium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edule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Miscellaneous aquatic inv.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Mytilus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edulis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Common cockle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Aquatic inv.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 mussel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2.1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2.4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1.79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1.84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0.28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[2.5 ; 3.0[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Sprattus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sprattus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Nephrops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norvegicus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Cancer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pagurus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European sprat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Norway lobster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Edible crab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1.88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0.22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[3.0 ; 3.5[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Clupea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harengus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Ammodytes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Ammodytidae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Limanda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limanda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Pleuronectes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platessa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Atlantic herring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Sand eels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Sand lances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Common dab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European plaice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0.34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[3.5 ; 4.0[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Scomber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scombrus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Gadidae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Trachurus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trachurus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Atlantic mackerel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Cods, haddocks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Atl. Horse mackerel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0.07</w:t>
            </w:r>
          </w:p>
        </w:tc>
      </w:tr>
      <w:tr w:rsidR="00592D4A" w:rsidRPr="00A85024" w:rsidTr="00227C3D">
        <w:tc>
          <w:tcPr>
            <w:tcW w:w="1116" w:type="dxa"/>
            <w:vMerge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[4.0 ; 4.5 [</w:t>
            </w:r>
          </w:p>
        </w:tc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Gadus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morhua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Melanogrammus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aeglefinus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Merlangius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merlangus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Pollachius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virens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Sarda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sarda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Micromesistius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poutassou</w:t>
            </w:r>
            <w:proofErr w:type="spellEnd"/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Atlantic cod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Haddock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Whiting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Saithe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Atlantic bonito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 whiting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0.31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</w:tc>
      </w:tr>
      <w:tr w:rsidR="00592D4A" w:rsidRPr="00A85024" w:rsidTr="00227C3D">
        <w:tc>
          <w:tcPr>
            <w:tcW w:w="1116" w:type="dxa"/>
            <w:vMerge w:val="restart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Gulf of Thailand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[2.0 ; </w:t>
            </w:r>
            <w:proofErr w:type="gram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2.5[</w:t>
            </w:r>
            <w:proofErr w:type="gramEnd"/>
          </w:p>
        </w:tc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Perna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viridis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Veneridae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Cnidaria</w:t>
            </w:r>
            <w:proofErr w:type="spellEnd"/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Green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mussel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Shells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Cnidarians</w:t>
            </w:r>
            <w:proofErr w:type="spellEnd"/>
          </w:p>
        </w:tc>
        <w:tc>
          <w:tcPr>
            <w:tcW w:w="608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1.12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0.39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[2.5 ; 3.0[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Mugilidae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Sardinella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Penaeus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Mullets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Sardinella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Shrimps</w:t>
            </w:r>
            <w:proofErr w:type="spellEnd"/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3.33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0.21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[3.0 ; 3.5[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Rastrelliger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kanagurta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Leiognathidae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Engraulidae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Cynoglossidae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Indian mackerel</w:t>
            </w:r>
          </w:p>
          <w:p w:rsidR="00592D4A" w:rsidRPr="00134307" w:rsidRDefault="00B40A6F" w:rsidP="004D5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fr-FR"/>
              </w:rPr>
            </w:pPr>
            <w:hyperlink r:id="rId7" w:history="1">
              <w:proofErr w:type="spellStart"/>
              <w:r w:rsidR="00592D4A" w:rsidRPr="0013430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  <w:lang w:val="en-US" w:eastAsia="fr-FR"/>
                </w:rPr>
                <w:t>Slimys</w:t>
              </w:r>
              <w:proofErr w:type="spellEnd"/>
              <w:r w:rsidR="00592D4A" w:rsidRPr="0013430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  <w:lang w:val="en-US" w:eastAsia="fr-FR"/>
                </w:rPr>
                <w:t xml:space="preserve">, </w:t>
              </w:r>
              <w:proofErr w:type="spellStart"/>
              <w:r w:rsidR="00592D4A" w:rsidRPr="0013430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  <w:lang w:val="en-US" w:eastAsia="fr-FR"/>
                </w:rPr>
                <w:t>slipmouths</w:t>
              </w:r>
              <w:proofErr w:type="spellEnd"/>
            </w:hyperlink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fr-FR"/>
              </w:rPr>
            </w:pPr>
            <w:r w:rsidRPr="0013430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fr-FR"/>
              </w:rPr>
              <w:t>Anchovies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Tonguefishes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0.70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[3.5 ; 4.0[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Loliginidae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Loligo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Decapterus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russelli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Nemipteridae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Sciaenidae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Sepiidae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Common pencil squids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Common squids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Indian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scad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Breams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Drums or croakers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Cuttlefishes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2.17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0.31</w:t>
            </w:r>
          </w:p>
        </w:tc>
      </w:tr>
      <w:tr w:rsidR="00592D4A" w:rsidRPr="00A85024" w:rsidTr="00227C3D">
        <w:tc>
          <w:tcPr>
            <w:tcW w:w="1116" w:type="dxa"/>
            <w:vMerge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[4.0 ; 4.5 [</w:t>
            </w:r>
          </w:p>
        </w:tc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Carangidae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Scomberomorus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guttatus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Synodontidae</w:t>
            </w:r>
            <w:proofErr w:type="spellEnd"/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Jacks and pompanos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Indo-Pacific king mackerel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Lizardfishes</w:t>
            </w:r>
            <w:proofErr w:type="spellEnd"/>
          </w:p>
        </w:tc>
        <w:tc>
          <w:tcPr>
            <w:tcW w:w="608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1.18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0.12</w:t>
            </w:r>
          </w:p>
        </w:tc>
      </w:tr>
      <w:tr w:rsidR="00592D4A" w:rsidRPr="00A85024" w:rsidTr="00227C3D">
        <w:tc>
          <w:tcPr>
            <w:tcW w:w="1116" w:type="dxa"/>
            <w:vMerge w:val="restart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Kuroshio Current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[2.0 ; </w:t>
            </w:r>
            <w:proofErr w:type="gram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2.5[</w:t>
            </w:r>
            <w:proofErr w:type="gramEnd"/>
          </w:p>
        </w:tc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Bivalvia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Pectinidae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Miscellaneous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marine mol.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Mugil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cephalus</w:t>
            </w:r>
            <w:proofErr w:type="spellEnd"/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Clams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Scallops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Marine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molluscs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Flathead grey mullet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0.55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[2.5 ; 3.0[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Sardinops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sagax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Ammodytes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personatus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Acetes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japonicus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sardine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Pacific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sandlance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Akiami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paste shrimp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3.33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0.21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[3.0 ; 3.5[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Pleuronectidae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Marine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fishes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not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identified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Trachurus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japonicus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Engraulis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japonicus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Crustacea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Righteye flounders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Marine fishes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Japanese jack mackerel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Japanese anchovy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2.84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0.21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[3.5 ; 4.0[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Colobis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saira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Oncorhynchus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Scomber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Theragra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chalcogramma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saury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Salmons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trouts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Chub mackerels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Alaska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pollock</w:t>
            </w:r>
            <w:proofErr w:type="spellEnd"/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0.49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</w:tc>
      </w:tr>
      <w:tr w:rsidR="00592D4A" w:rsidRPr="00A85024" w:rsidTr="00227C3D">
        <w:tc>
          <w:tcPr>
            <w:tcW w:w="1116" w:type="dxa"/>
            <w:vMerge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[4.0 ; 4.5 [</w:t>
            </w:r>
          </w:p>
        </w:tc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Carangidae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Gadus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macrocephalus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Katsuwonus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pelamis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Todarodes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pacificus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Trichiurus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lepturus</w:t>
            </w:r>
            <w:proofErr w:type="spellEnd"/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Jacks pompanos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cod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Skipjack tuna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Japanese flying squid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Largehead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hairtail</w:t>
            </w:r>
            <w:proofErr w:type="spellEnd"/>
          </w:p>
        </w:tc>
        <w:tc>
          <w:tcPr>
            <w:tcW w:w="608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0.57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</w:tc>
      </w:tr>
      <w:tr w:rsidR="00592D4A" w:rsidRPr="00A85024" w:rsidTr="00227C3D">
        <w:tc>
          <w:tcPr>
            <w:tcW w:w="1116" w:type="dxa"/>
            <w:vMerge w:val="restart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Aleutian Islands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[2.0 ; </w:t>
            </w:r>
            <w:proofErr w:type="gram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2.5[</w:t>
            </w:r>
            <w:proofErr w:type="gramEnd"/>
          </w:p>
        </w:tc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Chionoecetes</w:t>
            </w:r>
            <w:proofErr w:type="spellEnd"/>
          </w:p>
        </w:tc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Crabs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1.88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0.22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[2.5 ; 3.0[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Pandalidae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Paralithodes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camtschaticus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Shrimps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king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crab</w:t>
            </w:r>
            <w:proofErr w:type="spellEnd"/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1.88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0.21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0.22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[3.0 ; 3.5[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Marine fishes not identified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Pleuronectidae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Limanda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aspera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Lepidopsetta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bilineata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Clupea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pallasii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pallasii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Marine fishes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Righteye flounders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Yellowfin sole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Rock sole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herring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3.2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0.17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0.49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0.18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0.20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[3.5 ; 4.0[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Theragra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chalcogramma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Pleuronectiformes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Oncorhynchus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nerka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Alaska Pollock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Flatfishes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Sockeye salmon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0.10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0.54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0.23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0.06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</w:t>
            </w:r>
          </w:p>
        </w:tc>
      </w:tr>
      <w:tr w:rsidR="00592D4A" w:rsidRPr="00A85024" w:rsidTr="008709A7">
        <w:tc>
          <w:tcPr>
            <w:tcW w:w="1116" w:type="dxa"/>
            <w:vMerge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[4.0 ; 4.5 [</w:t>
            </w:r>
          </w:p>
        </w:tc>
        <w:tc>
          <w:tcPr>
            <w:tcW w:w="2553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Oncorhynchus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gorbuscha</w:t>
            </w:r>
            <w:proofErr w:type="spellEnd"/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Gadus</w:t>
            </w:r>
            <w:proofErr w:type="spellEnd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macrocephalus</w:t>
            </w:r>
            <w:proofErr w:type="spellEnd"/>
          </w:p>
        </w:tc>
        <w:tc>
          <w:tcPr>
            <w:tcW w:w="207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Pink salmon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Pacific cod</w:t>
            </w:r>
          </w:p>
        </w:tc>
        <w:tc>
          <w:tcPr>
            <w:tcW w:w="608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4.5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</w:t>
            </w:r>
          </w:p>
        </w:tc>
        <w:tc>
          <w:tcPr>
            <w:tcW w:w="829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0.54</w:t>
            </w:r>
          </w:p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0.20</w:t>
            </w:r>
          </w:p>
        </w:tc>
        <w:tc>
          <w:tcPr>
            <w:tcW w:w="846" w:type="dxa"/>
            <w:vAlign w:val="center"/>
          </w:tcPr>
          <w:p w:rsidR="00592D4A" w:rsidRPr="00134307" w:rsidRDefault="00592D4A" w:rsidP="004D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</w:t>
            </w:r>
          </w:p>
          <w:p w:rsidR="00592D4A" w:rsidRPr="00134307" w:rsidRDefault="00592D4A" w:rsidP="004D5FBF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43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0.24</w:t>
            </w:r>
          </w:p>
        </w:tc>
      </w:tr>
    </w:tbl>
    <w:p w:rsidR="0065674E" w:rsidRPr="0065674E" w:rsidRDefault="0065674E">
      <w:pPr>
        <w:rPr>
          <w:lang w:val="en-US"/>
        </w:rPr>
      </w:pPr>
    </w:p>
    <w:sectPr w:rsidR="0065674E" w:rsidRPr="006567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4E"/>
    <w:rsid w:val="000E0BF7"/>
    <w:rsid w:val="00134307"/>
    <w:rsid w:val="00166D46"/>
    <w:rsid w:val="001B684F"/>
    <w:rsid w:val="00227C3D"/>
    <w:rsid w:val="00251AF4"/>
    <w:rsid w:val="00336DE5"/>
    <w:rsid w:val="0037115E"/>
    <w:rsid w:val="00480A0A"/>
    <w:rsid w:val="004D5FBF"/>
    <w:rsid w:val="004D641C"/>
    <w:rsid w:val="004F04FA"/>
    <w:rsid w:val="004F2C8E"/>
    <w:rsid w:val="00520A2D"/>
    <w:rsid w:val="00592D4A"/>
    <w:rsid w:val="005C49C3"/>
    <w:rsid w:val="0065674E"/>
    <w:rsid w:val="00750FB5"/>
    <w:rsid w:val="00772727"/>
    <w:rsid w:val="007B0EDE"/>
    <w:rsid w:val="008F16D8"/>
    <w:rsid w:val="008F25B6"/>
    <w:rsid w:val="009B6876"/>
    <w:rsid w:val="00AE2FD0"/>
    <w:rsid w:val="00B40A6F"/>
    <w:rsid w:val="00B56F3B"/>
    <w:rsid w:val="00BC338A"/>
    <w:rsid w:val="00BC5F5D"/>
    <w:rsid w:val="00CF5F80"/>
    <w:rsid w:val="00E03264"/>
    <w:rsid w:val="00E87E79"/>
    <w:rsid w:val="00E95BEE"/>
    <w:rsid w:val="00EE48FC"/>
    <w:rsid w:val="00F27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6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65674E"/>
    <w:pPr>
      <w:spacing w:line="240" w:lineRule="auto"/>
    </w:pPr>
    <w:rPr>
      <w:b/>
      <w:bCs/>
      <w:color w:val="4F81BD" w:themeColor="accent1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56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74E"/>
    <w:pPr>
      <w:spacing w:line="240" w:lineRule="auto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74E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D4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6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65674E"/>
    <w:pPr>
      <w:spacing w:line="240" w:lineRule="auto"/>
    </w:pPr>
    <w:rPr>
      <w:b/>
      <w:bCs/>
      <w:color w:val="4F81BD" w:themeColor="accent1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56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74E"/>
    <w:pPr>
      <w:spacing w:line="240" w:lineRule="auto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74E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D4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shbase.org/summary/FamilySummary.php?ID=3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8B6E-A007-4AB2-A190-D39BF9D4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1753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 AQUA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Maureaud</dc:creator>
  <cp:lastModifiedBy>Aurore</cp:lastModifiedBy>
  <cp:revision>31</cp:revision>
  <dcterms:created xsi:type="dcterms:W3CDTF">2017-03-03T09:05:00Z</dcterms:created>
  <dcterms:modified xsi:type="dcterms:W3CDTF">2017-05-11T08:50:00Z</dcterms:modified>
</cp:coreProperties>
</file>