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BA45A" w14:textId="46C85649" w:rsidR="0010000F" w:rsidRPr="004B1937" w:rsidRDefault="004B1937" w:rsidP="004B1937">
      <w:pPr>
        <w:widowControl w:val="0"/>
        <w:pBdr>
          <w:top w:val="nil"/>
          <w:left w:val="nil"/>
          <w:bottom w:val="nil"/>
          <w:right w:val="nil"/>
          <w:between w:val="nil"/>
        </w:pBdr>
        <w:spacing w:before="0" w:after="60" w:line="240" w:lineRule="auto"/>
        <w:ind w:left="720" w:hanging="720"/>
        <w:jc w:val="center"/>
        <w:rPr>
          <w:b/>
          <w:bCs/>
          <w:sz w:val="32"/>
          <w:szCs w:val="32"/>
          <w:lang w:val="en-US"/>
        </w:rPr>
      </w:pPr>
      <w:r w:rsidRPr="004B1937">
        <w:rPr>
          <w:b/>
          <w:bCs/>
          <w:sz w:val="32"/>
          <w:szCs w:val="32"/>
          <w:lang w:val="en-US"/>
        </w:rPr>
        <w:t>Supplementary</w:t>
      </w:r>
      <w:r w:rsidR="0010000F" w:rsidRPr="004B1937">
        <w:rPr>
          <w:b/>
          <w:bCs/>
          <w:sz w:val="32"/>
          <w:szCs w:val="32"/>
          <w:lang w:val="en-US"/>
        </w:rPr>
        <w:t xml:space="preserve"> </w:t>
      </w:r>
      <w:r w:rsidRPr="004B1937">
        <w:rPr>
          <w:b/>
          <w:bCs/>
          <w:sz w:val="32"/>
          <w:szCs w:val="32"/>
          <w:lang w:val="en-US"/>
        </w:rPr>
        <w:t>Materials</w:t>
      </w:r>
    </w:p>
    <w:p w14:paraId="47D43B3A" w14:textId="77777777" w:rsidR="0098400C" w:rsidRDefault="0098400C" w:rsidP="00B465D8">
      <w:pPr>
        <w:widowControl w:val="0"/>
        <w:pBdr>
          <w:top w:val="nil"/>
          <w:left w:val="nil"/>
          <w:bottom w:val="nil"/>
          <w:right w:val="nil"/>
          <w:between w:val="nil"/>
        </w:pBdr>
        <w:spacing w:before="0" w:after="60" w:line="240" w:lineRule="auto"/>
        <w:ind w:left="720" w:hanging="720"/>
        <w:jc w:val="left"/>
        <w:rPr>
          <w:lang w:val="en-US"/>
        </w:rPr>
      </w:pPr>
    </w:p>
    <w:p w14:paraId="7DEDF955" w14:textId="30C736F2" w:rsidR="004B1937" w:rsidRDefault="004B1937" w:rsidP="004B1937">
      <w:pPr>
        <w:widowControl w:val="0"/>
        <w:pBdr>
          <w:top w:val="nil"/>
          <w:left w:val="nil"/>
          <w:bottom w:val="nil"/>
          <w:right w:val="nil"/>
          <w:between w:val="nil"/>
        </w:pBdr>
        <w:spacing w:before="0" w:after="60" w:line="240" w:lineRule="auto"/>
        <w:ind w:left="720" w:hanging="720"/>
        <w:jc w:val="left"/>
        <w:rPr>
          <w:lang w:val="en-US"/>
        </w:rPr>
      </w:pPr>
      <w:r w:rsidRPr="0010000F">
        <w:rPr>
          <w:lang w:val="en-US"/>
        </w:rPr>
        <w:t xml:space="preserve">SUPPLEMENTARY </w:t>
      </w:r>
      <w:r>
        <w:rPr>
          <w:lang w:val="en-US"/>
        </w:rPr>
        <w:t>FIGURES AND TABLES</w:t>
      </w:r>
    </w:p>
    <w:p w14:paraId="7FF232D2" w14:textId="77777777" w:rsidR="004B1937" w:rsidRDefault="004B1937" w:rsidP="00B465D8">
      <w:pPr>
        <w:widowControl w:val="0"/>
        <w:pBdr>
          <w:top w:val="nil"/>
          <w:left w:val="nil"/>
          <w:bottom w:val="nil"/>
          <w:right w:val="nil"/>
          <w:between w:val="nil"/>
        </w:pBdr>
        <w:spacing w:before="0" w:after="60" w:line="240" w:lineRule="auto"/>
        <w:ind w:left="720" w:hanging="720"/>
        <w:jc w:val="left"/>
        <w:rPr>
          <w:lang w:val="en-US"/>
        </w:rPr>
      </w:pPr>
    </w:p>
    <w:tbl>
      <w:tblPr>
        <w:tblW w:w="7540" w:type="dxa"/>
        <w:tblCellMar>
          <w:left w:w="70" w:type="dxa"/>
          <w:right w:w="70" w:type="dxa"/>
        </w:tblCellMar>
        <w:tblLook w:val="04A0" w:firstRow="1" w:lastRow="0" w:firstColumn="1" w:lastColumn="0" w:noHBand="0" w:noVBand="1"/>
      </w:tblPr>
      <w:tblGrid>
        <w:gridCol w:w="4080"/>
        <w:gridCol w:w="1520"/>
        <w:gridCol w:w="1940"/>
      </w:tblGrid>
      <w:tr w:rsidR="0098400C" w:rsidRPr="00FC7A85" w14:paraId="3ADF0A4C" w14:textId="77777777" w:rsidTr="00132BFF">
        <w:trPr>
          <w:trHeight w:val="340"/>
        </w:trPr>
        <w:tc>
          <w:tcPr>
            <w:tcW w:w="40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1D3CF1" w14:textId="77777777" w:rsidR="0098400C" w:rsidRPr="00FC7A85" w:rsidRDefault="0098400C" w:rsidP="00132BFF">
            <w:pPr>
              <w:spacing w:before="0" w:after="60" w:line="240" w:lineRule="auto"/>
              <w:jc w:val="center"/>
              <w:rPr>
                <w:rFonts w:ascii="Calibri" w:eastAsia="Times New Roman" w:hAnsi="Calibri" w:cs="Calibri"/>
                <w:b/>
                <w:bCs/>
                <w:color w:val="000000"/>
                <w:sz w:val="24"/>
                <w:szCs w:val="24"/>
                <w:lang w:val="fr-FR"/>
              </w:rPr>
            </w:pPr>
            <w:r w:rsidRPr="00FC7A85">
              <w:rPr>
                <w:rFonts w:ascii="Calibri" w:eastAsia="Times New Roman" w:hAnsi="Calibri" w:cs="Calibri"/>
                <w:b/>
                <w:bCs/>
                <w:color w:val="000000"/>
                <w:sz w:val="24"/>
                <w:szCs w:val="24"/>
                <w:lang w:val="fr-FR"/>
              </w:rPr>
              <w:t>Resource</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66B7E03C" w14:textId="77777777" w:rsidR="0098400C" w:rsidRPr="00FC7A85" w:rsidRDefault="0098400C" w:rsidP="00132BFF">
            <w:pPr>
              <w:spacing w:before="0" w:after="60" w:line="240" w:lineRule="auto"/>
              <w:jc w:val="center"/>
              <w:rPr>
                <w:rFonts w:ascii="Calibri" w:eastAsia="Times New Roman" w:hAnsi="Calibri" w:cs="Calibri"/>
                <w:b/>
                <w:bCs/>
                <w:color w:val="000000"/>
                <w:sz w:val="24"/>
                <w:szCs w:val="24"/>
                <w:lang w:val="fr-FR"/>
              </w:rPr>
            </w:pPr>
            <w:r w:rsidRPr="00FC7A85">
              <w:rPr>
                <w:rFonts w:ascii="Calibri" w:eastAsia="Times New Roman" w:hAnsi="Calibri" w:cs="Calibri"/>
                <w:b/>
                <w:bCs/>
                <w:color w:val="000000"/>
                <w:sz w:val="24"/>
                <w:szCs w:val="24"/>
                <w:lang w:val="fr-FR"/>
              </w:rPr>
              <w:t>Type</w:t>
            </w:r>
          </w:p>
        </w:tc>
        <w:tc>
          <w:tcPr>
            <w:tcW w:w="1940" w:type="dxa"/>
            <w:tcBorders>
              <w:top w:val="single" w:sz="8" w:space="0" w:color="auto"/>
              <w:left w:val="nil"/>
              <w:bottom w:val="single" w:sz="8" w:space="0" w:color="auto"/>
              <w:right w:val="single" w:sz="8" w:space="0" w:color="auto"/>
            </w:tcBorders>
            <w:shd w:val="clear" w:color="auto" w:fill="auto"/>
            <w:noWrap/>
            <w:vAlign w:val="bottom"/>
            <w:hideMark/>
          </w:tcPr>
          <w:p w14:paraId="37225336" w14:textId="77777777" w:rsidR="0098400C" w:rsidRPr="00FC7A85" w:rsidRDefault="0098400C" w:rsidP="00132BFF">
            <w:pPr>
              <w:spacing w:before="0" w:after="60" w:line="240" w:lineRule="auto"/>
              <w:jc w:val="left"/>
              <w:rPr>
                <w:rFonts w:ascii="Calibri" w:eastAsia="Times New Roman" w:hAnsi="Calibri" w:cs="Calibri"/>
                <w:b/>
                <w:bCs/>
                <w:color w:val="000000"/>
                <w:sz w:val="24"/>
                <w:szCs w:val="24"/>
                <w:lang w:val="fr-FR"/>
              </w:rPr>
            </w:pPr>
            <w:r w:rsidRPr="00FC7A85">
              <w:rPr>
                <w:rFonts w:ascii="Calibri" w:eastAsia="Times New Roman" w:hAnsi="Calibri" w:cs="Calibri"/>
                <w:b/>
                <w:bCs/>
                <w:color w:val="000000"/>
                <w:sz w:val="24"/>
                <w:szCs w:val="24"/>
                <w:lang w:val="fr-FR"/>
              </w:rPr>
              <w:t>Link</w:t>
            </w:r>
          </w:p>
        </w:tc>
      </w:tr>
      <w:tr w:rsidR="0098400C" w:rsidRPr="00FC7A85" w14:paraId="4FAF587A"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199ACA9F"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xml:space="preserve">Raw </w:t>
            </w:r>
            <w:proofErr w:type="spellStart"/>
            <w:r w:rsidRPr="00FC7A85">
              <w:rPr>
                <w:rFonts w:ascii="Calibri" w:eastAsia="Times New Roman" w:hAnsi="Calibri" w:cs="Calibri"/>
                <w:color w:val="000000"/>
                <w:sz w:val="24"/>
                <w:szCs w:val="24"/>
                <w:lang w:val="fr-FR"/>
              </w:rPr>
              <w:t>reads</w:t>
            </w:r>
            <w:proofErr w:type="spellEnd"/>
          </w:p>
        </w:tc>
        <w:tc>
          <w:tcPr>
            <w:tcW w:w="1520" w:type="dxa"/>
            <w:tcBorders>
              <w:top w:val="nil"/>
              <w:left w:val="nil"/>
              <w:bottom w:val="nil"/>
              <w:right w:val="single" w:sz="4" w:space="0" w:color="auto"/>
            </w:tcBorders>
            <w:shd w:val="clear" w:color="auto" w:fill="auto"/>
            <w:noWrap/>
            <w:vAlign w:val="bottom"/>
            <w:hideMark/>
          </w:tcPr>
          <w:p w14:paraId="625BF466"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proofErr w:type="spellStart"/>
            <w:r w:rsidRPr="00FC7A85">
              <w:rPr>
                <w:rFonts w:ascii="Calibri" w:eastAsia="Times New Roman" w:hAnsi="Calibri" w:cs="Calibri"/>
                <w:color w:val="000000"/>
                <w:sz w:val="24"/>
                <w:szCs w:val="24"/>
                <w:lang w:val="fr-FR"/>
              </w:rPr>
              <w:t>Nucl</w:t>
            </w:r>
            <w:proofErr w:type="spellEnd"/>
            <w:r w:rsidRPr="00FC7A85">
              <w:rPr>
                <w:rFonts w:ascii="Calibri" w:eastAsia="Times New Roman" w:hAnsi="Calibri" w:cs="Calibri"/>
                <w:color w:val="000000"/>
                <w:sz w:val="24"/>
                <w:szCs w:val="24"/>
                <w:lang w:val="fr-FR"/>
              </w:rPr>
              <w:t>. Fastq.gz</w:t>
            </w:r>
          </w:p>
        </w:tc>
        <w:tc>
          <w:tcPr>
            <w:tcW w:w="1940" w:type="dxa"/>
            <w:tcBorders>
              <w:top w:val="nil"/>
              <w:left w:val="nil"/>
              <w:bottom w:val="nil"/>
              <w:right w:val="single" w:sz="4" w:space="0" w:color="auto"/>
            </w:tcBorders>
            <w:shd w:val="clear" w:color="auto" w:fill="auto"/>
            <w:noWrap/>
            <w:vAlign w:val="bottom"/>
            <w:hideMark/>
          </w:tcPr>
          <w:p w14:paraId="7CBBE78F"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r>
              <w:rPr>
                <w:rFonts w:ascii="Calibri" w:eastAsia="Times New Roman" w:hAnsi="Calibri" w:cs="Calibri"/>
                <w:color w:val="000000"/>
                <w:sz w:val="24"/>
                <w:szCs w:val="24"/>
                <w:lang w:val="fr-FR"/>
              </w:rPr>
              <w:t>ENA</w:t>
            </w:r>
          </w:p>
        </w:tc>
      </w:tr>
      <w:tr w:rsidR="0098400C" w:rsidRPr="00FC7A85" w14:paraId="60133637"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14E22002"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proofErr w:type="spellStart"/>
            <w:r>
              <w:rPr>
                <w:rFonts w:ascii="Calibri" w:eastAsia="Times New Roman" w:hAnsi="Calibri" w:cs="Calibri"/>
                <w:color w:val="000000"/>
                <w:sz w:val="24"/>
                <w:szCs w:val="24"/>
                <w:lang w:val="fr-FR"/>
              </w:rPr>
              <w:t>Metagenomic</w:t>
            </w:r>
            <w:proofErr w:type="spellEnd"/>
            <w:r>
              <w:rPr>
                <w:rFonts w:ascii="Calibri" w:eastAsia="Times New Roman" w:hAnsi="Calibri" w:cs="Calibri"/>
                <w:color w:val="000000"/>
                <w:sz w:val="24"/>
                <w:szCs w:val="24"/>
                <w:lang w:val="fr-FR"/>
              </w:rPr>
              <w:t xml:space="preserve"> </w:t>
            </w:r>
            <w:proofErr w:type="spellStart"/>
            <w:r>
              <w:rPr>
                <w:rFonts w:ascii="Calibri" w:eastAsia="Times New Roman" w:hAnsi="Calibri" w:cs="Calibri"/>
                <w:color w:val="000000"/>
                <w:sz w:val="24"/>
                <w:szCs w:val="24"/>
                <w:lang w:val="fr-FR"/>
              </w:rPr>
              <w:t>assemblies</w:t>
            </w:r>
            <w:proofErr w:type="spellEnd"/>
          </w:p>
        </w:tc>
        <w:tc>
          <w:tcPr>
            <w:tcW w:w="1520" w:type="dxa"/>
            <w:tcBorders>
              <w:top w:val="nil"/>
              <w:left w:val="nil"/>
              <w:bottom w:val="nil"/>
              <w:right w:val="single" w:sz="4" w:space="0" w:color="auto"/>
            </w:tcBorders>
            <w:shd w:val="clear" w:color="auto" w:fill="auto"/>
            <w:noWrap/>
            <w:vAlign w:val="bottom"/>
            <w:hideMark/>
          </w:tcPr>
          <w:p w14:paraId="41F29E7B"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proofErr w:type="spellStart"/>
            <w:r w:rsidRPr="00FC7A85">
              <w:rPr>
                <w:rFonts w:ascii="Calibri" w:eastAsia="Times New Roman" w:hAnsi="Calibri" w:cs="Calibri"/>
                <w:color w:val="000000"/>
                <w:sz w:val="24"/>
                <w:szCs w:val="24"/>
                <w:lang w:val="fr-FR"/>
              </w:rPr>
              <w:t>Nucl</w:t>
            </w:r>
            <w:proofErr w:type="spellEnd"/>
            <w:r w:rsidRPr="00FC7A85">
              <w:rPr>
                <w:rFonts w:ascii="Calibri" w:eastAsia="Times New Roman" w:hAnsi="Calibri" w:cs="Calibri"/>
                <w:color w:val="000000"/>
                <w:sz w:val="24"/>
                <w:szCs w:val="24"/>
                <w:lang w:val="fr-FR"/>
              </w:rPr>
              <w:t xml:space="preserve">. </w:t>
            </w:r>
            <w:proofErr w:type="spellStart"/>
            <w:r w:rsidRPr="00FC7A85">
              <w:rPr>
                <w:rFonts w:ascii="Calibri" w:eastAsia="Times New Roman" w:hAnsi="Calibri" w:cs="Calibri"/>
                <w:color w:val="000000"/>
                <w:sz w:val="24"/>
                <w:szCs w:val="24"/>
                <w:lang w:val="fr-FR"/>
              </w:rPr>
              <w:t>Fasta</w:t>
            </w:r>
            <w:proofErr w:type="spellEnd"/>
          </w:p>
        </w:tc>
        <w:tc>
          <w:tcPr>
            <w:tcW w:w="1940" w:type="dxa"/>
            <w:tcBorders>
              <w:top w:val="nil"/>
              <w:left w:val="nil"/>
              <w:bottom w:val="nil"/>
              <w:right w:val="single" w:sz="4" w:space="0" w:color="auto"/>
            </w:tcBorders>
            <w:shd w:val="clear" w:color="auto" w:fill="auto"/>
            <w:noWrap/>
            <w:vAlign w:val="bottom"/>
            <w:hideMark/>
          </w:tcPr>
          <w:p w14:paraId="13B69F8A"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hyperlink r:id="rId6" w:history="1">
              <w:r w:rsidRPr="003A3E12">
                <w:rPr>
                  <w:rStyle w:val="Lienhypertexte"/>
                  <w:rFonts w:ascii="Calibri" w:eastAsia="Times New Roman" w:hAnsi="Calibri" w:cs="Calibri"/>
                  <w:sz w:val="24"/>
                  <w:szCs w:val="24"/>
                  <w:lang w:val="fr-FR"/>
                </w:rPr>
                <w:t>IFREMER</w:t>
              </w:r>
            </w:hyperlink>
          </w:p>
        </w:tc>
      </w:tr>
      <w:tr w:rsidR="0098400C" w:rsidRPr="00FC7A85" w14:paraId="5AD5A9D8"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5C13C7F3"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xml:space="preserve">Unigenes </w:t>
            </w:r>
            <w:proofErr w:type="spellStart"/>
            <w:r w:rsidRPr="00FC7A85">
              <w:rPr>
                <w:rFonts w:ascii="Calibri" w:eastAsia="Times New Roman" w:hAnsi="Calibri" w:cs="Calibri"/>
                <w:color w:val="000000"/>
                <w:sz w:val="24"/>
                <w:szCs w:val="24"/>
                <w:lang w:val="fr-FR"/>
              </w:rPr>
              <w:t>catalog</w:t>
            </w:r>
            <w:proofErr w:type="spellEnd"/>
            <w:r w:rsidRPr="00FC7A85">
              <w:rPr>
                <w:rFonts w:ascii="Calibri" w:eastAsia="Times New Roman" w:hAnsi="Calibri" w:cs="Calibri"/>
                <w:color w:val="000000"/>
                <w:sz w:val="24"/>
                <w:szCs w:val="24"/>
                <w:lang w:val="fr-FR"/>
              </w:rPr>
              <w:t xml:space="preserve"> </w:t>
            </w:r>
          </w:p>
        </w:tc>
        <w:tc>
          <w:tcPr>
            <w:tcW w:w="1520" w:type="dxa"/>
            <w:tcBorders>
              <w:top w:val="nil"/>
              <w:left w:val="nil"/>
              <w:bottom w:val="nil"/>
              <w:right w:val="single" w:sz="4" w:space="0" w:color="auto"/>
            </w:tcBorders>
            <w:shd w:val="clear" w:color="auto" w:fill="auto"/>
            <w:noWrap/>
            <w:vAlign w:val="bottom"/>
            <w:hideMark/>
          </w:tcPr>
          <w:p w14:paraId="7DEAABA9"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proofErr w:type="spellStart"/>
            <w:r w:rsidRPr="00FC7A85">
              <w:rPr>
                <w:rFonts w:ascii="Calibri" w:eastAsia="Times New Roman" w:hAnsi="Calibri" w:cs="Calibri"/>
                <w:color w:val="000000"/>
                <w:sz w:val="24"/>
                <w:szCs w:val="24"/>
                <w:lang w:val="fr-FR"/>
              </w:rPr>
              <w:t>Nucl</w:t>
            </w:r>
            <w:proofErr w:type="spellEnd"/>
            <w:r w:rsidRPr="00FC7A85">
              <w:rPr>
                <w:rFonts w:ascii="Calibri" w:eastAsia="Times New Roman" w:hAnsi="Calibri" w:cs="Calibri"/>
                <w:color w:val="000000"/>
                <w:sz w:val="24"/>
                <w:szCs w:val="24"/>
                <w:lang w:val="fr-FR"/>
              </w:rPr>
              <w:t xml:space="preserve">. </w:t>
            </w:r>
            <w:proofErr w:type="spellStart"/>
            <w:r w:rsidRPr="00FC7A85">
              <w:rPr>
                <w:rFonts w:ascii="Calibri" w:eastAsia="Times New Roman" w:hAnsi="Calibri" w:cs="Calibri"/>
                <w:color w:val="000000"/>
                <w:sz w:val="24"/>
                <w:szCs w:val="24"/>
                <w:lang w:val="fr-FR"/>
              </w:rPr>
              <w:t>Fasta</w:t>
            </w:r>
            <w:proofErr w:type="spellEnd"/>
          </w:p>
        </w:tc>
        <w:tc>
          <w:tcPr>
            <w:tcW w:w="1940" w:type="dxa"/>
            <w:tcBorders>
              <w:top w:val="nil"/>
              <w:left w:val="nil"/>
              <w:bottom w:val="nil"/>
              <w:right w:val="single" w:sz="4" w:space="0" w:color="auto"/>
            </w:tcBorders>
            <w:shd w:val="clear" w:color="auto" w:fill="auto"/>
            <w:noWrap/>
            <w:vAlign w:val="bottom"/>
            <w:hideMark/>
          </w:tcPr>
          <w:p w14:paraId="2EC8724C"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r w:rsidR="0098400C" w:rsidRPr="00FC7A85" w14:paraId="031C3465"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51E1B44F"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Polar-</w:t>
            </w:r>
            <w:proofErr w:type="spellStart"/>
            <w:r w:rsidRPr="00FC7A85">
              <w:rPr>
                <w:rFonts w:ascii="Calibri" w:eastAsia="Times New Roman" w:hAnsi="Calibri" w:cs="Calibri"/>
                <w:color w:val="000000"/>
                <w:sz w:val="24"/>
                <w:szCs w:val="24"/>
                <w:lang w:val="fr-FR"/>
              </w:rPr>
              <w:t>specific</w:t>
            </w:r>
            <w:proofErr w:type="spellEnd"/>
            <w:r w:rsidRPr="00FC7A85">
              <w:rPr>
                <w:rFonts w:ascii="Calibri" w:eastAsia="Times New Roman" w:hAnsi="Calibri" w:cs="Calibri"/>
                <w:color w:val="000000"/>
                <w:sz w:val="24"/>
                <w:szCs w:val="24"/>
                <w:lang w:val="fr-FR"/>
              </w:rPr>
              <w:t xml:space="preserve"> ORF </w:t>
            </w:r>
            <w:proofErr w:type="spellStart"/>
            <w:r w:rsidRPr="00FC7A85">
              <w:rPr>
                <w:rFonts w:ascii="Calibri" w:eastAsia="Times New Roman" w:hAnsi="Calibri" w:cs="Calibri"/>
                <w:color w:val="000000"/>
                <w:sz w:val="24"/>
                <w:szCs w:val="24"/>
                <w:lang w:val="fr-FR"/>
              </w:rPr>
              <w:t>catalog</w:t>
            </w:r>
            <w:proofErr w:type="spellEnd"/>
          </w:p>
        </w:tc>
        <w:tc>
          <w:tcPr>
            <w:tcW w:w="1520" w:type="dxa"/>
            <w:tcBorders>
              <w:top w:val="nil"/>
              <w:left w:val="nil"/>
              <w:bottom w:val="nil"/>
              <w:right w:val="single" w:sz="4" w:space="0" w:color="auto"/>
            </w:tcBorders>
            <w:shd w:val="clear" w:color="auto" w:fill="auto"/>
            <w:noWrap/>
            <w:vAlign w:val="bottom"/>
            <w:hideMark/>
          </w:tcPr>
          <w:p w14:paraId="5ACF29AB"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proofErr w:type="spellStart"/>
            <w:r w:rsidRPr="00FC7A85">
              <w:rPr>
                <w:rFonts w:ascii="Calibri" w:eastAsia="Times New Roman" w:hAnsi="Calibri" w:cs="Calibri"/>
                <w:color w:val="000000"/>
                <w:sz w:val="24"/>
                <w:szCs w:val="24"/>
                <w:lang w:val="fr-FR"/>
              </w:rPr>
              <w:t>Nucl</w:t>
            </w:r>
            <w:proofErr w:type="spellEnd"/>
            <w:r w:rsidRPr="00FC7A85">
              <w:rPr>
                <w:rFonts w:ascii="Calibri" w:eastAsia="Times New Roman" w:hAnsi="Calibri" w:cs="Calibri"/>
                <w:color w:val="000000"/>
                <w:sz w:val="24"/>
                <w:szCs w:val="24"/>
                <w:lang w:val="fr-FR"/>
              </w:rPr>
              <w:t xml:space="preserve">. </w:t>
            </w:r>
            <w:proofErr w:type="spellStart"/>
            <w:r w:rsidRPr="00FC7A85">
              <w:rPr>
                <w:rFonts w:ascii="Calibri" w:eastAsia="Times New Roman" w:hAnsi="Calibri" w:cs="Calibri"/>
                <w:color w:val="000000"/>
                <w:sz w:val="24"/>
                <w:szCs w:val="24"/>
                <w:lang w:val="fr-FR"/>
              </w:rPr>
              <w:t>Fasta</w:t>
            </w:r>
            <w:proofErr w:type="spellEnd"/>
          </w:p>
        </w:tc>
        <w:tc>
          <w:tcPr>
            <w:tcW w:w="1940" w:type="dxa"/>
            <w:tcBorders>
              <w:top w:val="nil"/>
              <w:left w:val="nil"/>
              <w:bottom w:val="nil"/>
              <w:right w:val="single" w:sz="4" w:space="0" w:color="auto"/>
            </w:tcBorders>
            <w:shd w:val="clear" w:color="auto" w:fill="auto"/>
            <w:noWrap/>
            <w:vAlign w:val="bottom"/>
            <w:hideMark/>
          </w:tcPr>
          <w:p w14:paraId="587E5F55"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r w:rsidR="0098400C" w:rsidRPr="00FC7A85" w14:paraId="06BC4D94"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6C12CB79"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en-US"/>
              </w:rPr>
            </w:pPr>
            <w:r w:rsidRPr="00FC7A85">
              <w:rPr>
                <w:rFonts w:ascii="Calibri" w:eastAsia="Times New Roman" w:hAnsi="Calibri" w:cs="Calibri"/>
                <w:color w:val="000000"/>
                <w:sz w:val="24"/>
                <w:szCs w:val="24"/>
                <w:lang w:val="en-US"/>
              </w:rPr>
              <w:t>SO-RGC (unigenes from 0.2-3µm)</w:t>
            </w:r>
          </w:p>
        </w:tc>
        <w:tc>
          <w:tcPr>
            <w:tcW w:w="1520" w:type="dxa"/>
            <w:tcBorders>
              <w:top w:val="nil"/>
              <w:left w:val="nil"/>
              <w:bottom w:val="nil"/>
              <w:right w:val="single" w:sz="4" w:space="0" w:color="auto"/>
            </w:tcBorders>
            <w:shd w:val="clear" w:color="auto" w:fill="auto"/>
            <w:noWrap/>
            <w:vAlign w:val="bottom"/>
            <w:hideMark/>
          </w:tcPr>
          <w:p w14:paraId="2814D76C"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proofErr w:type="spellStart"/>
            <w:r w:rsidRPr="00FC7A85">
              <w:rPr>
                <w:rFonts w:ascii="Calibri" w:eastAsia="Times New Roman" w:hAnsi="Calibri" w:cs="Calibri"/>
                <w:color w:val="000000"/>
                <w:sz w:val="24"/>
                <w:szCs w:val="24"/>
                <w:lang w:val="fr-FR"/>
              </w:rPr>
              <w:t>Nucl</w:t>
            </w:r>
            <w:proofErr w:type="spellEnd"/>
            <w:r w:rsidRPr="00FC7A85">
              <w:rPr>
                <w:rFonts w:ascii="Calibri" w:eastAsia="Times New Roman" w:hAnsi="Calibri" w:cs="Calibri"/>
                <w:color w:val="000000"/>
                <w:sz w:val="24"/>
                <w:szCs w:val="24"/>
                <w:lang w:val="fr-FR"/>
              </w:rPr>
              <w:t xml:space="preserve">. </w:t>
            </w:r>
            <w:proofErr w:type="spellStart"/>
            <w:r w:rsidRPr="00FC7A85">
              <w:rPr>
                <w:rFonts w:ascii="Calibri" w:eastAsia="Times New Roman" w:hAnsi="Calibri" w:cs="Calibri"/>
                <w:color w:val="000000"/>
                <w:sz w:val="24"/>
                <w:szCs w:val="24"/>
                <w:lang w:val="fr-FR"/>
              </w:rPr>
              <w:t>Fasta</w:t>
            </w:r>
            <w:proofErr w:type="spellEnd"/>
          </w:p>
        </w:tc>
        <w:tc>
          <w:tcPr>
            <w:tcW w:w="1940" w:type="dxa"/>
            <w:tcBorders>
              <w:top w:val="nil"/>
              <w:left w:val="nil"/>
              <w:bottom w:val="nil"/>
              <w:right w:val="single" w:sz="4" w:space="0" w:color="auto"/>
            </w:tcBorders>
            <w:shd w:val="clear" w:color="auto" w:fill="auto"/>
            <w:noWrap/>
            <w:vAlign w:val="bottom"/>
            <w:hideMark/>
          </w:tcPr>
          <w:p w14:paraId="42991B62"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r w:rsidR="0098400C" w:rsidRPr="00FC7A85" w14:paraId="053408EA"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00F8EB7B"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xml:space="preserve">AGC </w:t>
            </w:r>
            <w:proofErr w:type="spellStart"/>
            <w:r w:rsidRPr="00FC7A85">
              <w:rPr>
                <w:rFonts w:ascii="Calibri" w:eastAsia="Times New Roman" w:hAnsi="Calibri" w:cs="Calibri"/>
                <w:color w:val="000000"/>
                <w:sz w:val="24"/>
                <w:szCs w:val="24"/>
                <w:lang w:val="fr-FR"/>
              </w:rPr>
              <w:t>catalog</w:t>
            </w:r>
            <w:proofErr w:type="spellEnd"/>
          </w:p>
        </w:tc>
        <w:tc>
          <w:tcPr>
            <w:tcW w:w="1520" w:type="dxa"/>
            <w:tcBorders>
              <w:top w:val="nil"/>
              <w:left w:val="nil"/>
              <w:bottom w:val="nil"/>
              <w:right w:val="single" w:sz="4" w:space="0" w:color="auto"/>
            </w:tcBorders>
            <w:shd w:val="clear" w:color="auto" w:fill="auto"/>
            <w:noWrap/>
            <w:vAlign w:val="bottom"/>
            <w:hideMark/>
          </w:tcPr>
          <w:p w14:paraId="686E7073"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TSV file</w:t>
            </w:r>
          </w:p>
        </w:tc>
        <w:tc>
          <w:tcPr>
            <w:tcW w:w="1940" w:type="dxa"/>
            <w:tcBorders>
              <w:top w:val="nil"/>
              <w:left w:val="nil"/>
              <w:bottom w:val="nil"/>
              <w:right w:val="single" w:sz="4" w:space="0" w:color="auto"/>
            </w:tcBorders>
            <w:shd w:val="clear" w:color="auto" w:fill="auto"/>
            <w:noWrap/>
            <w:vAlign w:val="bottom"/>
            <w:hideMark/>
          </w:tcPr>
          <w:p w14:paraId="6FDCD068"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r w:rsidR="0098400C" w:rsidRPr="00FC7A85" w14:paraId="30359A77"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3846B879"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proofErr w:type="spellStart"/>
            <w:r w:rsidRPr="00FC7A85">
              <w:rPr>
                <w:rFonts w:ascii="Calibri" w:eastAsia="Times New Roman" w:hAnsi="Calibri" w:cs="Calibri"/>
                <w:color w:val="000000"/>
                <w:sz w:val="24"/>
                <w:szCs w:val="24"/>
                <w:lang w:val="fr-FR"/>
              </w:rPr>
              <w:t>CAGs</w:t>
            </w:r>
            <w:proofErr w:type="spellEnd"/>
            <w:r w:rsidRPr="00FC7A85">
              <w:rPr>
                <w:rFonts w:ascii="Calibri" w:eastAsia="Times New Roman" w:hAnsi="Calibri" w:cs="Calibri"/>
                <w:color w:val="000000"/>
                <w:sz w:val="24"/>
                <w:szCs w:val="24"/>
                <w:lang w:val="fr-FR"/>
              </w:rPr>
              <w:t xml:space="preserve"> </w:t>
            </w:r>
            <w:proofErr w:type="spellStart"/>
            <w:r w:rsidRPr="00FC7A85">
              <w:rPr>
                <w:rFonts w:ascii="Calibri" w:eastAsia="Times New Roman" w:hAnsi="Calibri" w:cs="Calibri"/>
                <w:color w:val="000000"/>
                <w:sz w:val="24"/>
                <w:szCs w:val="24"/>
                <w:lang w:val="fr-FR"/>
              </w:rPr>
              <w:t>catalog</w:t>
            </w:r>
            <w:proofErr w:type="spellEnd"/>
          </w:p>
        </w:tc>
        <w:tc>
          <w:tcPr>
            <w:tcW w:w="1520" w:type="dxa"/>
            <w:tcBorders>
              <w:top w:val="nil"/>
              <w:left w:val="nil"/>
              <w:bottom w:val="nil"/>
              <w:right w:val="single" w:sz="4" w:space="0" w:color="auto"/>
            </w:tcBorders>
            <w:shd w:val="clear" w:color="auto" w:fill="auto"/>
            <w:noWrap/>
            <w:vAlign w:val="bottom"/>
            <w:hideMark/>
          </w:tcPr>
          <w:p w14:paraId="0C1FCE08"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TSV file</w:t>
            </w:r>
          </w:p>
        </w:tc>
        <w:tc>
          <w:tcPr>
            <w:tcW w:w="1940" w:type="dxa"/>
            <w:tcBorders>
              <w:top w:val="nil"/>
              <w:left w:val="nil"/>
              <w:bottom w:val="nil"/>
              <w:right w:val="single" w:sz="4" w:space="0" w:color="auto"/>
            </w:tcBorders>
            <w:shd w:val="clear" w:color="auto" w:fill="auto"/>
            <w:noWrap/>
            <w:vAlign w:val="bottom"/>
            <w:hideMark/>
          </w:tcPr>
          <w:p w14:paraId="3B2FB4BD"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r w:rsidR="0098400C" w:rsidRPr="00FC7A85" w14:paraId="4AC2AB46"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13739EF9"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AGC-</w:t>
            </w:r>
            <w:proofErr w:type="spellStart"/>
            <w:r w:rsidRPr="00FC7A85">
              <w:rPr>
                <w:rFonts w:ascii="Calibri" w:eastAsia="Times New Roman" w:hAnsi="Calibri" w:cs="Calibri"/>
                <w:color w:val="000000"/>
                <w:sz w:val="24"/>
                <w:szCs w:val="24"/>
                <w:lang w:val="fr-FR"/>
              </w:rPr>
              <w:t>level</w:t>
            </w:r>
            <w:proofErr w:type="spellEnd"/>
            <w:r w:rsidRPr="00FC7A85">
              <w:rPr>
                <w:rFonts w:ascii="Calibri" w:eastAsia="Times New Roman" w:hAnsi="Calibri" w:cs="Calibri"/>
                <w:color w:val="000000"/>
                <w:sz w:val="24"/>
                <w:szCs w:val="24"/>
                <w:lang w:val="fr-FR"/>
              </w:rPr>
              <w:t xml:space="preserve"> </w:t>
            </w:r>
            <w:proofErr w:type="spellStart"/>
            <w:r w:rsidRPr="00FC7A85">
              <w:rPr>
                <w:rFonts w:ascii="Calibri" w:eastAsia="Times New Roman" w:hAnsi="Calibri" w:cs="Calibri"/>
                <w:color w:val="000000"/>
                <w:sz w:val="24"/>
                <w:szCs w:val="24"/>
                <w:lang w:val="fr-FR"/>
              </w:rPr>
              <w:t>coverage</w:t>
            </w:r>
            <w:proofErr w:type="spellEnd"/>
            <w:r w:rsidRPr="00FC7A85">
              <w:rPr>
                <w:rFonts w:ascii="Calibri" w:eastAsia="Times New Roman" w:hAnsi="Calibri" w:cs="Calibri"/>
                <w:color w:val="000000"/>
                <w:sz w:val="24"/>
                <w:szCs w:val="24"/>
                <w:lang w:val="fr-FR"/>
              </w:rPr>
              <w:t xml:space="preserve"> mat</w:t>
            </w:r>
            <w:r>
              <w:rPr>
                <w:rFonts w:ascii="Calibri" w:eastAsia="Times New Roman" w:hAnsi="Calibri" w:cs="Calibri"/>
                <w:color w:val="000000"/>
                <w:sz w:val="24"/>
                <w:szCs w:val="24"/>
                <w:lang w:val="fr-FR"/>
              </w:rPr>
              <w:t>rix</w:t>
            </w:r>
          </w:p>
        </w:tc>
        <w:tc>
          <w:tcPr>
            <w:tcW w:w="1520" w:type="dxa"/>
            <w:tcBorders>
              <w:top w:val="nil"/>
              <w:left w:val="nil"/>
              <w:bottom w:val="nil"/>
              <w:right w:val="single" w:sz="4" w:space="0" w:color="auto"/>
            </w:tcBorders>
            <w:shd w:val="clear" w:color="auto" w:fill="auto"/>
            <w:noWrap/>
            <w:vAlign w:val="bottom"/>
            <w:hideMark/>
          </w:tcPr>
          <w:p w14:paraId="55A684D5"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TSV file</w:t>
            </w:r>
          </w:p>
        </w:tc>
        <w:tc>
          <w:tcPr>
            <w:tcW w:w="1940" w:type="dxa"/>
            <w:tcBorders>
              <w:top w:val="nil"/>
              <w:left w:val="nil"/>
              <w:bottom w:val="nil"/>
              <w:right w:val="single" w:sz="4" w:space="0" w:color="auto"/>
            </w:tcBorders>
            <w:shd w:val="clear" w:color="auto" w:fill="auto"/>
            <w:noWrap/>
            <w:vAlign w:val="bottom"/>
            <w:hideMark/>
          </w:tcPr>
          <w:p w14:paraId="7042B911"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r w:rsidR="0098400C" w:rsidRPr="001D2D54" w14:paraId="566A0809"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tcPr>
          <w:p w14:paraId="29317E10" w14:textId="77777777" w:rsidR="0098400C" w:rsidRPr="001D2D54" w:rsidRDefault="0098400C" w:rsidP="00132BFF">
            <w:pPr>
              <w:spacing w:before="0" w:after="60" w:line="240" w:lineRule="auto"/>
              <w:jc w:val="left"/>
              <w:rPr>
                <w:rFonts w:ascii="Calibri" w:eastAsia="Times New Roman" w:hAnsi="Calibri" w:cs="Calibri"/>
                <w:color w:val="000000"/>
                <w:sz w:val="24"/>
                <w:szCs w:val="24"/>
                <w:lang w:val="fr-FR"/>
              </w:rPr>
            </w:pPr>
            <w:r w:rsidRPr="001D2D54">
              <w:rPr>
                <w:rFonts w:ascii="Calibri" w:eastAsia="Times New Roman" w:hAnsi="Calibri" w:cs="Calibri"/>
                <w:color w:val="000000"/>
                <w:sz w:val="24"/>
                <w:szCs w:val="24"/>
                <w:lang w:val="fr-FR"/>
              </w:rPr>
              <w:t>AGC-</w:t>
            </w:r>
            <w:proofErr w:type="spellStart"/>
            <w:r w:rsidRPr="001D2D54">
              <w:rPr>
                <w:rFonts w:ascii="Calibri" w:eastAsia="Times New Roman" w:hAnsi="Calibri" w:cs="Calibri"/>
                <w:color w:val="000000"/>
                <w:sz w:val="24"/>
                <w:szCs w:val="24"/>
                <w:lang w:val="fr-FR"/>
              </w:rPr>
              <w:t>level</w:t>
            </w:r>
            <w:proofErr w:type="spellEnd"/>
            <w:r w:rsidRPr="001D2D54">
              <w:rPr>
                <w:rFonts w:ascii="Calibri" w:eastAsia="Times New Roman" w:hAnsi="Calibri" w:cs="Calibri"/>
                <w:color w:val="000000"/>
                <w:sz w:val="24"/>
                <w:szCs w:val="24"/>
                <w:lang w:val="fr-FR"/>
              </w:rPr>
              <w:t xml:space="preserve"> </w:t>
            </w:r>
            <w:proofErr w:type="spellStart"/>
            <w:r w:rsidRPr="001D2D54">
              <w:rPr>
                <w:rFonts w:ascii="Calibri" w:eastAsia="Times New Roman" w:hAnsi="Calibri" w:cs="Calibri"/>
                <w:color w:val="000000"/>
                <w:sz w:val="24"/>
                <w:szCs w:val="24"/>
                <w:lang w:val="fr-FR"/>
              </w:rPr>
              <w:t>detection</w:t>
            </w:r>
            <w:proofErr w:type="spellEnd"/>
            <w:r w:rsidRPr="001D2D54">
              <w:rPr>
                <w:rFonts w:ascii="Calibri" w:eastAsia="Times New Roman" w:hAnsi="Calibri" w:cs="Calibri"/>
                <w:color w:val="000000"/>
                <w:sz w:val="24"/>
                <w:szCs w:val="24"/>
                <w:lang w:val="fr-FR"/>
              </w:rPr>
              <w:t xml:space="preserve"> matrix</w:t>
            </w:r>
          </w:p>
        </w:tc>
        <w:tc>
          <w:tcPr>
            <w:tcW w:w="1520" w:type="dxa"/>
            <w:tcBorders>
              <w:top w:val="nil"/>
              <w:left w:val="nil"/>
              <w:bottom w:val="nil"/>
              <w:right w:val="single" w:sz="4" w:space="0" w:color="auto"/>
            </w:tcBorders>
            <w:shd w:val="clear" w:color="auto" w:fill="auto"/>
            <w:noWrap/>
            <w:vAlign w:val="bottom"/>
          </w:tcPr>
          <w:p w14:paraId="6ABDF949" w14:textId="77777777" w:rsidR="0098400C" w:rsidRPr="001D2D54" w:rsidRDefault="0098400C" w:rsidP="00132BFF">
            <w:pPr>
              <w:spacing w:before="0" w:after="60" w:line="240" w:lineRule="auto"/>
              <w:jc w:val="left"/>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TSV file</w:t>
            </w:r>
          </w:p>
        </w:tc>
        <w:tc>
          <w:tcPr>
            <w:tcW w:w="1940" w:type="dxa"/>
            <w:tcBorders>
              <w:top w:val="nil"/>
              <w:left w:val="nil"/>
              <w:bottom w:val="nil"/>
              <w:right w:val="single" w:sz="4" w:space="0" w:color="auto"/>
            </w:tcBorders>
            <w:shd w:val="clear" w:color="auto" w:fill="auto"/>
            <w:noWrap/>
            <w:vAlign w:val="bottom"/>
          </w:tcPr>
          <w:p w14:paraId="15115EAE" w14:textId="77777777" w:rsidR="0098400C" w:rsidRPr="001D2D54" w:rsidRDefault="0098400C" w:rsidP="00132BFF">
            <w:pPr>
              <w:spacing w:before="0" w:after="60" w:line="240" w:lineRule="auto"/>
              <w:jc w:val="left"/>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 xml:space="preserve"> </w:t>
            </w:r>
            <w:hyperlink r:id="rId7" w:history="1">
              <w:proofErr w:type="spellStart"/>
              <w:r w:rsidRPr="003A3E12">
                <w:rPr>
                  <w:rStyle w:val="Lienhypertexte"/>
                  <w:rFonts w:ascii="Calibri" w:eastAsia="Times New Roman" w:hAnsi="Calibri" w:cs="Calibri"/>
                  <w:sz w:val="24"/>
                  <w:szCs w:val="24"/>
                  <w:lang w:val="fr-FR"/>
                </w:rPr>
                <w:t>Zenodo</w:t>
              </w:r>
              <w:proofErr w:type="spellEnd"/>
            </w:hyperlink>
          </w:p>
        </w:tc>
      </w:tr>
      <w:tr w:rsidR="0098400C" w:rsidRPr="001D2D54" w14:paraId="2C5C6C12"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tcPr>
          <w:p w14:paraId="3CC31E68" w14:textId="77777777" w:rsidR="0098400C" w:rsidRPr="001D2D54" w:rsidRDefault="0098400C" w:rsidP="00132BFF">
            <w:pPr>
              <w:spacing w:before="0" w:after="60" w:line="240" w:lineRule="auto"/>
              <w:jc w:val="left"/>
              <w:rPr>
                <w:rFonts w:ascii="Calibri" w:eastAsia="Times New Roman" w:hAnsi="Calibri" w:cs="Calibri"/>
                <w:color w:val="000000"/>
                <w:sz w:val="24"/>
                <w:szCs w:val="24"/>
                <w:lang w:val="en-US"/>
              </w:rPr>
            </w:pPr>
            <w:r w:rsidRPr="001D2D54">
              <w:rPr>
                <w:rFonts w:ascii="Calibri" w:eastAsia="Times New Roman" w:hAnsi="Calibri" w:cs="Calibri"/>
                <w:color w:val="000000"/>
                <w:sz w:val="24"/>
                <w:szCs w:val="24"/>
                <w:lang w:val="en-US"/>
              </w:rPr>
              <w:t>AGC-level coverage matrix wi</w:t>
            </w:r>
            <w:r>
              <w:rPr>
                <w:rFonts w:ascii="Calibri" w:eastAsia="Times New Roman" w:hAnsi="Calibri" w:cs="Calibri"/>
                <w:color w:val="000000"/>
                <w:sz w:val="24"/>
                <w:szCs w:val="24"/>
                <w:lang w:val="en-US"/>
              </w:rPr>
              <w:t>th detection and non-zero variance thresholds applied</w:t>
            </w:r>
          </w:p>
        </w:tc>
        <w:tc>
          <w:tcPr>
            <w:tcW w:w="1520" w:type="dxa"/>
            <w:tcBorders>
              <w:top w:val="nil"/>
              <w:left w:val="nil"/>
              <w:bottom w:val="nil"/>
              <w:right w:val="single" w:sz="4" w:space="0" w:color="auto"/>
            </w:tcBorders>
            <w:shd w:val="clear" w:color="auto" w:fill="auto"/>
            <w:noWrap/>
            <w:vAlign w:val="bottom"/>
          </w:tcPr>
          <w:p w14:paraId="24724D28" w14:textId="77777777" w:rsidR="0098400C" w:rsidRDefault="0098400C" w:rsidP="00132BFF">
            <w:pPr>
              <w:spacing w:before="0" w:after="60" w:line="240" w:lineRule="auto"/>
              <w:jc w:val="left"/>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R object</w:t>
            </w:r>
          </w:p>
        </w:tc>
        <w:tc>
          <w:tcPr>
            <w:tcW w:w="1940" w:type="dxa"/>
            <w:tcBorders>
              <w:top w:val="nil"/>
              <w:left w:val="nil"/>
              <w:bottom w:val="nil"/>
              <w:right w:val="single" w:sz="4" w:space="0" w:color="auto"/>
            </w:tcBorders>
            <w:shd w:val="clear" w:color="auto" w:fill="auto"/>
            <w:noWrap/>
            <w:vAlign w:val="bottom"/>
          </w:tcPr>
          <w:p w14:paraId="5006B50C" w14:textId="77777777" w:rsidR="0098400C" w:rsidRDefault="0098400C" w:rsidP="00132BFF">
            <w:pPr>
              <w:spacing w:before="0" w:after="60" w:line="240" w:lineRule="auto"/>
              <w:jc w:val="left"/>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 xml:space="preserve"> </w:t>
            </w:r>
            <w:hyperlink r:id="rId8" w:history="1">
              <w:proofErr w:type="spellStart"/>
              <w:r w:rsidRPr="003A3E12">
                <w:rPr>
                  <w:rStyle w:val="Lienhypertexte"/>
                  <w:rFonts w:ascii="Calibri" w:eastAsia="Times New Roman" w:hAnsi="Calibri" w:cs="Calibri"/>
                  <w:sz w:val="24"/>
                  <w:szCs w:val="24"/>
                  <w:lang w:val="fr-FR"/>
                </w:rPr>
                <w:t>Zenodo</w:t>
              </w:r>
              <w:proofErr w:type="spellEnd"/>
            </w:hyperlink>
          </w:p>
        </w:tc>
      </w:tr>
      <w:tr w:rsidR="0098400C" w:rsidRPr="00FC7A85" w14:paraId="7C00C351"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70AAB8CA" w14:textId="77777777" w:rsidR="0098400C" w:rsidRPr="00525C5C" w:rsidRDefault="0098400C" w:rsidP="00132BFF">
            <w:pPr>
              <w:spacing w:before="0" w:after="60" w:line="240" w:lineRule="auto"/>
              <w:jc w:val="left"/>
              <w:rPr>
                <w:rFonts w:ascii="Calibri" w:eastAsia="Times New Roman" w:hAnsi="Calibri" w:cs="Calibri"/>
                <w:color w:val="000000"/>
                <w:sz w:val="24"/>
                <w:szCs w:val="24"/>
                <w:lang w:val="en-US"/>
              </w:rPr>
            </w:pPr>
            <w:r w:rsidRPr="00525C5C">
              <w:rPr>
                <w:rFonts w:ascii="Calibri" w:eastAsia="Times New Roman" w:hAnsi="Calibri" w:cs="Calibri"/>
                <w:color w:val="000000"/>
                <w:sz w:val="24"/>
                <w:szCs w:val="24"/>
                <w:lang w:val="en-US"/>
              </w:rPr>
              <w:t>CAG-level coverage mat</w:t>
            </w:r>
            <w:r>
              <w:rPr>
                <w:rFonts w:ascii="Calibri" w:eastAsia="Times New Roman" w:hAnsi="Calibri" w:cs="Calibri"/>
                <w:color w:val="000000"/>
                <w:sz w:val="24"/>
                <w:szCs w:val="24"/>
                <w:lang w:val="en-US"/>
              </w:rPr>
              <w:t>r</w:t>
            </w:r>
            <w:r w:rsidRPr="00525C5C">
              <w:rPr>
                <w:rFonts w:ascii="Calibri" w:eastAsia="Times New Roman" w:hAnsi="Calibri" w:cs="Calibri"/>
                <w:color w:val="000000"/>
                <w:sz w:val="24"/>
                <w:szCs w:val="24"/>
                <w:lang w:val="en-US"/>
              </w:rPr>
              <w:t xml:space="preserve">ix for Free-living </w:t>
            </w:r>
            <w:r>
              <w:rPr>
                <w:rFonts w:ascii="Calibri" w:eastAsia="Times New Roman" w:hAnsi="Calibri" w:cs="Calibri"/>
                <w:color w:val="000000"/>
                <w:sz w:val="24"/>
                <w:szCs w:val="24"/>
                <w:lang w:val="en-US"/>
              </w:rPr>
              <w:t>size-fractions</w:t>
            </w:r>
          </w:p>
        </w:tc>
        <w:tc>
          <w:tcPr>
            <w:tcW w:w="1520" w:type="dxa"/>
            <w:tcBorders>
              <w:top w:val="nil"/>
              <w:left w:val="nil"/>
              <w:bottom w:val="nil"/>
              <w:right w:val="single" w:sz="4" w:space="0" w:color="auto"/>
            </w:tcBorders>
            <w:shd w:val="clear" w:color="auto" w:fill="auto"/>
            <w:noWrap/>
            <w:vAlign w:val="bottom"/>
            <w:hideMark/>
          </w:tcPr>
          <w:p w14:paraId="60801DCF"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TSV file</w:t>
            </w:r>
          </w:p>
        </w:tc>
        <w:tc>
          <w:tcPr>
            <w:tcW w:w="1940" w:type="dxa"/>
            <w:tcBorders>
              <w:top w:val="nil"/>
              <w:left w:val="nil"/>
              <w:bottom w:val="nil"/>
              <w:right w:val="single" w:sz="4" w:space="0" w:color="auto"/>
            </w:tcBorders>
            <w:shd w:val="clear" w:color="auto" w:fill="auto"/>
            <w:noWrap/>
            <w:vAlign w:val="bottom"/>
            <w:hideMark/>
          </w:tcPr>
          <w:p w14:paraId="2E0474C7"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r w:rsidR="0098400C" w:rsidRPr="00525C5C" w14:paraId="76D2763F"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tcPr>
          <w:p w14:paraId="4451F023" w14:textId="77777777" w:rsidR="0098400C" w:rsidRPr="00525C5C" w:rsidRDefault="0098400C" w:rsidP="00132BFF">
            <w:pPr>
              <w:spacing w:before="0" w:after="60" w:line="240" w:lineRule="auto"/>
              <w:jc w:val="left"/>
              <w:rPr>
                <w:rFonts w:ascii="Calibri" w:eastAsia="Times New Roman" w:hAnsi="Calibri" w:cs="Calibri"/>
                <w:color w:val="000000"/>
                <w:sz w:val="24"/>
                <w:szCs w:val="24"/>
                <w:lang w:val="en-US"/>
              </w:rPr>
            </w:pPr>
            <w:r w:rsidRPr="00525C5C">
              <w:rPr>
                <w:rFonts w:ascii="Calibri" w:eastAsia="Times New Roman" w:hAnsi="Calibri" w:cs="Calibri"/>
                <w:color w:val="000000"/>
                <w:sz w:val="24"/>
                <w:szCs w:val="24"/>
                <w:lang w:val="en-US"/>
              </w:rPr>
              <w:t>CAG-level coverage mat</w:t>
            </w:r>
            <w:r>
              <w:rPr>
                <w:rFonts w:ascii="Calibri" w:eastAsia="Times New Roman" w:hAnsi="Calibri" w:cs="Calibri"/>
                <w:color w:val="000000"/>
                <w:sz w:val="24"/>
                <w:szCs w:val="24"/>
                <w:lang w:val="en-US"/>
              </w:rPr>
              <w:t>r</w:t>
            </w:r>
            <w:r w:rsidRPr="00525C5C">
              <w:rPr>
                <w:rFonts w:ascii="Calibri" w:eastAsia="Times New Roman" w:hAnsi="Calibri" w:cs="Calibri"/>
                <w:color w:val="000000"/>
                <w:sz w:val="24"/>
                <w:szCs w:val="24"/>
                <w:lang w:val="en-US"/>
              </w:rPr>
              <w:t xml:space="preserve">ix for </w:t>
            </w:r>
            <w:r>
              <w:rPr>
                <w:rFonts w:ascii="Calibri" w:eastAsia="Times New Roman" w:hAnsi="Calibri" w:cs="Calibri"/>
                <w:color w:val="000000"/>
                <w:sz w:val="24"/>
                <w:szCs w:val="24"/>
                <w:lang w:val="en-US"/>
              </w:rPr>
              <w:t>&gt;3µm</w:t>
            </w:r>
            <w:r w:rsidRPr="00525C5C">
              <w:rPr>
                <w:rFonts w:ascii="Calibri" w:eastAsia="Times New Roman" w:hAnsi="Calibri" w:cs="Calibri"/>
                <w:color w:val="000000"/>
                <w:sz w:val="24"/>
                <w:szCs w:val="24"/>
                <w:lang w:val="en-US"/>
              </w:rPr>
              <w:t xml:space="preserve"> </w:t>
            </w:r>
            <w:r>
              <w:rPr>
                <w:rFonts w:ascii="Calibri" w:eastAsia="Times New Roman" w:hAnsi="Calibri" w:cs="Calibri"/>
                <w:color w:val="000000"/>
                <w:sz w:val="24"/>
                <w:szCs w:val="24"/>
                <w:lang w:val="en-US"/>
              </w:rPr>
              <w:t>size-fractions</w:t>
            </w:r>
          </w:p>
        </w:tc>
        <w:tc>
          <w:tcPr>
            <w:tcW w:w="1520" w:type="dxa"/>
            <w:tcBorders>
              <w:top w:val="nil"/>
              <w:left w:val="nil"/>
              <w:bottom w:val="nil"/>
              <w:right w:val="single" w:sz="4" w:space="0" w:color="auto"/>
            </w:tcBorders>
            <w:shd w:val="clear" w:color="auto" w:fill="auto"/>
            <w:noWrap/>
            <w:vAlign w:val="bottom"/>
          </w:tcPr>
          <w:p w14:paraId="16765658" w14:textId="77777777" w:rsidR="0098400C" w:rsidRPr="00525C5C" w:rsidRDefault="0098400C" w:rsidP="00132BFF">
            <w:pPr>
              <w:spacing w:before="0" w:after="60" w:line="240" w:lineRule="auto"/>
              <w:jc w:val="left"/>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TSV file</w:t>
            </w:r>
          </w:p>
        </w:tc>
        <w:tc>
          <w:tcPr>
            <w:tcW w:w="1940" w:type="dxa"/>
            <w:tcBorders>
              <w:top w:val="nil"/>
              <w:left w:val="nil"/>
              <w:bottom w:val="nil"/>
              <w:right w:val="single" w:sz="4" w:space="0" w:color="auto"/>
            </w:tcBorders>
            <w:shd w:val="clear" w:color="auto" w:fill="auto"/>
            <w:noWrap/>
            <w:vAlign w:val="bottom"/>
          </w:tcPr>
          <w:p w14:paraId="54DB2976" w14:textId="77777777" w:rsidR="0098400C" w:rsidRPr="00525C5C" w:rsidRDefault="0098400C" w:rsidP="00132BFF">
            <w:pPr>
              <w:spacing w:before="0" w:after="60" w:line="240" w:lineRule="auto"/>
              <w:jc w:val="left"/>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 xml:space="preserve"> </w:t>
            </w:r>
            <w:hyperlink r:id="rId9" w:history="1">
              <w:proofErr w:type="spellStart"/>
              <w:r w:rsidRPr="003A3E12">
                <w:rPr>
                  <w:rStyle w:val="Lienhypertexte"/>
                  <w:rFonts w:ascii="Calibri" w:eastAsia="Times New Roman" w:hAnsi="Calibri" w:cs="Calibri"/>
                  <w:sz w:val="24"/>
                  <w:szCs w:val="24"/>
                  <w:lang w:val="fr-FR"/>
                </w:rPr>
                <w:t>Zenodo</w:t>
              </w:r>
              <w:proofErr w:type="spellEnd"/>
            </w:hyperlink>
          </w:p>
        </w:tc>
      </w:tr>
      <w:tr w:rsidR="0098400C" w:rsidRPr="00FC7A85" w14:paraId="4903B176"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030F3BB0" w14:textId="77777777" w:rsidR="0098400C" w:rsidRPr="00565FB5" w:rsidRDefault="0098400C" w:rsidP="00132BFF">
            <w:pPr>
              <w:spacing w:before="0" w:after="60" w:line="240" w:lineRule="auto"/>
              <w:jc w:val="left"/>
              <w:rPr>
                <w:rFonts w:ascii="Calibri" w:eastAsia="Times New Roman" w:hAnsi="Calibri" w:cs="Calibri"/>
                <w:color w:val="000000"/>
                <w:sz w:val="24"/>
                <w:szCs w:val="24"/>
                <w:lang w:val="en-US"/>
              </w:rPr>
            </w:pPr>
            <w:r w:rsidRPr="00565FB5">
              <w:rPr>
                <w:rFonts w:ascii="Calibri" w:eastAsia="Times New Roman" w:hAnsi="Calibri" w:cs="Calibri"/>
                <w:color w:val="000000"/>
                <w:sz w:val="24"/>
                <w:szCs w:val="24"/>
                <w:lang w:val="en-US"/>
              </w:rPr>
              <w:t>Annotations table (functional and taxonomic)</w:t>
            </w:r>
          </w:p>
        </w:tc>
        <w:tc>
          <w:tcPr>
            <w:tcW w:w="1520" w:type="dxa"/>
            <w:tcBorders>
              <w:top w:val="nil"/>
              <w:left w:val="nil"/>
              <w:bottom w:val="nil"/>
              <w:right w:val="single" w:sz="4" w:space="0" w:color="auto"/>
            </w:tcBorders>
            <w:shd w:val="clear" w:color="auto" w:fill="auto"/>
            <w:noWrap/>
            <w:vAlign w:val="bottom"/>
            <w:hideMark/>
          </w:tcPr>
          <w:p w14:paraId="7A717885"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TSV file</w:t>
            </w:r>
          </w:p>
        </w:tc>
        <w:tc>
          <w:tcPr>
            <w:tcW w:w="1940" w:type="dxa"/>
            <w:tcBorders>
              <w:top w:val="nil"/>
              <w:left w:val="nil"/>
              <w:bottom w:val="nil"/>
              <w:right w:val="single" w:sz="4" w:space="0" w:color="auto"/>
            </w:tcBorders>
            <w:shd w:val="clear" w:color="auto" w:fill="auto"/>
            <w:noWrap/>
            <w:vAlign w:val="bottom"/>
            <w:hideMark/>
          </w:tcPr>
          <w:p w14:paraId="6E297F40"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r w:rsidR="0098400C" w:rsidRPr="00FC7A85" w14:paraId="0CCB8F54" w14:textId="77777777" w:rsidTr="00132BFF">
        <w:trPr>
          <w:trHeight w:val="320"/>
        </w:trPr>
        <w:tc>
          <w:tcPr>
            <w:tcW w:w="4080" w:type="dxa"/>
            <w:tcBorders>
              <w:top w:val="nil"/>
              <w:left w:val="single" w:sz="4" w:space="0" w:color="auto"/>
              <w:bottom w:val="nil"/>
              <w:right w:val="single" w:sz="4" w:space="0" w:color="auto"/>
            </w:tcBorders>
            <w:shd w:val="clear" w:color="auto" w:fill="auto"/>
            <w:noWrap/>
            <w:vAlign w:val="bottom"/>
            <w:hideMark/>
          </w:tcPr>
          <w:p w14:paraId="2DBBD568"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proofErr w:type="spellStart"/>
            <w:r w:rsidRPr="00FC7A85">
              <w:rPr>
                <w:rFonts w:ascii="Calibri" w:eastAsia="Times New Roman" w:hAnsi="Calibri" w:cs="Calibri"/>
                <w:color w:val="000000"/>
                <w:sz w:val="24"/>
                <w:szCs w:val="24"/>
                <w:lang w:val="fr-FR"/>
              </w:rPr>
              <w:t>CAGs</w:t>
            </w:r>
            <w:proofErr w:type="spellEnd"/>
            <w:r w:rsidRPr="00FC7A85">
              <w:rPr>
                <w:rFonts w:ascii="Calibri" w:eastAsia="Times New Roman" w:hAnsi="Calibri" w:cs="Calibri"/>
                <w:color w:val="000000"/>
                <w:sz w:val="24"/>
                <w:szCs w:val="24"/>
                <w:lang w:val="fr-FR"/>
              </w:rPr>
              <w:t xml:space="preserve"> of </w:t>
            </w:r>
            <w:proofErr w:type="spellStart"/>
            <w:r w:rsidRPr="00FC7A85">
              <w:rPr>
                <w:rFonts w:ascii="Calibri" w:eastAsia="Times New Roman" w:hAnsi="Calibri" w:cs="Calibri"/>
                <w:color w:val="000000"/>
                <w:sz w:val="24"/>
                <w:szCs w:val="24"/>
                <w:lang w:val="fr-FR"/>
              </w:rPr>
              <w:t>interest</w:t>
            </w:r>
            <w:proofErr w:type="spellEnd"/>
            <w:r w:rsidRPr="00FC7A85">
              <w:rPr>
                <w:rFonts w:ascii="Calibri" w:eastAsia="Times New Roman" w:hAnsi="Calibri" w:cs="Calibri"/>
                <w:color w:val="000000"/>
                <w:sz w:val="24"/>
                <w:szCs w:val="24"/>
                <w:lang w:val="fr-FR"/>
              </w:rPr>
              <w:t xml:space="preserve"> </w:t>
            </w:r>
            <w:proofErr w:type="spellStart"/>
            <w:r w:rsidRPr="00FC7A85">
              <w:rPr>
                <w:rFonts w:ascii="Calibri" w:eastAsia="Times New Roman" w:hAnsi="Calibri" w:cs="Calibri"/>
                <w:color w:val="000000"/>
                <w:sz w:val="24"/>
                <w:szCs w:val="24"/>
                <w:lang w:val="fr-FR"/>
              </w:rPr>
              <w:t>taxonomy</w:t>
            </w:r>
            <w:proofErr w:type="spellEnd"/>
          </w:p>
        </w:tc>
        <w:tc>
          <w:tcPr>
            <w:tcW w:w="1520" w:type="dxa"/>
            <w:tcBorders>
              <w:top w:val="nil"/>
              <w:left w:val="nil"/>
              <w:bottom w:val="nil"/>
              <w:right w:val="single" w:sz="4" w:space="0" w:color="auto"/>
            </w:tcBorders>
            <w:shd w:val="clear" w:color="auto" w:fill="auto"/>
            <w:noWrap/>
            <w:vAlign w:val="bottom"/>
            <w:hideMark/>
          </w:tcPr>
          <w:p w14:paraId="19F6D2F2"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TSV file</w:t>
            </w:r>
            <w:r>
              <w:rPr>
                <w:rFonts w:ascii="Calibri" w:eastAsia="Times New Roman" w:hAnsi="Calibri" w:cs="Calibri"/>
                <w:color w:val="000000"/>
                <w:sz w:val="24"/>
                <w:szCs w:val="24"/>
                <w:lang w:val="fr-FR"/>
              </w:rPr>
              <w:t>s</w:t>
            </w:r>
          </w:p>
        </w:tc>
        <w:tc>
          <w:tcPr>
            <w:tcW w:w="1940" w:type="dxa"/>
            <w:tcBorders>
              <w:top w:val="nil"/>
              <w:left w:val="nil"/>
              <w:bottom w:val="nil"/>
              <w:right w:val="single" w:sz="4" w:space="0" w:color="auto"/>
            </w:tcBorders>
            <w:shd w:val="clear" w:color="auto" w:fill="auto"/>
            <w:noWrap/>
            <w:vAlign w:val="bottom"/>
            <w:hideMark/>
          </w:tcPr>
          <w:p w14:paraId="2D07516D"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r w:rsidR="0098400C" w:rsidRPr="00FC7A85" w14:paraId="3C8CDC90" w14:textId="77777777" w:rsidTr="00132BFF">
        <w:trPr>
          <w:trHeight w:val="32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78463CFD"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en-US"/>
              </w:rPr>
            </w:pPr>
            <w:r w:rsidRPr="00FC7A85">
              <w:rPr>
                <w:rFonts w:ascii="Calibri" w:eastAsia="Times New Roman" w:hAnsi="Calibri" w:cs="Calibri"/>
                <w:color w:val="000000"/>
                <w:sz w:val="24"/>
                <w:szCs w:val="24"/>
                <w:lang w:val="en-US"/>
              </w:rPr>
              <w:t>CAGs of interest functional enrichment</w:t>
            </w:r>
          </w:p>
        </w:tc>
        <w:tc>
          <w:tcPr>
            <w:tcW w:w="1520" w:type="dxa"/>
            <w:tcBorders>
              <w:top w:val="nil"/>
              <w:left w:val="nil"/>
              <w:bottom w:val="single" w:sz="4" w:space="0" w:color="auto"/>
              <w:right w:val="single" w:sz="4" w:space="0" w:color="auto"/>
            </w:tcBorders>
            <w:shd w:val="clear" w:color="auto" w:fill="auto"/>
            <w:noWrap/>
            <w:vAlign w:val="bottom"/>
            <w:hideMark/>
          </w:tcPr>
          <w:p w14:paraId="399EADF2"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TSV file</w:t>
            </w:r>
            <w:r>
              <w:rPr>
                <w:rFonts w:ascii="Calibri" w:eastAsia="Times New Roman" w:hAnsi="Calibri" w:cs="Calibri"/>
                <w:color w:val="000000"/>
                <w:sz w:val="24"/>
                <w:szCs w:val="24"/>
                <w:lang w:val="fr-FR"/>
              </w:rPr>
              <w:t>s</w:t>
            </w:r>
          </w:p>
        </w:tc>
        <w:tc>
          <w:tcPr>
            <w:tcW w:w="1940" w:type="dxa"/>
            <w:tcBorders>
              <w:top w:val="nil"/>
              <w:left w:val="nil"/>
              <w:bottom w:val="single" w:sz="4" w:space="0" w:color="auto"/>
              <w:right w:val="single" w:sz="4" w:space="0" w:color="auto"/>
            </w:tcBorders>
            <w:shd w:val="clear" w:color="auto" w:fill="auto"/>
            <w:noWrap/>
            <w:vAlign w:val="bottom"/>
            <w:hideMark/>
          </w:tcPr>
          <w:p w14:paraId="1783F64E" w14:textId="77777777" w:rsidR="0098400C" w:rsidRPr="00FC7A85" w:rsidRDefault="0098400C" w:rsidP="00132BFF">
            <w:pPr>
              <w:spacing w:before="0" w:after="60" w:line="240" w:lineRule="auto"/>
              <w:jc w:val="left"/>
              <w:rPr>
                <w:rFonts w:ascii="Calibri" w:eastAsia="Times New Roman" w:hAnsi="Calibri" w:cs="Calibri"/>
                <w:color w:val="000000"/>
                <w:sz w:val="24"/>
                <w:szCs w:val="24"/>
                <w:lang w:val="fr-FR"/>
              </w:rPr>
            </w:pPr>
            <w:r w:rsidRPr="00FC7A85">
              <w:rPr>
                <w:rFonts w:ascii="Calibri" w:eastAsia="Times New Roman" w:hAnsi="Calibri" w:cs="Calibri"/>
                <w:color w:val="000000"/>
                <w:sz w:val="24"/>
                <w:szCs w:val="24"/>
                <w:lang w:val="fr-FR"/>
              </w:rPr>
              <w:t> </w:t>
            </w:r>
            <w:proofErr w:type="spellStart"/>
            <w:r>
              <w:rPr>
                <w:rFonts w:ascii="Calibri" w:eastAsia="Times New Roman" w:hAnsi="Calibri" w:cs="Calibri"/>
                <w:color w:val="000000"/>
                <w:sz w:val="24"/>
                <w:szCs w:val="24"/>
                <w:lang w:val="fr-FR"/>
              </w:rPr>
              <w:fldChar w:fldCharType="begin"/>
            </w:r>
            <w:r>
              <w:rPr>
                <w:rFonts w:ascii="Calibri" w:eastAsia="Times New Roman" w:hAnsi="Calibri" w:cs="Calibri"/>
                <w:color w:val="000000"/>
                <w:sz w:val="24"/>
                <w:szCs w:val="24"/>
                <w:lang w:val="fr-FR"/>
              </w:rPr>
              <w:instrText>HYPERLINK "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w:instrText>
            </w:r>
            <w:r>
              <w:rPr>
                <w:rFonts w:ascii="Calibri" w:eastAsia="Times New Roman" w:hAnsi="Calibri" w:cs="Calibri"/>
                <w:color w:val="000000"/>
                <w:sz w:val="24"/>
                <w:szCs w:val="24"/>
                <w:lang w:val="fr-FR"/>
              </w:rPr>
            </w:r>
            <w:r>
              <w:rPr>
                <w:rFonts w:ascii="Calibri" w:eastAsia="Times New Roman" w:hAnsi="Calibri" w:cs="Calibri"/>
                <w:color w:val="000000"/>
                <w:sz w:val="24"/>
                <w:szCs w:val="24"/>
                <w:lang w:val="fr-FR"/>
              </w:rPr>
              <w:fldChar w:fldCharType="separate"/>
            </w:r>
            <w:r w:rsidRPr="003A3E12">
              <w:rPr>
                <w:rStyle w:val="Lienhypertexte"/>
                <w:rFonts w:ascii="Calibri" w:eastAsia="Times New Roman" w:hAnsi="Calibri" w:cs="Calibri"/>
                <w:sz w:val="24"/>
                <w:szCs w:val="24"/>
                <w:lang w:val="fr-FR"/>
              </w:rPr>
              <w:t>Zenodo</w:t>
            </w:r>
            <w:proofErr w:type="spellEnd"/>
            <w:r>
              <w:rPr>
                <w:rFonts w:ascii="Calibri" w:eastAsia="Times New Roman" w:hAnsi="Calibri" w:cs="Calibri"/>
                <w:color w:val="000000"/>
                <w:sz w:val="24"/>
                <w:szCs w:val="24"/>
                <w:lang w:val="fr-FR"/>
              </w:rPr>
              <w:fldChar w:fldCharType="end"/>
            </w:r>
          </w:p>
        </w:tc>
      </w:tr>
    </w:tbl>
    <w:p w14:paraId="02F64C12" w14:textId="77777777" w:rsidR="0098400C" w:rsidRPr="0010000F" w:rsidRDefault="0098400C" w:rsidP="0098400C">
      <w:pPr>
        <w:spacing w:before="0" w:after="60"/>
        <w:rPr>
          <w:lang w:val="en-US"/>
        </w:rPr>
      </w:pPr>
      <w:r>
        <w:rPr>
          <w:i/>
          <w:color w:val="666666"/>
          <w:sz w:val="20"/>
          <w:szCs w:val="20"/>
          <w:lang w:val="en-US"/>
        </w:rPr>
        <w:t>Table</w:t>
      </w:r>
      <w:r w:rsidRPr="0010000F">
        <w:rPr>
          <w:i/>
          <w:color w:val="666666"/>
          <w:sz w:val="20"/>
          <w:szCs w:val="20"/>
          <w:lang w:val="en-US"/>
        </w:rPr>
        <w:t xml:space="preserve"> </w:t>
      </w:r>
      <w:r>
        <w:rPr>
          <w:i/>
          <w:color w:val="666666"/>
          <w:sz w:val="20"/>
          <w:szCs w:val="20"/>
          <w:lang w:val="en-US"/>
        </w:rPr>
        <w:t>S1</w:t>
      </w:r>
      <w:r w:rsidRPr="0010000F">
        <w:rPr>
          <w:i/>
          <w:color w:val="666666"/>
          <w:sz w:val="20"/>
          <w:szCs w:val="20"/>
          <w:lang w:val="en-US"/>
        </w:rPr>
        <w:t xml:space="preserve">: </w:t>
      </w:r>
      <w:r>
        <w:rPr>
          <w:i/>
          <w:color w:val="666666"/>
          <w:sz w:val="20"/>
          <w:szCs w:val="20"/>
          <w:lang w:val="en-US"/>
        </w:rPr>
        <w:t>List of resources made publicly available through this project.</w:t>
      </w:r>
    </w:p>
    <w:p w14:paraId="3DC017F3" w14:textId="5F2457A6" w:rsidR="0098400C" w:rsidRDefault="0098400C">
      <w:pPr>
        <w:rPr>
          <w:lang w:val="en-US"/>
        </w:rPr>
      </w:pPr>
      <w:r>
        <w:rPr>
          <w:lang w:val="en-US"/>
        </w:rPr>
        <w:br w:type="page"/>
      </w:r>
    </w:p>
    <w:p w14:paraId="1043688E" w14:textId="77777777" w:rsidR="00FC7A85" w:rsidRDefault="00FC7A85" w:rsidP="0098400C">
      <w:pPr>
        <w:widowControl w:val="0"/>
        <w:pBdr>
          <w:top w:val="nil"/>
          <w:left w:val="nil"/>
          <w:bottom w:val="nil"/>
          <w:right w:val="nil"/>
          <w:between w:val="nil"/>
        </w:pBdr>
        <w:spacing w:before="0" w:after="60" w:line="240" w:lineRule="auto"/>
        <w:jc w:val="left"/>
        <w:rPr>
          <w:lang w:val="en-US"/>
        </w:rPr>
      </w:pPr>
    </w:p>
    <w:p w14:paraId="4388604D" w14:textId="1E783EC9" w:rsidR="00FC7A85" w:rsidRDefault="00FC7A85" w:rsidP="00B465D8">
      <w:pPr>
        <w:widowControl w:val="0"/>
        <w:pBdr>
          <w:top w:val="nil"/>
          <w:left w:val="nil"/>
          <w:bottom w:val="nil"/>
          <w:right w:val="nil"/>
          <w:between w:val="nil"/>
        </w:pBdr>
        <w:spacing w:before="0" w:after="60" w:line="240" w:lineRule="auto"/>
        <w:ind w:left="720" w:hanging="720"/>
        <w:jc w:val="left"/>
        <w:rPr>
          <w:lang w:val="en-US"/>
        </w:rPr>
      </w:pPr>
      <w:r>
        <w:rPr>
          <w:noProof/>
          <w:lang w:val="en-US"/>
        </w:rPr>
        <w:drawing>
          <wp:inline distT="0" distB="0" distL="0" distR="0" wp14:anchorId="420BA22C" wp14:editId="0972E62C">
            <wp:extent cx="5733415" cy="3225165"/>
            <wp:effectExtent l="0" t="0" r="0" b="635"/>
            <wp:docPr id="52315293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52932" name="Graphique 523152932"/>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33415" cy="3225165"/>
                    </a:xfrm>
                    <a:prstGeom prst="rect">
                      <a:avLst/>
                    </a:prstGeom>
                  </pic:spPr>
                </pic:pic>
              </a:graphicData>
            </a:graphic>
          </wp:inline>
        </w:drawing>
      </w:r>
    </w:p>
    <w:p w14:paraId="4EEA6A18" w14:textId="4F8BFE5A" w:rsidR="00FC7A85" w:rsidRDefault="00FC7A85" w:rsidP="00B465D8">
      <w:pPr>
        <w:spacing w:before="0" w:after="60"/>
        <w:rPr>
          <w:i/>
          <w:color w:val="666666"/>
          <w:sz w:val="20"/>
          <w:szCs w:val="20"/>
          <w:lang w:val="en-US"/>
        </w:rPr>
      </w:pPr>
      <w:r w:rsidRPr="0010000F">
        <w:rPr>
          <w:i/>
          <w:color w:val="666666"/>
          <w:sz w:val="20"/>
          <w:szCs w:val="20"/>
          <w:lang w:val="en-US"/>
        </w:rPr>
        <w:t xml:space="preserve">Figure </w:t>
      </w:r>
      <w:r>
        <w:rPr>
          <w:i/>
          <w:color w:val="666666"/>
          <w:sz w:val="20"/>
          <w:szCs w:val="20"/>
          <w:lang w:val="en-US"/>
        </w:rPr>
        <w:t>S1</w:t>
      </w:r>
      <w:r w:rsidRPr="0010000F">
        <w:rPr>
          <w:i/>
          <w:color w:val="666666"/>
          <w:sz w:val="20"/>
          <w:szCs w:val="20"/>
          <w:lang w:val="en-US"/>
        </w:rPr>
        <w:t xml:space="preserve">: </w:t>
      </w:r>
      <w:r>
        <w:rPr>
          <w:i/>
          <w:color w:val="666666"/>
          <w:sz w:val="20"/>
          <w:szCs w:val="20"/>
          <w:lang w:val="en-US"/>
        </w:rPr>
        <w:t xml:space="preserve">Diagram of bioinformatics steps implemented to produce AGC and CAG-level matrices from raw metagenomic reads. Steps 1. to 4. are implemented in </w:t>
      </w:r>
      <w:r w:rsidR="004B1937">
        <w:rPr>
          <w:i/>
          <w:color w:val="666666"/>
          <w:sz w:val="20"/>
          <w:szCs w:val="20"/>
          <w:lang w:val="en-US"/>
        </w:rPr>
        <w:t>our</w:t>
      </w:r>
      <w:r>
        <w:rPr>
          <w:i/>
          <w:color w:val="666666"/>
          <w:sz w:val="20"/>
          <w:szCs w:val="20"/>
          <w:lang w:val="en-US"/>
        </w:rPr>
        <w:t xml:space="preserve"> NOEMIE </w:t>
      </w:r>
      <w:proofErr w:type="spellStart"/>
      <w:r>
        <w:rPr>
          <w:i/>
          <w:color w:val="666666"/>
          <w:sz w:val="20"/>
          <w:szCs w:val="20"/>
          <w:lang w:val="en-US"/>
        </w:rPr>
        <w:t>Nextflow</w:t>
      </w:r>
      <w:proofErr w:type="spellEnd"/>
      <w:r>
        <w:rPr>
          <w:i/>
          <w:color w:val="666666"/>
          <w:sz w:val="20"/>
          <w:szCs w:val="20"/>
          <w:lang w:val="en-US"/>
        </w:rPr>
        <w:t xml:space="preserve"> pipeline</w:t>
      </w:r>
      <w:r w:rsidR="004B1937">
        <w:rPr>
          <w:i/>
          <w:color w:val="666666"/>
          <w:sz w:val="20"/>
          <w:szCs w:val="20"/>
          <w:lang w:val="en-US"/>
        </w:rPr>
        <w:t xml:space="preserve">, now publicly available at </w:t>
      </w:r>
      <w:hyperlink r:id="rId12" w:history="1">
        <w:r w:rsidR="004B1937" w:rsidRPr="004B1937">
          <w:rPr>
            <w:rStyle w:val="Lienhypertexte"/>
            <w:i/>
            <w:sz w:val="20"/>
            <w:szCs w:val="20"/>
            <w:lang w:val="en-US"/>
          </w:rPr>
          <w:t>https://gitlab.ifremer.fr/bioinfo/workflows/noemie</w:t>
        </w:r>
      </w:hyperlink>
      <w:r>
        <w:rPr>
          <w:i/>
          <w:color w:val="666666"/>
          <w:sz w:val="20"/>
          <w:szCs w:val="20"/>
          <w:lang w:val="en-US"/>
        </w:rPr>
        <w:t>.</w:t>
      </w:r>
    </w:p>
    <w:p w14:paraId="0995A152" w14:textId="4C5A83DB" w:rsidR="00FC7A85" w:rsidRDefault="00FC7A85" w:rsidP="00B465D8">
      <w:pPr>
        <w:spacing w:before="0" w:after="60"/>
        <w:rPr>
          <w:i/>
          <w:color w:val="666666"/>
          <w:sz w:val="20"/>
          <w:szCs w:val="20"/>
          <w:lang w:val="en-US"/>
        </w:rPr>
      </w:pPr>
      <w:r>
        <w:rPr>
          <w:i/>
          <w:color w:val="666666"/>
          <w:sz w:val="20"/>
          <w:szCs w:val="20"/>
          <w:lang w:val="en-US"/>
        </w:rPr>
        <w:br w:type="page"/>
      </w:r>
    </w:p>
    <w:p w14:paraId="478143D2" w14:textId="77777777" w:rsidR="00FC7A85" w:rsidRDefault="00FC7A85" w:rsidP="00B465D8">
      <w:pPr>
        <w:spacing w:before="0" w:after="60"/>
        <w:rPr>
          <w:i/>
          <w:color w:val="666666"/>
          <w:sz w:val="20"/>
          <w:szCs w:val="20"/>
          <w:lang w:val="en-US"/>
        </w:rPr>
      </w:pPr>
    </w:p>
    <w:p w14:paraId="6B20E167" w14:textId="6DBB6EB2" w:rsidR="00FC7A85" w:rsidRDefault="00FC7A85" w:rsidP="00B465D8">
      <w:pPr>
        <w:spacing w:before="0" w:after="60"/>
        <w:rPr>
          <w:lang w:val="en-US"/>
        </w:rPr>
      </w:pPr>
      <w:r>
        <w:rPr>
          <w:noProof/>
          <w:lang w:val="en-US"/>
        </w:rPr>
        <w:drawing>
          <wp:inline distT="0" distB="0" distL="0" distR="0" wp14:anchorId="4A92A7BD" wp14:editId="55A2371D">
            <wp:extent cx="5733415" cy="4056380"/>
            <wp:effectExtent l="0" t="0" r="0" b="0"/>
            <wp:docPr id="21155275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27573" name="Image 2115527573"/>
                    <pic:cNvPicPr/>
                  </pic:nvPicPr>
                  <pic:blipFill>
                    <a:blip r:embed="rId13">
                      <a:extLst>
                        <a:ext uri="{28A0092B-C50C-407E-A947-70E740481C1C}">
                          <a14:useLocalDpi xmlns:a14="http://schemas.microsoft.com/office/drawing/2010/main" val="0"/>
                        </a:ext>
                      </a:extLst>
                    </a:blip>
                    <a:stretch>
                      <a:fillRect/>
                    </a:stretch>
                  </pic:blipFill>
                  <pic:spPr>
                    <a:xfrm>
                      <a:off x="0" y="0"/>
                      <a:ext cx="5733415" cy="4056380"/>
                    </a:xfrm>
                    <a:prstGeom prst="rect">
                      <a:avLst/>
                    </a:prstGeom>
                  </pic:spPr>
                </pic:pic>
              </a:graphicData>
            </a:graphic>
          </wp:inline>
        </w:drawing>
      </w:r>
    </w:p>
    <w:p w14:paraId="104289FC" w14:textId="2A041F7B" w:rsidR="00FC7A85" w:rsidRPr="0010000F" w:rsidRDefault="00FC7A85" w:rsidP="00B465D8">
      <w:pPr>
        <w:spacing w:before="0" w:after="60"/>
        <w:rPr>
          <w:lang w:val="en-US"/>
        </w:rPr>
      </w:pPr>
      <w:r w:rsidRPr="0010000F">
        <w:rPr>
          <w:i/>
          <w:color w:val="666666"/>
          <w:sz w:val="20"/>
          <w:szCs w:val="20"/>
          <w:lang w:val="en-US"/>
        </w:rPr>
        <w:t xml:space="preserve">Figure </w:t>
      </w:r>
      <w:r>
        <w:rPr>
          <w:i/>
          <w:color w:val="666666"/>
          <w:sz w:val="20"/>
          <w:szCs w:val="20"/>
          <w:lang w:val="en-US"/>
        </w:rPr>
        <w:t>S2</w:t>
      </w:r>
      <w:r w:rsidRPr="0010000F">
        <w:rPr>
          <w:i/>
          <w:color w:val="666666"/>
          <w:sz w:val="20"/>
          <w:szCs w:val="20"/>
          <w:lang w:val="en-US"/>
        </w:rPr>
        <w:t xml:space="preserve">: </w:t>
      </w:r>
      <w:r w:rsidR="004B1937">
        <w:rPr>
          <w:i/>
          <w:color w:val="666666"/>
          <w:sz w:val="20"/>
          <w:szCs w:val="20"/>
          <w:lang w:val="en-US"/>
        </w:rPr>
        <w:t xml:space="preserve">AGNOSTOS gene clusters (AGC) </w:t>
      </w:r>
      <w:r>
        <w:rPr>
          <w:i/>
          <w:color w:val="666666"/>
          <w:sz w:val="20"/>
          <w:szCs w:val="20"/>
          <w:lang w:val="en-US"/>
        </w:rPr>
        <w:t xml:space="preserve">based collector curves across the 218 ACE metagenomes, drawn using different thresholds on detection. Detection is the proportion of nucleotide in a given ORF mapped with a coverage of at least 1X. As described in </w:t>
      </w:r>
      <w:r w:rsidR="00914BAF">
        <w:rPr>
          <w:i/>
          <w:color w:val="666666"/>
          <w:sz w:val="20"/>
          <w:szCs w:val="20"/>
          <w:lang w:val="en-US"/>
        </w:rPr>
        <w:t>the</w:t>
      </w:r>
      <w:r>
        <w:rPr>
          <w:i/>
          <w:color w:val="666666"/>
          <w:sz w:val="20"/>
          <w:szCs w:val="20"/>
          <w:lang w:val="en-US"/>
        </w:rPr>
        <w:t xml:space="preserve"> methods, AGC-level detection in a given sample is defined as the maximum </w:t>
      </w:r>
      <w:r w:rsidR="001E42FE">
        <w:rPr>
          <w:i/>
          <w:color w:val="666666"/>
          <w:sz w:val="20"/>
          <w:szCs w:val="20"/>
          <w:lang w:val="en-US"/>
        </w:rPr>
        <w:t xml:space="preserve">detection </w:t>
      </w:r>
      <w:r>
        <w:rPr>
          <w:i/>
          <w:color w:val="666666"/>
          <w:sz w:val="20"/>
          <w:szCs w:val="20"/>
          <w:lang w:val="en-US"/>
        </w:rPr>
        <w:t xml:space="preserve">value across all ORFs constituting the AGC. Coverage values corresponding to detection values below threshold are then switched to 0. Higher thresholds thus guarantee that at least one ORF in the AGC was mapped across </w:t>
      </w:r>
      <w:r w:rsidR="004B1937">
        <w:rPr>
          <w:i/>
          <w:color w:val="666666"/>
          <w:sz w:val="20"/>
          <w:szCs w:val="20"/>
          <w:lang w:val="en-US"/>
        </w:rPr>
        <w:t xml:space="preserve">a significant part of its </w:t>
      </w:r>
      <w:r>
        <w:rPr>
          <w:i/>
          <w:color w:val="666666"/>
          <w:sz w:val="20"/>
          <w:szCs w:val="20"/>
          <w:lang w:val="en-US"/>
        </w:rPr>
        <w:t xml:space="preserve">length by reads, but they provoke false negatives, as shown by the low maximum on the </w:t>
      </w:r>
      <w:r w:rsidR="001E42FE">
        <w:rPr>
          <w:i/>
          <w:color w:val="666666"/>
          <w:sz w:val="20"/>
          <w:szCs w:val="20"/>
          <w:lang w:val="en-US"/>
        </w:rPr>
        <w:t>100% detection threshold</w:t>
      </w:r>
      <w:r>
        <w:rPr>
          <w:i/>
          <w:color w:val="666666"/>
          <w:sz w:val="20"/>
          <w:szCs w:val="20"/>
          <w:lang w:val="en-US"/>
        </w:rPr>
        <w:t xml:space="preserve"> collector curve</w:t>
      </w:r>
      <w:r w:rsidR="001E42FE">
        <w:rPr>
          <w:i/>
          <w:color w:val="666666"/>
          <w:sz w:val="20"/>
          <w:szCs w:val="20"/>
          <w:lang w:val="en-US"/>
        </w:rPr>
        <w:t xml:space="preserve"> which misses </w:t>
      </w:r>
      <w:r>
        <w:rPr>
          <w:i/>
          <w:color w:val="666666"/>
          <w:sz w:val="20"/>
          <w:szCs w:val="20"/>
          <w:lang w:val="en-US"/>
        </w:rPr>
        <w:t xml:space="preserve">about 10 million assembled </w:t>
      </w:r>
      <w:r w:rsidR="004B1937">
        <w:rPr>
          <w:i/>
          <w:color w:val="666666"/>
          <w:sz w:val="20"/>
          <w:szCs w:val="20"/>
          <w:lang w:val="en-US"/>
        </w:rPr>
        <w:t xml:space="preserve">gene </w:t>
      </w:r>
      <w:r>
        <w:rPr>
          <w:i/>
          <w:color w:val="666666"/>
          <w:sz w:val="20"/>
          <w:szCs w:val="20"/>
          <w:lang w:val="en-US"/>
        </w:rPr>
        <w:t>clusters. In most metagenomics projects, collector curves are drawn without setting thresholds on coverage or detection, producing potentially misleading results.</w:t>
      </w:r>
    </w:p>
    <w:p w14:paraId="6AF77B30" w14:textId="42AC7305" w:rsidR="00FC7A85" w:rsidRDefault="00FC7A85" w:rsidP="00B465D8">
      <w:pPr>
        <w:spacing w:before="0" w:after="60"/>
        <w:rPr>
          <w:lang w:val="en-US"/>
        </w:rPr>
      </w:pPr>
      <w:r>
        <w:rPr>
          <w:lang w:val="en-US"/>
        </w:rPr>
        <w:br w:type="page"/>
      </w:r>
    </w:p>
    <w:p w14:paraId="7C0DC0EE" w14:textId="7BD572C7" w:rsidR="00FC7A85" w:rsidRDefault="00FC7A85" w:rsidP="00B465D8">
      <w:pPr>
        <w:widowControl w:val="0"/>
        <w:pBdr>
          <w:top w:val="nil"/>
          <w:left w:val="nil"/>
          <w:bottom w:val="nil"/>
          <w:right w:val="nil"/>
          <w:between w:val="nil"/>
        </w:pBdr>
        <w:spacing w:before="0" w:after="60" w:line="240" w:lineRule="auto"/>
        <w:ind w:left="720" w:hanging="720"/>
        <w:jc w:val="left"/>
        <w:rPr>
          <w:lang w:val="en-US"/>
        </w:rPr>
      </w:pPr>
      <w:r>
        <w:rPr>
          <w:noProof/>
          <w:lang w:val="en-US"/>
        </w:rPr>
        <w:lastRenderedPageBreak/>
        <w:drawing>
          <wp:inline distT="0" distB="0" distL="0" distR="0" wp14:anchorId="46A1481C" wp14:editId="31DFFD5F">
            <wp:extent cx="5732951" cy="3629944"/>
            <wp:effectExtent l="0" t="0" r="0" b="2540"/>
            <wp:docPr id="14511063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06319" name="Image 1451106319"/>
                    <pic:cNvPicPr/>
                  </pic:nvPicPr>
                  <pic:blipFill rotWithShape="1">
                    <a:blip r:embed="rId14" cstate="print">
                      <a:extLst>
                        <a:ext uri="{28A0092B-C50C-407E-A947-70E740481C1C}">
                          <a14:useLocalDpi xmlns:a14="http://schemas.microsoft.com/office/drawing/2010/main" val="0"/>
                        </a:ext>
                      </a:extLst>
                    </a:blip>
                    <a:srcRect t="14284" b="22399"/>
                    <a:stretch/>
                  </pic:blipFill>
                  <pic:spPr bwMode="auto">
                    <a:xfrm>
                      <a:off x="0" y="0"/>
                      <a:ext cx="5733415" cy="3630238"/>
                    </a:xfrm>
                    <a:prstGeom prst="rect">
                      <a:avLst/>
                    </a:prstGeom>
                    <a:ln>
                      <a:noFill/>
                    </a:ln>
                    <a:extLst>
                      <a:ext uri="{53640926-AAD7-44D8-BBD7-CCE9431645EC}">
                        <a14:shadowObscured xmlns:a14="http://schemas.microsoft.com/office/drawing/2010/main"/>
                      </a:ext>
                    </a:extLst>
                  </pic:spPr>
                </pic:pic>
              </a:graphicData>
            </a:graphic>
          </wp:inline>
        </w:drawing>
      </w:r>
    </w:p>
    <w:p w14:paraId="51B08BE1" w14:textId="7179AC38" w:rsidR="00FC7A85" w:rsidRPr="0010000F" w:rsidRDefault="00FC7A85" w:rsidP="00B465D8">
      <w:pPr>
        <w:spacing w:before="0" w:after="60"/>
        <w:rPr>
          <w:lang w:val="en-US"/>
        </w:rPr>
      </w:pPr>
      <w:r w:rsidRPr="0010000F">
        <w:rPr>
          <w:i/>
          <w:color w:val="666666"/>
          <w:sz w:val="20"/>
          <w:szCs w:val="20"/>
          <w:lang w:val="en-US"/>
        </w:rPr>
        <w:t xml:space="preserve">Figure </w:t>
      </w:r>
      <w:r>
        <w:rPr>
          <w:i/>
          <w:color w:val="666666"/>
          <w:sz w:val="20"/>
          <w:szCs w:val="20"/>
          <w:lang w:val="en-US"/>
        </w:rPr>
        <w:t>S3</w:t>
      </w:r>
      <w:r w:rsidRPr="0010000F">
        <w:rPr>
          <w:i/>
          <w:color w:val="666666"/>
          <w:sz w:val="20"/>
          <w:szCs w:val="20"/>
          <w:lang w:val="en-US"/>
        </w:rPr>
        <w:t xml:space="preserve">: </w:t>
      </w:r>
      <w:r>
        <w:rPr>
          <w:i/>
          <w:color w:val="666666"/>
          <w:sz w:val="20"/>
          <w:szCs w:val="20"/>
          <w:lang w:val="en-US"/>
        </w:rPr>
        <w:t>20 best environmental predictors of AGC</w:t>
      </w:r>
      <w:r w:rsidRPr="0010000F">
        <w:rPr>
          <w:i/>
          <w:color w:val="666666"/>
          <w:sz w:val="20"/>
          <w:szCs w:val="20"/>
          <w:lang w:val="en-US"/>
        </w:rPr>
        <w:t xml:space="preserve"> abundance</w:t>
      </w:r>
      <w:r>
        <w:rPr>
          <w:i/>
          <w:color w:val="666666"/>
          <w:sz w:val="20"/>
          <w:szCs w:val="20"/>
          <w:lang w:val="en-US"/>
        </w:rPr>
        <w:t xml:space="preserve"> at SO-scale. Boxplots of ranked importance across all random forest models are drawn for each predictor</w:t>
      </w:r>
      <w:r w:rsidRPr="0010000F">
        <w:rPr>
          <w:i/>
          <w:color w:val="666666"/>
          <w:sz w:val="20"/>
          <w:szCs w:val="20"/>
          <w:lang w:val="en-US"/>
        </w:rPr>
        <w:t xml:space="preserve"> in the free-living (A) and &gt;3µm (B) size-fractions.</w:t>
      </w:r>
      <w:r>
        <w:rPr>
          <w:i/>
          <w:color w:val="666666"/>
          <w:sz w:val="20"/>
          <w:szCs w:val="20"/>
          <w:lang w:val="en-US"/>
        </w:rPr>
        <w:t xml:space="preserve"> Ranked importance reflects the position of importance in predictions, from 1 (the most important predictor) to 50 (the least important).</w:t>
      </w:r>
    </w:p>
    <w:p w14:paraId="047BD7D6" w14:textId="47979BCC" w:rsidR="0098400C" w:rsidRDefault="0098400C">
      <w:pPr>
        <w:rPr>
          <w:lang w:val="en-US"/>
        </w:rPr>
      </w:pPr>
      <w:r>
        <w:rPr>
          <w:lang w:val="en-US"/>
        </w:rPr>
        <w:br w:type="page"/>
      </w:r>
    </w:p>
    <w:p w14:paraId="1E40CAD6" w14:textId="77777777" w:rsidR="00FC7A85" w:rsidRDefault="00FC7A85" w:rsidP="00B465D8">
      <w:pPr>
        <w:widowControl w:val="0"/>
        <w:pBdr>
          <w:top w:val="nil"/>
          <w:left w:val="nil"/>
          <w:bottom w:val="nil"/>
          <w:right w:val="nil"/>
          <w:between w:val="nil"/>
        </w:pBdr>
        <w:spacing w:before="0" w:after="60" w:line="240" w:lineRule="auto"/>
        <w:ind w:left="720" w:hanging="720"/>
        <w:jc w:val="left"/>
        <w:rPr>
          <w:lang w:val="en-US"/>
        </w:rPr>
      </w:pPr>
    </w:p>
    <w:p w14:paraId="66B1F2D4" w14:textId="6AACA39D" w:rsidR="0010000F" w:rsidRDefault="0010000F" w:rsidP="00B465D8">
      <w:pPr>
        <w:widowControl w:val="0"/>
        <w:pBdr>
          <w:top w:val="nil"/>
          <w:left w:val="nil"/>
          <w:bottom w:val="nil"/>
          <w:right w:val="nil"/>
          <w:between w:val="nil"/>
        </w:pBdr>
        <w:spacing w:before="0" w:after="60" w:line="240" w:lineRule="auto"/>
        <w:ind w:left="720" w:hanging="720"/>
        <w:jc w:val="left"/>
        <w:rPr>
          <w:lang w:val="en-US"/>
        </w:rPr>
      </w:pPr>
      <w:r>
        <w:rPr>
          <w:noProof/>
        </w:rPr>
        <w:drawing>
          <wp:inline distT="114300" distB="114300" distL="114300" distR="114300" wp14:anchorId="2AC1D984" wp14:editId="72E849EE">
            <wp:extent cx="5733415" cy="263241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3664" b="50341"/>
                    <a:stretch>
                      <a:fillRect/>
                    </a:stretch>
                  </pic:blipFill>
                  <pic:spPr>
                    <a:xfrm>
                      <a:off x="0" y="0"/>
                      <a:ext cx="5733415" cy="2632418"/>
                    </a:xfrm>
                    <a:prstGeom prst="rect">
                      <a:avLst/>
                    </a:prstGeom>
                    <a:ln/>
                  </pic:spPr>
                </pic:pic>
              </a:graphicData>
            </a:graphic>
          </wp:inline>
        </w:drawing>
      </w:r>
    </w:p>
    <w:p w14:paraId="4E85D200" w14:textId="7EE06FEC" w:rsidR="0010000F" w:rsidRPr="00B71174" w:rsidRDefault="0010000F" w:rsidP="00B465D8">
      <w:pPr>
        <w:spacing w:before="0" w:after="60"/>
        <w:rPr>
          <w:i/>
          <w:iCs/>
          <w:color w:val="666666"/>
          <w:lang w:val="en-US"/>
        </w:rPr>
      </w:pPr>
      <w:r w:rsidRPr="0010000F">
        <w:rPr>
          <w:i/>
          <w:color w:val="666666"/>
          <w:sz w:val="20"/>
          <w:szCs w:val="20"/>
          <w:lang w:val="en-US"/>
        </w:rPr>
        <w:t xml:space="preserve">Figure </w:t>
      </w:r>
      <w:r>
        <w:rPr>
          <w:i/>
          <w:color w:val="666666"/>
          <w:sz w:val="20"/>
          <w:szCs w:val="20"/>
          <w:lang w:val="en-US"/>
        </w:rPr>
        <w:t>S</w:t>
      </w:r>
      <w:r w:rsidR="00FC7A85">
        <w:rPr>
          <w:i/>
          <w:color w:val="666666"/>
          <w:sz w:val="20"/>
          <w:szCs w:val="20"/>
          <w:lang w:val="en-US"/>
        </w:rPr>
        <w:t>4</w:t>
      </w:r>
      <w:r w:rsidRPr="0010000F">
        <w:rPr>
          <w:i/>
          <w:color w:val="666666"/>
          <w:sz w:val="20"/>
          <w:szCs w:val="20"/>
          <w:lang w:val="en-US"/>
        </w:rPr>
        <w:t>: Gene clusters’ abundance can be predicted from environmental context at Southern Ocean scale. The density of cross-validation R-squared is compared between models using environmental context to predict AGC abundance (blue), and the same models using randomly permuted environmental context (red). This is achieved for each AGC in the free-living (A) and &gt;3µm (B) size-fractions.</w:t>
      </w:r>
      <w:r w:rsidR="00B71174">
        <w:rPr>
          <w:i/>
          <w:color w:val="666666"/>
          <w:sz w:val="20"/>
          <w:szCs w:val="20"/>
          <w:lang w:val="en-US"/>
        </w:rPr>
        <w:t xml:space="preserve"> </w:t>
      </w:r>
      <w:r w:rsidR="00B71174" w:rsidRPr="00B71174">
        <w:rPr>
          <w:i/>
          <w:iCs/>
          <w:color w:val="666666"/>
          <w:lang w:val="en-US"/>
        </w:rPr>
        <w:t>Cross-validation R</w:t>
      </w:r>
      <w:r w:rsidR="00B71174" w:rsidRPr="00B71174">
        <w:rPr>
          <w:i/>
          <w:iCs/>
          <w:color w:val="666666"/>
          <w:vertAlign w:val="superscript"/>
          <w:lang w:val="en-US"/>
        </w:rPr>
        <w:t>2</w:t>
      </w:r>
      <w:r w:rsidR="00B71174" w:rsidRPr="00B71174">
        <w:rPr>
          <w:i/>
          <w:iCs/>
          <w:color w:val="666666"/>
          <w:lang w:val="en-US"/>
        </w:rPr>
        <w:t xml:space="preserve"> values ranged from 0.2% to 92.5% (mean = 32.0%, median = 31.3%) across 1,906,624 models for the free-living size fraction, and from 0.3% to 93.5% (mean = 36.1%; median = 33.4%) across 2,437,988 models for the &gt;3 µm size fraction (Figure S4). The same protocol was applied after randomly permuting rows in the environmental metadata, twice for each size fraction (Figure S4). For the free-living size fraction (resp. &gt;3µm), 95% of models built on permuted data showed R</w:t>
      </w:r>
      <w:r w:rsidR="00B71174" w:rsidRPr="00B71174">
        <w:rPr>
          <w:i/>
          <w:iCs/>
          <w:color w:val="666666"/>
          <w:vertAlign w:val="superscript"/>
          <w:lang w:val="en-US"/>
        </w:rPr>
        <w:t>2</w:t>
      </w:r>
      <w:r w:rsidR="00B71174" w:rsidRPr="00B71174">
        <w:rPr>
          <w:i/>
          <w:iCs/>
          <w:color w:val="666666"/>
          <w:lang w:val="en-US"/>
        </w:rPr>
        <w:t xml:space="preserve"> values below 8.1% and 9.2% (resp. 11.8% and 14.6%) in each permutation.</w:t>
      </w:r>
    </w:p>
    <w:p w14:paraId="2B1A5D5E" w14:textId="7A72D879" w:rsidR="0098400C" w:rsidRDefault="0098400C">
      <w:pPr>
        <w:rPr>
          <w:lang w:val="en-US"/>
        </w:rPr>
      </w:pPr>
      <w:r>
        <w:rPr>
          <w:lang w:val="en-US"/>
        </w:rPr>
        <w:br w:type="page"/>
      </w:r>
    </w:p>
    <w:p w14:paraId="22E7A567" w14:textId="77777777" w:rsidR="00F61457" w:rsidRDefault="00F61457" w:rsidP="00B465D8">
      <w:pPr>
        <w:spacing w:before="0" w:after="60"/>
        <w:rPr>
          <w:lang w:val="en-US"/>
        </w:rPr>
      </w:pPr>
    </w:p>
    <w:p w14:paraId="77D96042" w14:textId="77777777" w:rsidR="00B32291" w:rsidRDefault="00B32291" w:rsidP="00B465D8">
      <w:pPr>
        <w:spacing w:before="0" w:after="60"/>
        <w:rPr>
          <w:lang w:val="en-US"/>
        </w:rPr>
      </w:pPr>
      <w:r>
        <w:rPr>
          <w:noProof/>
          <w:lang w:val="en-US"/>
        </w:rPr>
        <w:drawing>
          <wp:inline distT="0" distB="0" distL="0" distR="0" wp14:anchorId="006783B9" wp14:editId="2E95AA1A">
            <wp:extent cx="5733295" cy="2953657"/>
            <wp:effectExtent l="0" t="0" r="0" b="5715"/>
            <wp:docPr id="2120488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88827" name="Image 2120488827"/>
                    <pic:cNvPicPr/>
                  </pic:nvPicPr>
                  <pic:blipFill rotWithShape="1">
                    <a:blip r:embed="rId16" cstate="print">
                      <a:extLst>
                        <a:ext uri="{28A0092B-C50C-407E-A947-70E740481C1C}">
                          <a14:useLocalDpi xmlns:a14="http://schemas.microsoft.com/office/drawing/2010/main" val="0"/>
                        </a:ext>
                      </a:extLst>
                    </a:blip>
                    <a:srcRect t="24176" b="24307"/>
                    <a:stretch/>
                  </pic:blipFill>
                  <pic:spPr bwMode="auto">
                    <a:xfrm>
                      <a:off x="0" y="0"/>
                      <a:ext cx="5733415" cy="2953719"/>
                    </a:xfrm>
                    <a:prstGeom prst="rect">
                      <a:avLst/>
                    </a:prstGeom>
                    <a:ln>
                      <a:noFill/>
                    </a:ln>
                    <a:extLst>
                      <a:ext uri="{53640926-AAD7-44D8-BBD7-CCE9431645EC}">
                        <a14:shadowObscured xmlns:a14="http://schemas.microsoft.com/office/drawing/2010/main"/>
                      </a:ext>
                    </a:extLst>
                  </pic:spPr>
                </pic:pic>
              </a:graphicData>
            </a:graphic>
          </wp:inline>
        </w:drawing>
      </w:r>
    </w:p>
    <w:p w14:paraId="694ECE97" w14:textId="34FA69D6" w:rsidR="00B32291" w:rsidRDefault="00B32291" w:rsidP="00B465D8">
      <w:pPr>
        <w:spacing w:before="0" w:after="60"/>
        <w:rPr>
          <w:i/>
          <w:color w:val="666666"/>
          <w:sz w:val="20"/>
          <w:szCs w:val="20"/>
          <w:lang w:val="en-US"/>
        </w:rPr>
      </w:pPr>
      <w:r w:rsidRPr="0010000F">
        <w:rPr>
          <w:i/>
          <w:color w:val="666666"/>
          <w:sz w:val="20"/>
          <w:szCs w:val="20"/>
          <w:lang w:val="en-US"/>
        </w:rPr>
        <w:t xml:space="preserve">Figure </w:t>
      </w:r>
      <w:r>
        <w:rPr>
          <w:i/>
          <w:color w:val="666666"/>
          <w:sz w:val="20"/>
          <w:szCs w:val="20"/>
          <w:lang w:val="en-US"/>
        </w:rPr>
        <w:t>S5:</w:t>
      </w:r>
      <w:r w:rsidRPr="0010000F">
        <w:rPr>
          <w:i/>
          <w:color w:val="666666"/>
          <w:sz w:val="20"/>
          <w:szCs w:val="20"/>
          <w:lang w:val="en-US"/>
        </w:rPr>
        <w:t xml:space="preserve"> Redundancy analysis of CAGs abundance in response to environmental metadata in the &gt;3µm size fractions. RDA </w:t>
      </w:r>
      <w:proofErr w:type="spellStart"/>
      <w:r w:rsidRPr="0010000F">
        <w:rPr>
          <w:i/>
          <w:color w:val="666666"/>
          <w:sz w:val="20"/>
          <w:szCs w:val="20"/>
          <w:lang w:val="en-US"/>
        </w:rPr>
        <w:t>triplot</w:t>
      </w:r>
      <w:proofErr w:type="spellEnd"/>
      <w:r w:rsidRPr="0010000F">
        <w:rPr>
          <w:i/>
          <w:color w:val="666666"/>
          <w:sz w:val="20"/>
          <w:szCs w:val="20"/>
          <w:lang w:val="en-US"/>
        </w:rPr>
        <w:t xml:space="preserve"> </w:t>
      </w:r>
      <w:r w:rsidR="00E51CF9">
        <w:rPr>
          <w:i/>
          <w:color w:val="666666"/>
          <w:sz w:val="20"/>
          <w:szCs w:val="20"/>
          <w:lang w:val="en-US"/>
        </w:rPr>
        <w:t>was</w:t>
      </w:r>
      <w:r w:rsidRPr="0010000F">
        <w:rPr>
          <w:i/>
          <w:color w:val="666666"/>
          <w:sz w:val="20"/>
          <w:szCs w:val="20"/>
          <w:lang w:val="en-US"/>
        </w:rPr>
        <w:t xml:space="preserve"> separated in two parts for better readability, A showing the distribution of CAGs in the RDA space, colored according to their mean random forest R-squared (reflecting the predictability of their abundance using environmental data). The size of each dot corresponds to the size of the CAG, in number of </w:t>
      </w:r>
      <w:r w:rsidR="00F564AC">
        <w:rPr>
          <w:i/>
          <w:color w:val="666666"/>
          <w:sz w:val="20"/>
          <w:szCs w:val="20"/>
          <w:lang w:val="en-US"/>
        </w:rPr>
        <w:t>env</w:t>
      </w:r>
      <w:r w:rsidRPr="0010000F">
        <w:rPr>
          <w:i/>
          <w:color w:val="666666"/>
          <w:sz w:val="20"/>
          <w:szCs w:val="20"/>
          <w:lang w:val="en-US"/>
        </w:rPr>
        <w:t xml:space="preserve">-AGC. The different CAGs of interest mentioned in the main text are indicated with grey labels. </w:t>
      </w:r>
      <w:r w:rsidR="00E51CF9">
        <w:rPr>
          <w:i/>
          <w:color w:val="666666"/>
          <w:sz w:val="20"/>
          <w:szCs w:val="20"/>
          <w:lang w:val="en-US"/>
        </w:rPr>
        <w:t>(</w:t>
      </w:r>
      <w:r w:rsidRPr="0010000F">
        <w:rPr>
          <w:i/>
          <w:color w:val="666666"/>
          <w:sz w:val="20"/>
          <w:szCs w:val="20"/>
          <w:lang w:val="en-US"/>
        </w:rPr>
        <w:t>B</w:t>
      </w:r>
      <w:r w:rsidR="00E51CF9">
        <w:rPr>
          <w:i/>
          <w:color w:val="666666"/>
          <w:sz w:val="20"/>
          <w:szCs w:val="20"/>
          <w:lang w:val="en-US"/>
        </w:rPr>
        <w:t>)</w:t>
      </w:r>
      <w:r w:rsidRPr="0010000F">
        <w:rPr>
          <w:i/>
          <w:color w:val="666666"/>
          <w:sz w:val="20"/>
          <w:szCs w:val="20"/>
          <w:lang w:val="en-US"/>
        </w:rPr>
        <w:t xml:space="preserve"> show</w:t>
      </w:r>
      <w:r w:rsidR="00E51CF9">
        <w:rPr>
          <w:i/>
          <w:color w:val="666666"/>
          <w:sz w:val="20"/>
          <w:szCs w:val="20"/>
          <w:lang w:val="en-US"/>
        </w:rPr>
        <w:t>s</w:t>
      </w:r>
      <w:r w:rsidRPr="0010000F">
        <w:rPr>
          <w:i/>
          <w:color w:val="666666"/>
          <w:sz w:val="20"/>
          <w:szCs w:val="20"/>
          <w:lang w:val="en-US"/>
        </w:rPr>
        <w:t xml:space="preserve"> both samples and environmental variables distribution in the RDA space. Samples are colored according to their water mass of origin, as in Fig. 3. The first axis of the RDA opposed warmer, low latitude samples (RDA1&gt;0) from colder, coastal Antarctic samples (RDA1&lt;0). The second axis opposed rich samples (RDA2&gt;0) from samples limited in nutrients (RDA2&lt;0).</w:t>
      </w:r>
    </w:p>
    <w:p w14:paraId="5E7F53DA" w14:textId="0A8FAB77" w:rsidR="00FC7A85" w:rsidRDefault="00FC7A85" w:rsidP="00B465D8">
      <w:pPr>
        <w:spacing w:before="0" w:after="60"/>
        <w:rPr>
          <w:lang w:val="en-US"/>
        </w:rPr>
      </w:pPr>
      <w:r>
        <w:rPr>
          <w:lang w:val="en-US"/>
        </w:rPr>
        <w:br w:type="page"/>
      </w:r>
    </w:p>
    <w:p w14:paraId="36A8B909" w14:textId="61A8925B" w:rsidR="00A11827" w:rsidRDefault="00000000" w:rsidP="00B465D8">
      <w:pPr>
        <w:widowControl w:val="0"/>
        <w:pBdr>
          <w:top w:val="nil"/>
          <w:left w:val="nil"/>
          <w:bottom w:val="nil"/>
          <w:right w:val="nil"/>
          <w:between w:val="nil"/>
        </w:pBdr>
        <w:spacing w:before="0" w:after="60" w:line="240" w:lineRule="auto"/>
        <w:ind w:left="720" w:hanging="720"/>
        <w:jc w:val="left"/>
        <w:rPr>
          <w:lang w:val="en-US"/>
        </w:rPr>
      </w:pPr>
      <w:r w:rsidRPr="0010000F">
        <w:rPr>
          <w:lang w:val="en-US"/>
        </w:rPr>
        <w:lastRenderedPageBreak/>
        <w:t xml:space="preserve">SUPPLEMENTARY </w:t>
      </w:r>
      <w:r w:rsidR="00B71174">
        <w:rPr>
          <w:lang w:val="en-US"/>
        </w:rPr>
        <w:t>RESULTS</w:t>
      </w:r>
    </w:p>
    <w:p w14:paraId="79A85853" w14:textId="77777777" w:rsidR="005F053F" w:rsidRDefault="005F053F" w:rsidP="00B465D8">
      <w:pPr>
        <w:spacing w:before="0" w:after="60"/>
        <w:rPr>
          <w:lang w:val="en-US"/>
        </w:rPr>
      </w:pPr>
    </w:p>
    <w:p w14:paraId="42648358" w14:textId="65F77B95" w:rsidR="003471CC" w:rsidRPr="003471CC" w:rsidRDefault="003471CC" w:rsidP="00B465D8">
      <w:pPr>
        <w:spacing w:before="0" w:after="60"/>
        <w:rPr>
          <w:i/>
          <w:lang w:val="en-US"/>
        </w:rPr>
      </w:pPr>
      <w:r w:rsidRPr="0010000F">
        <w:rPr>
          <w:lang w:val="en-US"/>
        </w:rPr>
        <w:tab/>
      </w:r>
      <w:r w:rsidRPr="0010000F">
        <w:rPr>
          <w:i/>
          <w:lang w:val="en-US"/>
        </w:rPr>
        <w:t>Reduced amounts of unknowns in deep water masses</w:t>
      </w:r>
    </w:p>
    <w:p w14:paraId="01CF5BF9" w14:textId="655ACAF6" w:rsidR="00A11827" w:rsidRPr="0010000F" w:rsidRDefault="00000000" w:rsidP="00B465D8">
      <w:pPr>
        <w:spacing w:before="0" w:after="60"/>
        <w:rPr>
          <w:lang w:val="en-US"/>
        </w:rPr>
      </w:pPr>
      <w:r w:rsidRPr="0010000F">
        <w:rPr>
          <w:lang w:val="en-US"/>
        </w:rPr>
        <w:t xml:space="preserve">CAGs 39 and 33 were associated with deep samples in the free-living size fraction (RDA1&gt;2, </w:t>
      </w:r>
      <w:r w:rsidR="0010000F">
        <w:rPr>
          <w:lang w:val="en-US"/>
        </w:rPr>
        <w:t>Figure 4</w:t>
      </w:r>
      <w:r w:rsidRPr="0010000F">
        <w:rPr>
          <w:lang w:val="en-US"/>
        </w:rPr>
        <w:t xml:space="preserve">A). Dominant families associated with these CAGs based on contigs annotation using UniRef90 were </w:t>
      </w:r>
      <w:proofErr w:type="spellStart"/>
      <w:r w:rsidRPr="0010000F">
        <w:rPr>
          <w:lang w:val="en-US"/>
        </w:rPr>
        <w:t>Pelagibacteraceae</w:t>
      </w:r>
      <w:proofErr w:type="spellEnd"/>
      <w:r w:rsidRPr="0010000F">
        <w:rPr>
          <w:lang w:val="en-US"/>
        </w:rPr>
        <w:t xml:space="preserve">, </w:t>
      </w:r>
      <w:proofErr w:type="spellStart"/>
      <w:r w:rsidRPr="0010000F">
        <w:rPr>
          <w:lang w:val="en-US"/>
        </w:rPr>
        <w:t>Rhodospirillaceae</w:t>
      </w:r>
      <w:proofErr w:type="spellEnd"/>
      <w:r w:rsidRPr="0010000F">
        <w:rPr>
          <w:lang w:val="en-US"/>
        </w:rPr>
        <w:t xml:space="preserve">, </w:t>
      </w:r>
      <w:proofErr w:type="spellStart"/>
      <w:r w:rsidRPr="0010000F">
        <w:rPr>
          <w:lang w:val="en-US"/>
        </w:rPr>
        <w:t>Nitrospinaceae</w:t>
      </w:r>
      <w:proofErr w:type="spellEnd"/>
      <w:r w:rsidRPr="0010000F">
        <w:rPr>
          <w:lang w:val="en-US"/>
        </w:rPr>
        <w:t xml:space="preserve">, </w:t>
      </w:r>
      <w:proofErr w:type="spellStart"/>
      <w:r w:rsidRPr="0010000F">
        <w:rPr>
          <w:lang w:val="en-US"/>
        </w:rPr>
        <w:t>Planctomycetaceae</w:t>
      </w:r>
      <w:proofErr w:type="spellEnd"/>
      <w:r w:rsidRPr="0010000F">
        <w:rPr>
          <w:lang w:val="en-US"/>
        </w:rPr>
        <w:t xml:space="preserve">, </w:t>
      </w:r>
      <w:proofErr w:type="spellStart"/>
      <w:r w:rsidRPr="0010000F">
        <w:rPr>
          <w:lang w:val="en-US"/>
        </w:rPr>
        <w:t>Nitrosopumilaceae</w:t>
      </w:r>
      <w:proofErr w:type="spellEnd"/>
      <w:r w:rsidRPr="0010000F">
        <w:rPr>
          <w:lang w:val="en-US"/>
        </w:rPr>
        <w:t xml:space="preserve"> and </w:t>
      </w:r>
      <w:proofErr w:type="spellStart"/>
      <w:r w:rsidRPr="0010000F">
        <w:rPr>
          <w:lang w:val="en-US"/>
        </w:rPr>
        <w:t>Acidimicrobiaceae</w:t>
      </w:r>
      <w:proofErr w:type="spellEnd"/>
      <w:r w:rsidRPr="0010000F">
        <w:rPr>
          <w:lang w:val="en-US"/>
        </w:rPr>
        <w:t xml:space="preserve">. Contigs related to these CAGs were binned in MAGs mainly annotated as Archaea from the </w:t>
      </w:r>
      <w:proofErr w:type="spellStart"/>
      <w:r w:rsidRPr="0010000F">
        <w:rPr>
          <w:lang w:val="en-US"/>
        </w:rPr>
        <w:t>Thalassarchaeaceae</w:t>
      </w:r>
      <w:proofErr w:type="spellEnd"/>
      <w:r w:rsidRPr="0010000F">
        <w:rPr>
          <w:lang w:val="en-US"/>
        </w:rPr>
        <w:t xml:space="preserve">, </w:t>
      </w:r>
      <w:proofErr w:type="spellStart"/>
      <w:r w:rsidRPr="0010000F">
        <w:rPr>
          <w:lang w:val="en-US"/>
        </w:rPr>
        <w:t>Poseidoniaceae</w:t>
      </w:r>
      <w:proofErr w:type="spellEnd"/>
      <w:r w:rsidRPr="0010000F">
        <w:rPr>
          <w:lang w:val="en-US"/>
        </w:rPr>
        <w:t xml:space="preserve"> and </w:t>
      </w:r>
      <w:proofErr w:type="spellStart"/>
      <w:r w:rsidRPr="0010000F">
        <w:rPr>
          <w:lang w:val="en-US"/>
        </w:rPr>
        <w:t>Nitrosopumilaceae</w:t>
      </w:r>
      <w:proofErr w:type="spellEnd"/>
      <w:r w:rsidRPr="0010000F">
        <w:rPr>
          <w:lang w:val="en-US"/>
        </w:rPr>
        <w:t xml:space="preserve"> families. CAG 39 and 33 were both significantly enriched in cytochrome C, as well as in multiple functional annotations linked with arylsulfatase, e.g. COG3119 Arylsulfatase A, arylsulfatase activity. The two best predictors of AGCs’ abundance were oxygen and nitrite concentrations within CAG 39, oxygen and density within CAG 33 (NOx 5th, Nitrate 8th, Nitrite 9th). Arylsulfatase was identified as a marker of ammonia </w:t>
      </w:r>
      <w:proofErr w:type="spellStart"/>
      <w:r w:rsidRPr="0010000F">
        <w:rPr>
          <w:lang w:val="en-US"/>
        </w:rPr>
        <w:t>oxydizing</w:t>
      </w:r>
      <w:proofErr w:type="spellEnd"/>
      <w:r w:rsidRPr="0010000F">
        <w:rPr>
          <w:lang w:val="en-US"/>
        </w:rPr>
        <w:t xml:space="preserve"> archaea and ammonia </w:t>
      </w:r>
      <w:proofErr w:type="spellStart"/>
      <w:r w:rsidRPr="0010000F">
        <w:rPr>
          <w:lang w:val="en-US"/>
        </w:rPr>
        <w:t>oxydizing</w:t>
      </w:r>
      <w:proofErr w:type="spellEnd"/>
      <w:r w:rsidRPr="0010000F">
        <w:rPr>
          <w:lang w:val="en-US"/>
        </w:rPr>
        <w:t xml:space="preserve"> bacteria presence in aquaculture ponds</w:t>
      </w:r>
      <w:r w:rsidR="004B1937">
        <w:rPr>
          <w:lang w:val="en-US"/>
        </w:rPr>
        <w:fldChar w:fldCharType="begin"/>
      </w:r>
      <w:r w:rsidR="004B1937">
        <w:rPr>
          <w:lang w:val="en-US"/>
        </w:rPr>
        <w:instrText xml:space="preserve"> ADDIN ZOTERO_ITEM CSL_CITATION {"citationID":"txgKuQSn","properties":{"formattedCitation":"\\super 1\\nosupersub{}","plainCitation":"1","noteIndex":0},"citationItems":[{"id":10609,"uris":["http://zotero.org/groups/691839/items/MJ6GG62G"],"itemData":{"id":10609,"type":"article-journal","abstract":"&lt;p&gt;Ammonia-oxidizing bacteria (AOB) and archaea (AOA) play important roles in nitrogen removal in aquaculture ponds, but their distribution and the environmental factors that drive their distribution are largely unknown. In this study, we collected surface sediment samples from &lt;italic&gt;Ctenopharyngodon idellus&lt;/italic&gt; ponds in three different areas in China that practice aquaculture. The community structure of AOB and AOA and physicochemical characteristics in the ponds were investigated. The results showed that AOA were more abundant than AOB in all sampling ponds except one, but sediment AOB and AOA numbers varied greatly between ponds. Correlation analyses indicated a significant correlation between the abundance of AOB and arylsulfatase, as well as the abundance of AOA and total nitrogen (TN) and arylsulfatase. In addition, AOB/AOA ratio was found to be significantly correlated with the microbial biomass carbon. AOB were grouped into seven clusters affiliated to &lt;italic&gt;Nitrosospira&lt;/italic&gt; and &lt;italic&gt;Nitrosomonas&lt;/italic&gt;, and AOA were grouped into six clusters affiliated to &lt;italic&gt;Nitrososphaera&lt;/italic&gt;, &lt;italic&gt;Nitrososphaera&lt;/italic&gt; sister group, and &lt;italic&gt;Nitrosopumilus&lt;/italic&gt;. AOB/AOA diversity in the surface sediments of aquaculture ponds varied according to the levels of total organic carbon (TOC), and AOB and AOA diversity was significantly correlated with arylsulfatase and β-glucosidase, respectively. The compositions of the AOB communities were also found to be significantly influenced by sediment eutrophic status (TOC and TN levels), and pH. In addition, concentrations of acid phosphatase and arylsulfatase in surface sediments were significantly correlated with the prominent bacterial &lt;italic&gt;amoA&lt;/italic&gt; genotypes, and concentrations of TOC and urease were found to be significantly correlated with the prominent archaeal &lt;italic&gt;amoA&lt;/italic&gt; genotype compositions. Taken together, our results indicated that AOB and AOA communities in the surface sediments of &lt;italic&gt;Ctenopharyngodon idellus&lt;/italic&gt; aquaculture ponds are regulated by organic matter and its availability to the microorganisms.&lt;/p&gt;","container-title":"Frontiers in Microbiology","DOI":"10.3389/fmicb.2018.02290","ISSN":"1664-302X","journalAbbreviation":"Front. Microbiol.","language":"English","note":"publisher: Frontiers","source":"Frontiers","title":"Organic Matter Regulates Ammonia-Oxidizing Bacterial and Archaeal Communities in the Surface Sediments of Ctenopharyngodon idellus Aquaculture Ponds","URL":"https://www.frontiersin.org/journals/microbiology/articles/10.3389/fmicb.2018.02290/full","volume":"9","author":[{"family":"Dai","given":"Lili"},{"family":"Liu","given":"Chengqing"},{"family":"Yu","given":"Liqin"},{"family":"Song","given":"Chaofeng"},{"family":"Peng","given":"Liang"},{"family":"Li","given":"Xiaoli"},{"family":"Tao","given":"Ling"},{"family":"Li","given":"Gu"}],"accessed":{"date-parts":[["2024",4,26]]},"issued":{"date-parts":[["2018",9,24]]}}}],"schema":"https://github.com/citation-style-language/schema/raw/master/csl-citation.json"} </w:instrText>
      </w:r>
      <w:r w:rsidR="004B1937">
        <w:rPr>
          <w:lang w:val="en-US"/>
        </w:rPr>
        <w:fldChar w:fldCharType="separate"/>
      </w:r>
      <w:r w:rsidR="004B1937" w:rsidRPr="004B1937">
        <w:rPr>
          <w:vertAlign w:val="superscript"/>
          <w:lang w:val="en-US"/>
        </w:rPr>
        <w:t>1</w:t>
      </w:r>
      <w:r w:rsidR="004B1937">
        <w:rPr>
          <w:lang w:val="en-US"/>
        </w:rPr>
        <w:fldChar w:fldCharType="end"/>
      </w:r>
      <w:r w:rsidRPr="0010000F">
        <w:rPr>
          <w:lang w:val="en-US"/>
        </w:rPr>
        <w:t xml:space="preserve">. Our results point towards a dominance of autotrophic ammonia </w:t>
      </w:r>
      <w:proofErr w:type="spellStart"/>
      <w:r w:rsidRPr="0010000F">
        <w:rPr>
          <w:lang w:val="en-US"/>
        </w:rPr>
        <w:t>oxydizing</w:t>
      </w:r>
      <w:proofErr w:type="spellEnd"/>
      <w:r w:rsidRPr="0010000F">
        <w:rPr>
          <w:lang w:val="en-US"/>
        </w:rPr>
        <w:t xml:space="preserve"> micro-organisms in the deep Southern Ocean, which has been described before through amplicon data</w:t>
      </w:r>
      <w:r w:rsidR="004B1937">
        <w:rPr>
          <w:lang w:val="en-US"/>
        </w:rPr>
        <w:fldChar w:fldCharType="begin"/>
      </w:r>
      <w:r w:rsidR="004B1937">
        <w:rPr>
          <w:lang w:val="en-US"/>
        </w:rPr>
        <w:instrText xml:space="preserve"> ADDIN ZOTERO_ITEM CSL_CITATION {"citationID":"zKcwaIzD","properties":{"formattedCitation":"\\super 2\\nosupersub{}","plainCitation":"2","noteIndex":0},"citationItems":[{"id":10611,"uris":["http://zotero.org/groups/691839/items/V2RLRHXV"],"itemData":{"id":10611,"type":"article-journal","abstract":"We investigated the Southern Ocean (SO) prokaryote community structure via zero-radius operational taxonomic unit (zOTU) libraries generated from 16S rRNA gene sequencing of 223 full water column profiles. Samples reveal the prokaryote diversity trend between discrete water masses across multiple depths and latitudes in Indian (71–99°E, summer) and Pacific (170–174°W, autumn-winter) sectors of the SO. At higher taxonomic levels (phylum-family) we observed water masses to harbour distinct communities across both sectors, but observed sectorial variations at lower taxonomic levels (genus-zOTU) and relative abundance shifts for key taxa such as Flavobacteria, SAR324/Marinimicrobia, Nitrosopumilus and Nitrosopelagicus at both epi- and bathy-abyssopelagic water masses. Common surface bacteria were abundant in several deep-water masses and vice-versa suggesting connectivity between surface and deep-water microbial assemblages. Bacteria from same-sector Antarctic Bottom Water samples showed patchy, high beta-diversity which did not correlate well with measured environmental parameters or geographical distance. Unconventional depth distribution patterns were observed for key archaeal groups: Crenarchaeota was found across all depths in the water column and persistent high relative abundances of common epipelagic archaeon Nitrosopelagicus was observed in deep-water masses. Our findings reveal substantial regional variability of SO prokaryote assemblages that we argue should be considered in wide-scale SO ecosystem microbial modelling.","container-title":"Environmental Microbiology","DOI":"10.1111/1462-2920.15906","ISSN":"1462-2920","issue":"5","language":"en","license":"© 2022 The Authors. Environmental Microbiology published by Society for Applied Microbiology and John Wiley &amp; Sons Ltd.","note":"_eprint: https://onlinelibrary.wiley.com/doi/pdf/10.1111/1462-2920.15906","page":"2449-2466","source":"Wiley Online Library","title":"Biogeography of Southern Ocean prokaryotes: a comparison of the Indian and Pacific sectors","title-short":"Biogeography of Southern Ocean prokaryotes","volume":"24","author":[{"family":"Sow","given":"Swan L. S."},{"family":"Brown","given":"Mark V."},{"family":"Clarke","given":"Laurence J."},{"family":"Bissett","given":"Andrew"},{"family":"Kamp","given":"Jodie","non-dropping-particle":"van de"},{"family":"Trull","given":"Thomas W."},{"family":"Raes","given":"Eric J."},{"family":"Seymour","given":"Justin R."},{"family":"Bramucci","given":"Anna R."},{"family":"Ostrowski","given":"Martin"},{"family":"Boyd","given":"Philip W."},{"family":"Deagle","given":"Bruce E."},{"family":"Pardo","given":"Paula C."},{"family":"Sloyan","given":"Bernadette M."},{"family":"Bodrossy","given":"Levente"}],"issued":{"date-parts":[["2022"]]}}}],"schema":"https://github.com/citation-style-language/schema/raw/master/csl-citation.json"} </w:instrText>
      </w:r>
      <w:r w:rsidR="004B1937">
        <w:rPr>
          <w:lang w:val="en-US"/>
        </w:rPr>
        <w:fldChar w:fldCharType="separate"/>
      </w:r>
      <w:r w:rsidR="004B1937" w:rsidRPr="004B1937">
        <w:rPr>
          <w:vertAlign w:val="superscript"/>
        </w:rPr>
        <w:t>2</w:t>
      </w:r>
      <w:r w:rsidR="004B1937">
        <w:rPr>
          <w:lang w:val="en-US"/>
        </w:rPr>
        <w:fldChar w:fldCharType="end"/>
      </w:r>
      <w:r w:rsidRPr="0010000F">
        <w:rPr>
          <w:lang w:val="en-US"/>
        </w:rPr>
        <w:t>. No CAG from the &gt;3µm size fraction was found to be linked to deeper samples, with deep samples appearing mixed with surface ones on both RDA1 and RDA2 (</w:t>
      </w:r>
      <w:r w:rsidR="0010000F">
        <w:rPr>
          <w:lang w:val="en-US"/>
        </w:rPr>
        <w:t>Figure 4</w:t>
      </w:r>
      <w:r w:rsidRPr="0010000F">
        <w:rPr>
          <w:lang w:val="en-US"/>
        </w:rPr>
        <w:t>D). Most samples collected from the &gt;3µm size fraction at depths of 1000m or more did not reach the necessary threshold of DNA concentrations for extraction and sequencing following our methodological pipeline (Figure 1B). This suggests the absence or rarity of larger sized eukaryotic organisms in the mesopelagic zone, further confirmed by the position of the deepest samples on our RDA space.</w:t>
      </w:r>
    </w:p>
    <w:p w14:paraId="0B0820CC" w14:textId="7FC92D21" w:rsidR="00A11827" w:rsidRDefault="00000000" w:rsidP="00B465D8">
      <w:pPr>
        <w:spacing w:before="0" w:after="60"/>
        <w:rPr>
          <w:lang w:val="en-US"/>
        </w:rPr>
      </w:pPr>
      <w:r w:rsidRPr="0010000F">
        <w:rPr>
          <w:lang w:val="en-US"/>
        </w:rPr>
        <w:t xml:space="preserve">CAG 39 contained 65.6% of known AGC and 32.9% of genomic unknown AGC, leaving only 1.5% of environmental unknown AGC over a total of 30,159. Similarly, only 5.8% of the 41,361 AGCs from CAG 33 were environmental unknowns, one order of magnitude below the mean over all AGCs (54.6%). Looking at other dimensions of the RDA, we identified three other CAGs (67400, 133918 and 558) with higher abundances in deep, nitrite limited waters, with respectively 3.4%, 4.3% and 8% of environmental unknowns. CAG 558, which had a slightly higher </w:t>
      </w:r>
      <w:r w:rsidR="00FC7A85" w:rsidRPr="0010000F">
        <w:rPr>
          <w:lang w:val="en-US"/>
        </w:rPr>
        <w:t>number</w:t>
      </w:r>
      <w:r w:rsidRPr="0010000F">
        <w:rPr>
          <w:lang w:val="en-US"/>
        </w:rPr>
        <w:t xml:space="preserve"> of environmental unknowns compared to other deep CAGS, was significantly enriched in phage integrase and phage plasmid primase P4, suggesting it might include viral DNA which could increase its proportion of unknowns. Going back to Figure 2A, we observed that ACE genes assembled below the sunlit layer clustered better with Tara unigenes than ACE genes assembled from the sunlit layer. Taken together, these results suggest that organisms sampled at higher depth during the ACE campaign are more similar to organisms with genomic references in public databases than those sampled from the surface. Our hypothesis to explain this result is that deep environments are under more homogeneous selective pressures at global scale than surface ones (high pressure, no light, low yet stable temperature), leading similar organisms to dominate globally while the surface waters of the Antarctic are a unique ecosystem on earth showing high rates of local endemism.</w:t>
      </w:r>
    </w:p>
    <w:p w14:paraId="08172F89" w14:textId="77777777" w:rsidR="00FC7A85" w:rsidRDefault="00FC7A85" w:rsidP="00B465D8">
      <w:pPr>
        <w:spacing w:before="0" w:after="60"/>
        <w:rPr>
          <w:lang w:val="en-US"/>
        </w:rPr>
      </w:pPr>
    </w:p>
    <w:p w14:paraId="08132AD4" w14:textId="00B81F46" w:rsidR="00B71174" w:rsidRPr="00B71174" w:rsidRDefault="00B71174" w:rsidP="00B465D8">
      <w:pPr>
        <w:spacing w:before="0" w:after="60"/>
        <w:rPr>
          <w:i/>
          <w:iCs/>
          <w:lang w:val="en-US"/>
        </w:rPr>
      </w:pPr>
      <w:r>
        <w:rPr>
          <w:lang w:val="en-US"/>
        </w:rPr>
        <w:tab/>
      </w:r>
      <w:r w:rsidRPr="00B71174">
        <w:rPr>
          <w:i/>
          <w:iCs/>
          <w:lang w:val="en-US"/>
        </w:rPr>
        <w:t>More on eukaryotic CAGs from the Mertz polynya</w:t>
      </w:r>
    </w:p>
    <w:p w14:paraId="2261AEA8" w14:textId="77777777" w:rsidR="00B71174" w:rsidRDefault="00B71174" w:rsidP="00B465D8">
      <w:pPr>
        <w:spacing w:before="0" w:after="60"/>
        <w:rPr>
          <w:lang w:val="en-US"/>
        </w:rPr>
      </w:pPr>
      <w:r w:rsidRPr="0010000F">
        <w:rPr>
          <w:lang w:val="en-US"/>
        </w:rPr>
        <w:t>In the &gt;3µm size fraction, CAGs 15 and 50 were outliers on the negative side of RDA1, indicating a strong association with Mertz polynya (</w:t>
      </w:r>
      <w:r>
        <w:rPr>
          <w:lang w:val="en-US"/>
        </w:rPr>
        <w:t>Figure S5</w:t>
      </w:r>
      <w:r w:rsidRPr="0010000F">
        <w:rPr>
          <w:lang w:val="en-US"/>
        </w:rPr>
        <w:t xml:space="preserve">). Unlike the four CAGs associated with Mertz samples in the free-living size fraction, CAGs 15 and 50 contained a majority of unknowns AGC, reaching 90.1% of environmental and genomic unknowns in CAG </w:t>
      </w:r>
      <w:r w:rsidRPr="0010000F">
        <w:rPr>
          <w:lang w:val="en-US"/>
        </w:rPr>
        <w:lastRenderedPageBreak/>
        <w:t xml:space="preserve">15. Only 11 </w:t>
      </w:r>
      <w:proofErr w:type="spellStart"/>
      <w:r w:rsidRPr="0010000F">
        <w:rPr>
          <w:lang w:val="en-US"/>
        </w:rPr>
        <w:t>eggNOG</w:t>
      </w:r>
      <w:proofErr w:type="spellEnd"/>
      <w:r w:rsidRPr="0010000F">
        <w:rPr>
          <w:lang w:val="en-US"/>
        </w:rPr>
        <w:t xml:space="preserve"> annotations were enriched in CAG 15, most of them linked with transcription. 147 </w:t>
      </w:r>
      <w:proofErr w:type="spellStart"/>
      <w:r w:rsidRPr="0010000F">
        <w:rPr>
          <w:lang w:val="en-US"/>
        </w:rPr>
        <w:t>eggNOG</w:t>
      </w:r>
      <w:proofErr w:type="spellEnd"/>
      <w:r w:rsidRPr="0010000F">
        <w:rPr>
          <w:lang w:val="en-US"/>
        </w:rPr>
        <w:t xml:space="preserve"> annotations were significantly enriched in CAG 50, including enzymes involved in the carbohydrate metabolism (e.g. sugar transporters, glycosyltransferase sugar binding region), in primary production (e.g., Chlorophyll A-B binding protein, ammonium transmembrane transporter activity), in iron metabolism (iron ion binding, 2OG-</w:t>
      </w:r>
      <w:proofErr w:type="gramStart"/>
      <w:r w:rsidRPr="0010000F">
        <w:rPr>
          <w:lang w:val="en-US"/>
        </w:rPr>
        <w:t>Fe(</w:t>
      </w:r>
      <w:proofErr w:type="gramEnd"/>
      <w:r w:rsidRPr="0010000F">
        <w:rPr>
          <w:lang w:val="en-US"/>
        </w:rPr>
        <w:t xml:space="preserve">II) oxygenase superfamily) and in sulfur metabolism (e.g. Sulfotransferase family). CAGs 15 and 50 </w:t>
      </w:r>
      <w:r>
        <w:rPr>
          <w:lang w:val="en-US"/>
        </w:rPr>
        <w:t>had</w:t>
      </w:r>
      <w:r w:rsidRPr="0010000F">
        <w:rPr>
          <w:lang w:val="en-US"/>
        </w:rPr>
        <w:t xml:space="preserve"> respectively 56.5% and 88.2% of their contigs annotated to the Bacillariophyceae class, including 37.6% and 71.6% to</w:t>
      </w:r>
      <w:r>
        <w:rPr>
          <w:lang w:val="en-US"/>
        </w:rPr>
        <w:t xml:space="preserve"> </w:t>
      </w:r>
      <w:proofErr w:type="spellStart"/>
      <w:r w:rsidRPr="0010000F">
        <w:rPr>
          <w:i/>
          <w:lang w:val="en-US"/>
        </w:rPr>
        <w:t>Fragilariopsis</w:t>
      </w:r>
      <w:proofErr w:type="spellEnd"/>
      <w:r w:rsidRPr="0010000F">
        <w:rPr>
          <w:i/>
          <w:lang w:val="en-US"/>
        </w:rPr>
        <w:t xml:space="preserve"> </w:t>
      </w:r>
      <w:proofErr w:type="spellStart"/>
      <w:r w:rsidRPr="0010000F">
        <w:rPr>
          <w:i/>
          <w:lang w:val="en-US"/>
        </w:rPr>
        <w:t>cylindrus</w:t>
      </w:r>
      <w:proofErr w:type="spellEnd"/>
      <w:r w:rsidRPr="0010000F">
        <w:rPr>
          <w:lang w:val="en-US"/>
        </w:rPr>
        <w:t xml:space="preserve">. </w:t>
      </w:r>
    </w:p>
    <w:p w14:paraId="44343853" w14:textId="77777777" w:rsidR="00B71174" w:rsidRDefault="00B71174" w:rsidP="00B465D8">
      <w:pPr>
        <w:spacing w:before="0" w:after="60"/>
        <w:rPr>
          <w:lang w:val="en-US"/>
        </w:rPr>
      </w:pPr>
    </w:p>
    <w:p w14:paraId="7A30B1D3" w14:textId="77777777" w:rsidR="00B71174" w:rsidRPr="00B71174" w:rsidRDefault="00B71174" w:rsidP="00B465D8">
      <w:pPr>
        <w:spacing w:before="0" w:after="60"/>
        <w:rPr>
          <w:i/>
          <w:iCs/>
          <w:lang w:val="en-US"/>
        </w:rPr>
      </w:pPr>
      <w:r>
        <w:rPr>
          <w:lang w:val="en-US"/>
        </w:rPr>
        <w:tab/>
      </w:r>
      <w:r>
        <w:rPr>
          <w:i/>
          <w:iCs/>
          <w:lang w:val="en-US"/>
        </w:rPr>
        <w:t>Two examples of CAGs corresponding to specialist species</w:t>
      </w:r>
    </w:p>
    <w:p w14:paraId="3922DFDE" w14:textId="77777777" w:rsidR="00B71174" w:rsidRDefault="00B71174" w:rsidP="00B465D8">
      <w:pPr>
        <w:spacing w:before="0" w:after="60"/>
        <w:rPr>
          <w:lang w:val="en-US"/>
        </w:rPr>
      </w:pPr>
      <w:r>
        <w:rPr>
          <w:lang w:val="en-US"/>
        </w:rPr>
        <w:t xml:space="preserve">Two of the </w:t>
      </w:r>
      <w:r w:rsidRPr="0010000F">
        <w:rPr>
          <w:lang w:val="en-US"/>
        </w:rPr>
        <w:t xml:space="preserve">CAGs </w:t>
      </w:r>
      <w:r>
        <w:rPr>
          <w:lang w:val="en-US"/>
        </w:rPr>
        <w:t>showing</w:t>
      </w:r>
      <w:r w:rsidRPr="0010000F">
        <w:rPr>
          <w:lang w:val="en-US"/>
        </w:rPr>
        <w:t xml:space="preserve"> </w:t>
      </w:r>
      <w:r>
        <w:rPr>
          <w:lang w:val="en-US"/>
        </w:rPr>
        <w:t>clear</w:t>
      </w:r>
      <w:r w:rsidRPr="0010000F">
        <w:rPr>
          <w:lang w:val="en-US"/>
        </w:rPr>
        <w:t xml:space="preserve"> responses to latitude dependent variables in the free-living size fraction</w:t>
      </w:r>
      <w:r>
        <w:rPr>
          <w:lang w:val="en-US"/>
        </w:rPr>
        <w:t xml:space="preserve">, 131 and 34 (Figure 4), were linked with specialist species showing narrow realized niche. </w:t>
      </w:r>
      <w:r w:rsidRPr="0010000F">
        <w:rPr>
          <w:lang w:val="en-US"/>
        </w:rPr>
        <w:t xml:space="preserve">CAG 131 </w:t>
      </w:r>
      <w:r>
        <w:rPr>
          <w:lang w:val="en-US"/>
        </w:rPr>
        <w:t>was</w:t>
      </w:r>
      <w:r w:rsidRPr="0010000F">
        <w:rPr>
          <w:lang w:val="en-US"/>
        </w:rPr>
        <w:t xml:space="preserve"> polar-specific, abundant in oxygenated cold waters from AASW, nearly absent in STSW samples and in low abundance in SASW. Its contigs </w:t>
      </w:r>
      <w:r>
        <w:rPr>
          <w:lang w:val="en-US"/>
        </w:rPr>
        <w:t>were</w:t>
      </w:r>
      <w:r w:rsidRPr="0010000F">
        <w:rPr>
          <w:lang w:val="en-US"/>
        </w:rPr>
        <w:t xml:space="preserve"> mainly annotated as </w:t>
      </w:r>
      <w:proofErr w:type="spellStart"/>
      <w:r w:rsidRPr="0010000F">
        <w:rPr>
          <w:lang w:val="en-US"/>
        </w:rPr>
        <w:t>Rhodobacteraceae</w:t>
      </w:r>
      <w:proofErr w:type="spellEnd"/>
      <w:r w:rsidRPr="0010000F">
        <w:rPr>
          <w:lang w:val="en-US"/>
        </w:rPr>
        <w:t xml:space="preserve"> and </w:t>
      </w:r>
      <w:proofErr w:type="spellStart"/>
      <w:r w:rsidRPr="0010000F">
        <w:rPr>
          <w:lang w:val="en-US"/>
        </w:rPr>
        <w:t>Roseobacteraceae</w:t>
      </w:r>
      <w:proofErr w:type="spellEnd"/>
      <w:r w:rsidRPr="0010000F">
        <w:rPr>
          <w:lang w:val="en-US"/>
        </w:rPr>
        <w:t>, highlighting the dominance of these clades in the cold</w:t>
      </w:r>
      <w:r>
        <w:rPr>
          <w:lang w:val="en-US"/>
        </w:rPr>
        <w:t>est</w:t>
      </w:r>
      <w:r w:rsidRPr="0010000F">
        <w:rPr>
          <w:lang w:val="en-US"/>
        </w:rPr>
        <w:t xml:space="preserve"> surface waters sampled during ACE campaign. CAG 34 was positively correlated to temperature</w:t>
      </w:r>
      <w:r>
        <w:rPr>
          <w:lang w:val="en-US"/>
        </w:rPr>
        <w:t xml:space="preserve"> until reaching values typical of STSW samples, in which it showed low coverage values</w:t>
      </w:r>
      <w:r w:rsidRPr="0010000F">
        <w:rPr>
          <w:lang w:val="en-US"/>
        </w:rPr>
        <w:t xml:space="preserve">, supposing a latitudinal barrier in its distribution at the Subantarctic front. CAG 34 was dominated by genes from small unicellular eukaryotes, mainly </w:t>
      </w:r>
      <w:proofErr w:type="spellStart"/>
      <w:r w:rsidRPr="0010000F">
        <w:rPr>
          <w:i/>
          <w:lang w:val="en-US"/>
        </w:rPr>
        <w:t>Phaeocystis</w:t>
      </w:r>
      <w:proofErr w:type="spellEnd"/>
      <w:r w:rsidRPr="0010000F">
        <w:rPr>
          <w:i/>
          <w:lang w:val="en-US"/>
        </w:rPr>
        <w:t xml:space="preserve"> antarctica</w:t>
      </w:r>
      <w:r w:rsidRPr="0010000F">
        <w:rPr>
          <w:lang w:val="en-US"/>
        </w:rPr>
        <w:t xml:space="preserve">, but also </w:t>
      </w:r>
      <w:proofErr w:type="spellStart"/>
      <w:r w:rsidRPr="0010000F">
        <w:rPr>
          <w:i/>
          <w:lang w:val="en-US"/>
        </w:rPr>
        <w:t>Emiliania</w:t>
      </w:r>
      <w:proofErr w:type="spellEnd"/>
      <w:r w:rsidRPr="0010000F">
        <w:rPr>
          <w:i/>
          <w:lang w:val="en-US"/>
        </w:rPr>
        <w:t xml:space="preserve"> </w:t>
      </w:r>
      <w:proofErr w:type="spellStart"/>
      <w:r w:rsidRPr="0010000F">
        <w:rPr>
          <w:i/>
          <w:lang w:val="en-US"/>
        </w:rPr>
        <w:t>huxleyi</w:t>
      </w:r>
      <w:proofErr w:type="spellEnd"/>
      <w:r w:rsidRPr="0010000F">
        <w:rPr>
          <w:lang w:val="en-US"/>
        </w:rPr>
        <w:t xml:space="preserve">, </w:t>
      </w:r>
      <w:proofErr w:type="spellStart"/>
      <w:r w:rsidRPr="0010000F">
        <w:rPr>
          <w:i/>
          <w:lang w:val="en-US"/>
        </w:rPr>
        <w:t>Chrysochromulina</w:t>
      </w:r>
      <w:proofErr w:type="spellEnd"/>
      <w:r w:rsidRPr="0010000F">
        <w:rPr>
          <w:i/>
          <w:lang w:val="en-US"/>
        </w:rPr>
        <w:t xml:space="preserve"> </w:t>
      </w:r>
      <w:proofErr w:type="spellStart"/>
      <w:r w:rsidRPr="0010000F">
        <w:rPr>
          <w:i/>
          <w:lang w:val="en-US"/>
        </w:rPr>
        <w:t>tobinii</w:t>
      </w:r>
      <w:proofErr w:type="spellEnd"/>
      <w:r w:rsidRPr="0010000F">
        <w:rPr>
          <w:lang w:val="en-US"/>
        </w:rPr>
        <w:t xml:space="preserve"> and other haptophytes. Its position in the RDA thus reflects the combined effects of inter-species competition and environmental gradients on the realized niche of these eukaryotic species, absent from both diatoms-dominated coastal samples and warm oligotrophic conditions from STSW, on the two extremities of ACE’s latitudinal range.</w:t>
      </w:r>
    </w:p>
    <w:p w14:paraId="59C51E85" w14:textId="77777777" w:rsidR="00B71174" w:rsidRPr="0010000F" w:rsidRDefault="00B71174" w:rsidP="00B465D8">
      <w:pPr>
        <w:spacing w:before="0" w:after="60"/>
        <w:rPr>
          <w:lang w:val="en-US"/>
        </w:rPr>
      </w:pPr>
    </w:p>
    <w:p w14:paraId="36709841" w14:textId="77777777" w:rsidR="0010000F" w:rsidRDefault="00000000" w:rsidP="00B465D8">
      <w:pPr>
        <w:spacing w:before="0" w:after="60"/>
        <w:ind w:firstLine="720"/>
        <w:rPr>
          <w:i/>
          <w:lang w:val="en-US"/>
        </w:rPr>
      </w:pPr>
      <w:r w:rsidRPr="0010000F">
        <w:rPr>
          <w:i/>
          <w:lang w:val="en-US"/>
        </w:rPr>
        <w:t>Biogeographical outliers at Southern Ocean scale</w:t>
      </w:r>
    </w:p>
    <w:p w14:paraId="51DEF493" w14:textId="5D137738" w:rsidR="00A11827" w:rsidRPr="0010000F" w:rsidRDefault="00000000" w:rsidP="00B465D8">
      <w:pPr>
        <w:spacing w:before="0" w:after="60"/>
        <w:rPr>
          <w:lang w:val="en-US"/>
        </w:rPr>
      </w:pPr>
      <w:r w:rsidRPr="0010000F">
        <w:rPr>
          <w:lang w:val="en-US"/>
        </w:rPr>
        <w:t xml:space="preserve">In addition to CAGs with peripheral locations in the RDA space, we investigated CAGs with high predictability based on random forest regressions despite a central position on the RDA. These CAGs tended to be smaller in size, and abundant only in a restraint number of samples. For example, CAG 136 contained only 926 AGC, with a mean cross-validation R2 of 62.9%. It displayed low abundances in all samples but 4, all from the sampling event 264, the only one at Kerguelen islands (Figure 1A). Similarly, CAG 177401 showed a mean R2 of 62.3% with only 139 AGC, and was abundant only at Crozet (event 123) and Kerguelen islands (event 264). Finally, CAG 73614 had a mean R2 of 60.7% over its 250 AGC, with higher abundances at Crozet, Kerguelen and Prince Edwards (event 75). The LV6 latent variable from Landwehr et al. (2021), reflecting the iron-fertilized biological productivity, was the best predictor of CAGs 177401 and 73614, while it was the fourth best for CAG 136. Enrichment statistics were not computed on these three CAGs due to the limited </w:t>
      </w:r>
      <w:r w:rsidR="00FC7A85" w:rsidRPr="0010000F">
        <w:rPr>
          <w:lang w:val="en-US"/>
        </w:rPr>
        <w:t>number</w:t>
      </w:r>
      <w:r w:rsidRPr="0010000F">
        <w:rPr>
          <w:lang w:val="en-US"/>
        </w:rPr>
        <w:t xml:space="preserve"> of genes in each of the them, yet functions linked to iron displayed odd ratios above 50 in CAGs 136 (</w:t>
      </w:r>
      <w:r w:rsidRPr="0010000F">
        <w:rPr>
          <w:i/>
          <w:lang w:val="en-US"/>
        </w:rPr>
        <w:t>Belongs to the iron ascorbate-dependent oxidoreductase family</w:t>
      </w:r>
      <w:r w:rsidRPr="0010000F">
        <w:rPr>
          <w:lang w:val="en-US"/>
        </w:rPr>
        <w:t>) and 177401 (</w:t>
      </w:r>
      <w:r w:rsidRPr="0010000F">
        <w:rPr>
          <w:i/>
          <w:lang w:val="en-US"/>
        </w:rPr>
        <w:t>COG1629 Outer membrane receptor proteins, mostly Fe transport</w:t>
      </w:r>
      <w:r w:rsidRPr="0010000F">
        <w:rPr>
          <w:lang w:val="en-US"/>
        </w:rPr>
        <w:t>). Southern Ocean islands thus display specific genomic signatures, potentially linked with high biological activity in an iron fertilization context very different from Mertz polynya, where iron limitation is estimated to be strong</w:t>
      </w:r>
      <w:r w:rsidR="004B1937">
        <w:rPr>
          <w:lang w:val="en-US"/>
        </w:rPr>
        <w:fldChar w:fldCharType="begin"/>
      </w:r>
      <w:r w:rsidR="004B1937">
        <w:rPr>
          <w:lang w:val="en-US"/>
        </w:rPr>
        <w:instrText xml:space="preserve"> ADDIN ZOTERO_ITEM CSL_CITATION {"citationID":"btdJwuBk","properties":{"formattedCitation":"\\super 3\\nosupersub{}","plainCitation":"3","noteIndex":0},"citationItems":[{"id":9483,"uris":["http://zotero.org/groups/691839/items/S7INWZ5Q"],"itemData":{"id":9483,"type":"article-journal","abstract":"&lt;p&gt;&lt;strong class=\"journal-contentHeaderColor\"&gt;Abstract.&lt;/strong&gt; The Southern Ocean is a critical component of Earth's climate system, but its remoteness makes it challenging to develop a holistic understanding of its processes from the small scale to the large scale. As a result, our knowledge of this vast region remains largely incomplete. The Antarctic Circumnavigation Expedition (ACE, austral summer 2016/2017) surveyed a large number of variables describing the state of the ocean and the atmosphere, the freshwater cycle, atmospheric chemistry, and ocean biogeochemistry and microbiology. This circumpolar cruise included visits to 12 remote islands, the marginal ice zone, and the Antarctic coast. Here, we use 111 of the observed variables to study the latitudinal gradients, seasonality, shorter-term variations, geographic setting of environmental processes, and interactions between them over the duration of 90 d. To reduce the dimensionality and complexity of the dataset and make the relations between variables interpretable we applied an unsupervised machine learning method, the sparse principal component analysis (sPCA), which describes environmental processes through 14 latent variables. To derive a robust statistical perspective on these processes and to estimate the uncertainty in the sPCA decomposition, we have developed a bootstrap approach. Our results provide a proof of concept that sPCA with uncertainty analysis is able to identify temporal patterns from diurnal to seasonal cycles, as well as geographical gradients and “hotspots” of interaction between environmental compartments. While confirming many well known processes, our analysis provides novel insights into the Southern Ocean water cycle (freshwater fluxes), trace gases (interplay between seasonality, sources, and sinks), and microbial communities (nutrient limitation and island mass effects at the largest scale ever reported). More specifically, we identify the important role of the oceanic circulations, frontal zones, and islands in shaping the nutrient availability that controls biological community composition and productivity; the fact that sea ice controls sea water salinity, dampens the wave field, and is associated with increased phytoplankton growth and net community productivity possibly due to iron fertilisation and reduced light limitation; and the clear regional patterns of aerosol characteristics that have emerged, stressing the role of the sea state, atmospheric chemical processing, and source processes near hotspots for the availability of cloud condensation nuclei and hence cloud formation. A set of key variables and their combinations, such as the difference between the air and sea surface temperature, atmospheric pressure, sea surface height, geostrophic currents, upper-ocean layer light intensity, surface wind speed and relative humidity played an important role in our analysis, highlighting the necessity for Earth system models to represent them adequately. In conclusion, our study highlights the use of sPCA to identify key ocean–atmosphere interactions across physical, chemical, and biological processes and their associated spatio-temporal scales. It thereby fills an important gap between simple correlation analyses and complex Earth system models. The sPCA processing code is available as open-access from the following link: &lt;span class=\"uri\"&gt;https://renkulab.io/gitlab/ACE-ASAID/spca-decomposition&lt;/span&gt; (last access: 29 March 2021). As we show here, it can be used for an exploration of environmental data that is less prone to cognitive biases (and confirmation biases in particular) compared to traditional regression analysis that might be affected by the underlying research question.&lt;/p&gt;","container-title":"Earth System Dynamics","DOI":"10.5194/esd-12-1295-2021","ISSN":"2190-4979","issue":"4","language":"English","note":"publisher: Copernicus GmbH","page":"1295-1369","source":"esd.copernicus.org","title":"Exploring the coupled ocean and atmosphere system with a data science approach applied to observations from the Antarctic Circumnavigation Expedition","volume":"12","author":[{"family":"Landwehr","given":"Sebastian"},{"family":"Volpi","given":"Michele"},{"family":"Haumann","given":"F. Alexander"},{"family":"Robinson","given":"Charlotte M."},{"family":"Thurnherr","given":"Iris"},{"family":"Ferracci","given":"Valerio"},{"family":"Baccarini","given":"Andrea"},{"family":"Thomas","given":"Jenny"},{"family":"Gorodetskaya","given":"Irina"},{"family":"Tatzelt","given":"Christian"},{"family":"Henning","given":"Silvia"},{"family":"Modini","given":"Rob L."},{"family":"Forrer","given":"Heather J."},{"family":"Lin","given":"Yajuan"},{"family":"Cassar","given":"Nicolas"},{"family":"Simó","given":"Rafel"},{"family":"Hassler","given":"Christel"},{"family":"Moallemi","given":"Alireza"},{"family":"Fawcett","given":"Sarah E."},{"family":"Harris","given":"Neil"},{"family":"Airs","given":"Ruth"},{"family":"Derkani","given":"Marzieh H."},{"family":"Alberello","given":"Alberto"},{"family":"Toffoli","given":"Alessandro"},{"family":"Chen","given":"Gang"},{"family":"Rodríguez-Ros","given":"Pablo"},{"family":"Zamanillo","given":"Marina"},{"family":"Cortés-Greus","given":"Pau"},{"family":"Xue","given":"Lei"},{"family":"Bolas","given":"Conor G."},{"family":"Leonard","given":"Katherine C."},{"family":"Perez-Cruz","given":"Fernando"},{"family":"Walton","given":"David"},{"family":"Schmale","given":"Julia"}],"issued":{"date-parts":[["2021",11,30]]}}}],"schema":"https://github.com/citation-style-language/schema/raw/master/csl-citation.json"} </w:instrText>
      </w:r>
      <w:r w:rsidR="004B1937">
        <w:rPr>
          <w:lang w:val="en-US"/>
        </w:rPr>
        <w:fldChar w:fldCharType="separate"/>
      </w:r>
      <w:r w:rsidR="004B1937" w:rsidRPr="004B1937">
        <w:rPr>
          <w:vertAlign w:val="superscript"/>
          <w:lang w:val="en-US"/>
        </w:rPr>
        <w:t>3</w:t>
      </w:r>
      <w:r w:rsidR="004B1937">
        <w:rPr>
          <w:lang w:val="en-US"/>
        </w:rPr>
        <w:fldChar w:fldCharType="end"/>
      </w:r>
      <w:r w:rsidRPr="0010000F">
        <w:rPr>
          <w:lang w:val="en-US"/>
        </w:rPr>
        <w:t xml:space="preserve"> (LV8</w:t>
      </w:r>
      <w:r w:rsidR="004B1937">
        <w:rPr>
          <w:lang w:val="en-US"/>
        </w:rPr>
        <w:t>,</w:t>
      </w:r>
      <w:r w:rsidRPr="0010000F">
        <w:rPr>
          <w:lang w:val="en-US"/>
        </w:rPr>
        <w:t xml:space="preserve"> reflect</w:t>
      </w:r>
      <w:r w:rsidR="004B1937">
        <w:rPr>
          <w:lang w:val="en-US"/>
        </w:rPr>
        <w:t>ing</w:t>
      </w:r>
      <w:r w:rsidRPr="0010000F">
        <w:rPr>
          <w:lang w:val="en-US"/>
        </w:rPr>
        <w:t xml:space="preserve"> iron-limited biological activity</w:t>
      </w:r>
      <w:r w:rsidR="004B1937">
        <w:rPr>
          <w:lang w:val="en-US"/>
        </w:rPr>
        <w:t xml:space="preserve">, </w:t>
      </w:r>
      <w:r w:rsidRPr="0010000F">
        <w:rPr>
          <w:lang w:val="en-US"/>
        </w:rPr>
        <w:t>peaks at Mertz</w:t>
      </w:r>
      <w:r w:rsidR="004B1937">
        <w:rPr>
          <w:lang w:val="en-US"/>
        </w:rPr>
        <w:t xml:space="preserve"> and</w:t>
      </w:r>
      <w:r w:rsidRPr="0010000F">
        <w:rPr>
          <w:lang w:val="en-US"/>
        </w:rPr>
        <w:t xml:space="preserve"> was the </w:t>
      </w:r>
      <w:r w:rsidR="00FC7A85" w:rsidRPr="0010000F">
        <w:rPr>
          <w:lang w:val="en-US"/>
        </w:rPr>
        <w:t>second-best</w:t>
      </w:r>
      <w:r w:rsidRPr="0010000F">
        <w:rPr>
          <w:lang w:val="en-US"/>
        </w:rPr>
        <w:t xml:space="preserve"> predictor of CAG 136). </w:t>
      </w:r>
    </w:p>
    <w:p w14:paraId="71597A4A" w14:textId="030CF89B" w:rsidR="00A11827" w:rsidRDefault="00000000" w:rsidP="00B465D8">
      <w:pPr>
        <w:spacing w:before="0" w:after="60"/>
        <w:rPr>
          <w:lang w:val="en-US"/>
        </w:rPr>
      </w:pPr>
      <w:r w:rsidRPr="0010000F">
        <w:rPr>
          <w:lang w:val="en-US"/>
        </w:rPr>
        <w:t xml:space="preserve">A series of four CAGs showed particularly high abundances at a specific </w:t>
      </w:r>
      <w:r w:rsidR="00FC7A85" w:rsidRPr="0010000F">
        <w:rPr>
          <w:lang w:val="en-US"/>
        </w:rPr>
        <w:t>event, located</w:t>
      </w:r>
      <w:r w:rsidRPr="0010000F">
        <w:rPr>
          <w:lang w:val="en-US"/>
        </w:rPr>
        <w:t xml:space="preserve"> in the Ross Sea gyre (event 1465), all in the 0.2-40 µm size fraction. These four CAGs all showed </w:t>
      </w:r>
      <w:r w:rsidRPr="0010000F">
        <w:rPr>
          <w:lang w:val="en-US"/>
        </w:rPr>
        <w:lastRenderedPageBreak/>
        <w:t xml:space="preserve">extremely high percentages of environmental unknowns across their AGC: 74.3% for CAG 11, 85.9% for CAG 307481, 96.6% for CAG 82 and 99.1% for CAG 196. The taxonomy estimates for these CAGs reveal communities of eukaryotes, dominated by genus </w:t>
      </w:r>
      <w:proofErr w:type="spellStart"/>
      <w:r w:rsidRPr="0010000F">
        <w:rPr>
          <w:lang w:val="en-US"/>
        </w:rPr>
        <w:t>Emiliania</w:t>
      </w:r>
      <w:proofErr w:type="spellEnd"/>
      <w:r w:rsidRPr="0010000F">
        <w:rPr>
          <w:lang w:val="en-US"/>
        </w:rPr>
        <w:t xml:space="preserve"> in CAG 82, </w:t>
      </w:r>
      <w:proofErr w:type="spellStart"/>
      <w:r w:rsidRPr="0010000F">
        <w:rPr>
          <w:lang w:val="en-US"/>
        </w:rPr>
        <w:t>Symbiodinium</w:t>
      </w:r>
      <w:proofErr w:type="spellEnd"/>
      <w:r w:rsidRPr="0010000F">
        <w:rPr>
          <w:lang w:val="en-US"/>
        </w:rPr>
        <w:t xml:space="preserve"> in CAGs 11 and 196, and </w:t>
      </w:r>
      <w:proofErr w:type="spellStart"/>
      <w:r w:rsidRPr="0010000F">
        <w:rPr>
          <w:lang w:val="en-US"/>
        </w:rPr>
        <w:t>Fragilariopsis</w:t>
      </w:r>
      <w:proofErr w:type="spellEnd"/>
      <w:r w:rsidRPr="0010000F">
        <w:rPr>
          <w:lang w:val="en-US"/>
        </w:rPr>
        <w:t xml:space="preserve"> in CAG 307481. The abundance profiles of these CAGs suggest the presence of specific eukaryotic communities in the Ross Sea gyre compared to other sampling areas of the transect, notably including high proportions of dinoflagellates. Again, our approach is too prokaryote-centered to explore the potential functional adaptations from these quasi-exclusively environmental unknown AGC. Their detection by our statistical approach still underlines the heterogeneity of genomic composition from prokaryotic communities at the scale of the Southern Ocean. </w:t>
      </w:r>
    </w:p>
    <w:p w14:paraId="417A83A5" w14:textId="77777777" w:rsidR="004B1937" w:rsidRDefault="004B1937" w:rsidP="00B465D8">
      <w:pPr>
        <w:spacing w:before="0" w:after="60"/>
        <w:rPr>
          <w:lang w:val="en-US"/>
        </w:rPr>
      </w:pPr>
    </w:p>
    <w:p w14:paraId="77C3D242" w14:textId="77777777" w:rsidR="004B1937" w:rsidRPr="004B1937" w:rsidRDefault="004B1937" w:rsidP="004B1937">
      <w:pPr>
        <w:widowControl w:val="0"/>
        <w:autoSpaceDE w:val="0"/>
        <w:autoSpaceDN w:val="0"/>
        <w:adjustRightInd w:val="0"/>
        <w:rPr>
          <w:lang w:val="en-US"/>
        </w:rPr>
      </w:pPr>
      <w:r>
        <w:rPr>
          <w:lang w:val="en-US"/>
        </w:rPr>
        <w:fldChar w:fldCharType="begin"/>
      </w:r>
      <w:r>
        <w:rPr>
          <w:lang w:val="en-US"/>
        </w:rPr>
        <w:instrText xml:space="preserve"> ADDIN ZOTERO_BIBL {"uncited":[],"omitted":[],"custom":[]} CSL_BIBLIOGRAPHY </w:instrText>
      </w:r>
      <w:r>
        <w:rPr>
          <w:lang w:val="en-US"/>
        </w:rPr>
        <w:fldChar w:fldCharType="separate"/>
      </w:r>
      <w:r w:rsidRPr="004B1937">
        <w:rPr>
          <w:lang w:val="en-US"/>
        </w:rPr>
        <w:t>1.</w:t>
      </w:r>
      <w:r w:rsidRPr="004B1937">
        <w:rPr>
          <w:lang w:val="en-US"/>
        </w:rPr>
        <w:tab/>
        <w:t xml:space="preserve">Dai, L. </w:t>
      </w:r>
      <w:r w:rsidRPr="004B1937">
        <w:rPr>
          <w:i/>
          <w:iCs/>
          <w:lang w:val="en-US"/>
        </w:rPr>
        <w:t>et al.</w:t>
      </w:r>
      <w:r w:rsidRPr="004B1937">
        <w:rPr>
          <w:lang w:val="en-US"/>
        </w:rPr>
        <w:t xml:space="preserve"> Organic Matter Regulates Ammonia-Oxidizing Bacterial and Archaeal Communities in the Surface Sediments of Ctenopharyngodon idellus Aquaculture Ponds. </w:t>
      </w:r>
      <w:r w:rsidRPr="004B1937">
        <w:rPr>
          <w:i/>
          <w:iCs/>
          <w:lang w:val="en-US"/>
        </w:rPr>
        <w:t>Front. Microbiol.</w:t>
      </w:r>
      <w:r w:rsidRPr="004B1937">
        <w:rPr>
          <w:lang w:val="en-US"/>
        </w:rPr>
        <w:t xml:space="preserve"> </w:t>
      </w:r>
      <w:r w:rsidRPr="004B1937">
        <w:rPr>
          <w:b/>
          <w:bCs/>
          <w:lang w:val="en-US"/>
        </w:rPr>
        <w:t>9</w:t>
      </w:r>
      <w:r w:rsidRPr="004B1937">
        <w:rPr>
          <w:lang w:val="en-US"/>
        </w:rPr>
        <w:t>, (2018).</w:t>
      </w:r>
    </w:p>
    <w:p w14:paraId="2E663287" w14:textId="77777777" w:rsidR="004B1937" w:rsidRPr="004B1937" w:rsidRDefault="004B1937" w:rsidP="004B1937">
      <w:pPr>
        <w:widowControl w:val="0"/>
        <w:autoSpaceDE w:val="0"/>
        <w:autoSpaceDN w:val="0"/>
        <w:adjustRightInd w:val="0"/>
        <w:rPr>
          <w:lang w:val="en-US"/>
        </w:rPr>
      </w:pPr>
      <w:r w:rsidRPr="004B1937">
        <w:rPr>
          <w:lang w:val="en-US"/>
        </w:rPr>
        <w:t>2.</w:t>
      </w:r>
      <w:r w:rsidRPr="004B1937">
        <w:rPr>
          <w:lang w:val="en-US"/>
        </w:rPr>
        <w:tab/>
        <w:t xml:space="preserve">Sow, S. L. S. </w:t>
      </w:r>
      <w:r w:rsidRPr="004B1937">
        <w:rPr>
          <w:i/>
          <w:iCs/>
          <w:lang w:val="en-US"/>
        </w:rPr>
        <w:t>et al.</w:t>
      </w:r>
      <w:r w:rsidRPr="004B1937">
        <w:rPr>
          <w:lang w:val="en-US"/>
        </w:rPr>
        <w:t xml:space="preserve"> Biogeography of Southern Ocean prokaryotes: a comparison of the Indian and Pacific sectors. </w:t>
      </w:r>
      <w:r w:rsidRPr="004B1937">
        <w:rPr>
          <w:i/>
          <w:iCs/>
          <w:lang w:val="en-US"/>
        </w:rPr>
        <w:t>Environ. Microbiol.</w:t>
      </w:r>
      <w:r w:rsidRPr="004B1937">
        <w:rPr>
          <w:lang w:val="en-US"/>
        </w:rPr>
        <w:t xml:space="preserve"> </w:t>
      </w:r>
      <w:r w:rsidRPr="004B1937">
        <w:rPr>
          <w:b/>
          <w:bCs/>
          <w:lang w:val="en-US"/>
        </w:rPr>
        <w:t>24</w:t>
      </w:r>
      <w:r w:rsidRPr="004B1937">
        <w:rPr>
          <w:lang w:val="en-US"/>
        </w:rPr>
        <w:t>, 2449–2466 (2022).</w:t>
      </w:r>
    </w:p>
    <w:p w14:paraId="21AD24F5" w14:textId="77777777" w:rsidR="004B1937" w:rsidRPr="004B1937" w:rsidRDefault="004B1937" w:rsidP="004B1937">
      <w:pPr>
        <w:widowControl w:val="0"/>
        <w:autoSpaceDE w:val="0"/>
        <w:autoSpaceDN w:val="0"/>
        <w:adjustRightInd w:val="0"/>
      </w:pPr>
      <w:r w:rsidRPr="004B1937">
        <w:rPr>
          <w:lang w:val="en-US"/>
        </w:rPr>
        <w:t>3.</w:t>
      </w:r>
      <w:r w:rsidRPr="004B1937">
        <w:rPr>
          <w:lang w:val="en-US"/>
        </w:rPr>
        <w:tab/>
        <w:t xml:space="preserve">Landwehr, S. </w:t>
      </w:r>
      <w:r w:rsidRPr="004B1937">
        <w:rPr>
          <w:i/>
          <w:iCs/>
          <w:lang w:val="en-US"/>
        </w:rPr>
        <w:t>et al.</w:t>
      </w:r>
      <w:r w:rsidRPr="004B1937">
        <w:rPr>
          <w:lang w:val="en-US"/>
        </w:rPr>
        <w:t xml:space="preserve"> Exploring the coupled ocean and atmosphere system with a data science approach applied to observations from the Antarctic Circumnavigation Expedition. </w:t>
      </w:r>
      <w:proofErr w:type="spellStart"/>
      <w:r w:rsidRPr="004B1937">
        <w:rPr>
          <w:i/>
          <w:iCs/>
        </w:rPr>
        <w:t>Earth</w:t>
      </w:r>
      <w:proofErr w:type="spellEnd"/>
      <w:r w:rsidRPr="004B1937">
        <w:rPr>
          <w:i/>
          <w:iCs/>
        </w:rPr>
        <w:t xml:space="preserve"> </w:t>
      </w:r>
      <w:proofErr w:type="spellStart"/>
      <w:r w:rsidRPr="004B1937">
        <w:rPr>
          <w:i/>
          <w:iCs/>
        </w:rPr>
        <w:t>Syst</w:t>
      </w:r>
      <w:proofErr w:type="spellEnd"/>
      <w:r w:rsidRPr="004B1937">
        <w:rPr>
          <w:i/>
          <w:iCs/>
        </w:rPr>
        <w:t>. Dyn.</w:t>
      </w:r>
      <w:r w:rsidRPr="004B1937">
        <w:t xml:space="preserve"> </w:t>
      </w:r>
      <w:r w:rsidRPr="004B1937">
        <w:rPr>
          <w:b/>
          <w:bCs/>
        </w:rPr>
        <w:t>12</w:t>
      </w:r>
      <w:r w:rsidRPr="004B1937">
        <w:t>, 1295–1369 (2021).</w:t>
      </w:r>
    </w:p>
    <w:p w14:paraId="460C7BA3" w14:textId="3043BA0D" w:rsidR="004B1937" w:rsidRPr="0010000F" w:rsidRDefault="004B1937" w:rsidP="00B465D8">
      <w:pPr>
        <w:spacing w:before="0" w:after="60"/>
        <w:rPr>
          <w:lang w:val="en-US"/>
        </w:rPr>
      </w:pPr>
      <w:r>
        <w:rPr>
          <w:lang w:val="en-US"/>
        </w:rPr>
        <w:fldChar w:fldCharType="end"/>
      </w:r>
    </w:p>
    <w:sectPr w:rsidR="004B1937" w:rsidRPr="0010000F" w:rsidSect="00964274">
      <w:pgSz w:w="11909" w:h="16834"/>
      <w:pgMar w:top="1440" w:right="1440" w:bottom="1440" w:left="1440" w:header="720" w:footer="720"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6C69DF"/>
    <w:multiLevelType w:val="multilevel"/>
    <w:tmpl w:val="B960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996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827"/>
    <w:rsid w:val="00013AB9"/>
    <w:rsid w:val="00045CCA"/>
    <w:rsid w:val="00062F03"/>
    <w:rsid w:val="00094C1D"/>
    <w:rsid w:val="000B76D4"/>
    <w:rsid w:val="0010000F"/>
    <w:rsid w:val="00134B1E"/>
    <w:rsid w:val="00144CE3"/>
    <w:rsid w:val="00151A22"/>
    <w:rsid w:val="00164AFE"/>
    <w:rsid w:val="00165560"/>
    <w:rsid w:val="00173BC2"/>
    <w:rsid w:val="001B30A4"/>
    <w:rsid w:val="001C176C"/>
    <w:rsid w:val="001C65C6"/>
    <w:rsid w:val="001D0091"/>
    <w:rsid w:val="001D2D54"/>
    <w:rsid w:val="001E42FE"/>
    <w:rsid w:val="00207A84"/>
    <w:rsid w:val="002303B7"/>
    <w:rsid w:val="0024296A"/>
    <w:rsid w:val="002511FD"/>
    <w:rsid w:val="00255D45"/>
    <w:rsid w:val="002877E7"/>
    <w:rsid w:val="00292068"/>
    <w:rsid w:val="002C6713"/>
    <w:rsid w:val="003361BF"/>
    <w:rsid w:val="00340366"/>
    <w:rsid w:val="003471CC"/>
    <w:rsid w:val="00367D37"/>
    <w:rsid w:val="00382439"/>
    <w:rsid w:val="00394B01"/>
    <w:rsid w:val="003A3E12"/>
    <w:rsid w:val="003B69B3"/>
    <w:rsid w:val="003D3403"/>
    <w:rsid w:val="003E50EF"/>
    <w:rsid w:val="003E5DAF"/>
    <w:rsid w:val="003E7601"/>
    <w:rsid w:val="003F3D92"/>
    <w:rsid w:val="003F73DA"/>
    <w:rsid w:val="00416AC5"/>
    <w:rsid w:val="00457A50"/>
    <w:rsid w:val="0047009E"/>
    <w:rsid w:val="0047382A"/>
    <w:rsid w:val="004865FA"/>
    <w:rsid w:val="00492505"/>
    <w:rsid w:val="004A326C"/>
    <w:rsid w:val="004B1937"/>
    <w:rsid w:val="004D34B1"/>
    <w:rsid w:val="004D70D0"/>
    <w:rsid w:val="004F11CF"/>
    <w:rsid w:val="00525C5C"/>
    <w:rsid w:val="005409CB"/>
    <w:rsid w:val="00556BF4"/>
    <w:rsid w:val="00565FB5"/>
    <w:rsid w:val="005673E1"/>
    <w:rsid w:val="005756DF"/>
    <w:rsid w:val="00584C82"/>
    <w:rsid w:val="005A1D93"/>
    <w:rsid w:val="005B1EC0"/>
    <w:rsid w:val="005E0F95"/>
    <w:rsid w:val="005F053F"/>
    <w:rsid w:val="005F1654"/>
    <w:rsid w:val="005F4A95"/>
    <w:rsid w:val="005F6292"/>
    <w:rsid w:val="00600CA9"/>
    <w:rsid w:val="0060622C"/>
    <w:rsid w:val="00621A17"/>
    <w:rsid w:val="006720A6"/>
    <w:rsid w:val="00682E45"/>
    <w:rsid w:val="006B06BA"/>
    <w:rsid w:val="006B510C"/>
    <w:rsid w:val="006C3893"/>
    <w:rsid w:val="006D68C7"/>
    <w:rsid w:val="006F085C"/>
    <w:rsid w:val="006F3FE8"/>
    <w:rsid w:val="007105A2"/>
    <w:rsid w:val="00717C24"/>
    <w:rsid w:val="00721F5E"/>
    <w:rsid w:val="00730E66"/>
    <w:rsid w:val="00770406"/>
    <w:rsid w:val="007E38C3"/>
    <w:rsid w:val="0081396A"/>
    <w:rsid w:val="008603AB"/>
    <w:rsid w:val="00896238"/>
    <w:rsid w:val="008968A4"/>
    <w:rsid w:val="008B4C31"/>
    <w:rsid w:val="008E0212"/>
    <w:rsid w:val="008F0FBC"/>
    <w:rsid w:val="00914BAF"/>
    <w:rsid w:val="00925197"/>
    <w:rsid w:val="00964274"/>
    <w:rsid w:val="00983039"/>
    <w:rsid w:val="00983841"/>
    <w:rsid w:val="0098400C"/>
    <w:rsid w:val="009A24A2"/>
    <w:rsid w:val="009A62BB"/>
    <w:rsid w:val="009C6F17"/>
    <w:rsid w:val="00A00019"/>
    <w:rsid w:val="00A11827"/>
    <w:rsid w:val="00A47A9F"/>
    <w:rsid w:val="00A9332E"/>
    <w:rsid w:val="00AA1848"/>
    <w:rsid w:val="00AC59B8"/>
    <w:rsid w:val="00B003C8"/>
    <w:rsid w:val="00B32291"/>
    <w:rsid w:val="00B465D8"/>
    <w:rsid w:val="00B71174"/>
    <w:rsid w:val="00B722C1"/>
    <w:rsid w:val="00BA4663"/>
    <w:rsid w:val="00BB611E"/>
    <w:rsid w:val="00BC1285"/>
    <w:rsid w:val="00BD1275"/>
    <w:rsid w:val="00BF0BAE"/>
    <w:rsid w:val="00BF6B5E"/>
    <w:rsid w:val="00C46A10"/>
    <w:rsid w:val="00C60A68"/>
    <w:rsid w:val="00C91279"/>
    <w:rsid w:val="00CA70BE"/>
    <w:rsid w:val="00CF33D7"/>
    <w:rsid w:val="00D00580"/>
    <w:rsid w:val="00D06C85"/>
    <w:rsid w:val="00D13A45"/>
    <w:rsid w:val="00D326C2"/>
    <w:rsid w:val="00D40462"/>
    <w:rsid w:val="00D70390"/>
    <w:rsid w:val="00D81B26"/>
    <w:rsid w:val="00DB6CC7"/>
    <w:rsid w:val="00DD30D5"/>
    <w:rsid w:val="00E000FC"/>
    <w:rsid w:val="00E127E3"/>
    <w:rsid w:val="00E51CF9"/>
    <w:rsid w:val="00E56749"/>
    <w:rsid w:val="00E72AEF"/>
    <w:rsid w:val="00E96901"/>
    <w:rsid w:val="00EB357F"/>
    <w:rsid w:val="00EC3171"/>
    <w:rsid w:val="00EE2491"/>
    <w:rsid w:val="00F11C1F"/>
    <w:rsid w:val="00F21740"/>
    <w:rsid w:val="00F564AC"/>
    <w:rsid w:val="00F60076"/>
    <w:rsid w:val="00F61457"/>
    <w:rsid w:val="00F6163E"/>
    <w:rsid w:val="00F6360E"/>
    <w:rsid w:val="00F64E2A"/>
    <w:rsid w:val="00F713AD"/>
    <w:rsid w:val="00F73404"/>
    <w:rsid w:val="00FC7A85"/>
    <w:rsid w:val="00FE1B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9CC8"/>
  <w15:docId w15:val="{3A5A745A-8B34-A040-B8E5-3868A544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after="80"/>
      <w:outlineLvl w:val="4"/>
    </w:pPr>
    <w:rPr>
      <w:color w:val="666666"/>
    </w:rPr>
  </w:style>
  <w:style w:type="paragraph" w:styleId="Titre6">
    <w:name w:val="heading 6"/>
    <w:basedOn w:val="Normal"/>
    <w:next w:val="Normal"/>
    <w:uiPriority w:val="9"/>
    <w:semiHidden/>
    <w:unhideWhenUsed/>
    <w:qFormat/>
    <w:pPr>
      <w:keepNext/>
      <w:keepLines/>
      <w:spacing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0" w:after="60"/>
    </w:pPr>
    <w:rPr>
      <w:sz w:val="52"/>
      <w:szCs w:val="52"/>
    </w:rPr>
  </w:style>
  <w:style w:type="paragraph" w:styleId="Sous-titre">
    <w:name w:val="Subtitle"/>
    <w:basedOn w:val="Normal"/>
    <w:next w:val="Normal"/>
    <w:uiPriority w:val="11"/>
    <w:qFormat/>
    <w:pPr>
      <w:keepNext/>
      <w:keepLines/>
      <w:spacing w:before="0" w:after="320"/>
    </w:pPr>
    <w:rPr>
      <w:color w:val="666666"/>
      <w:sz w:val="30"/>
      <w:szCs w:val="30"/>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styleId="Lienhypertexte">
    <w:name w:val="Hyperlink"/>
    <w:basedOn w:val="Policepardfaut"/>
    <w:uiPriority w:val="99"/>
    <w:unhideWhenUsed/>
    <w:rsid w:val="0010000F"/>
    <w:rPr>
      <w:color w:val="0000FF" w:themeColor="hyperlink"/>
      <w:u w:val="single"/>
    </w:rPr>
  </w:style>
  <w:style w:type="character" w:styleId="Mentionnonrsolue">
    <w:name w:val="Unresolved Mention"/>
    <w:basedOn w:val="Policepardfaut"/>
    <w:uiPriority w:val="99"/>
    <w:semiHidden/>
    <w:unhideWhenUsed/>
    <w:rsid w:val="0010000F"/>
    <w:rPr>
      <w:color w:val="605E5C"/>
      <w:shd w:val="clear" w:color="auto" w:fill="E1DFDD"/>
    </w:rPr>
  </w:style>
  <w:style w:type="paragraph" w:customStyle="1" w:styleId="Bibliographie1">
    <w:name w:val="Bibliographie1"/>
    <w:basedOn w:val="Normal"/>
    <w:link w:val="BibliographyCar"/>
    <w:rsid w:val="0010000F"/>
    <w:pPr>
      <w:widowControl w:val="0"/>
      <w:pBdr>
        <w:top w:val="nil"/>
        <w:left w:val="nil"/>
        <w:bottom w:val="nil"/>
        <w:right w:val="nil"/>
        <w:between w:val="nil"/>
      </w:pBdr>
      <w:spacing w:before="0" w:after="0" w:line="240" w:lineRule="auto"/>
      <w:jc w:val="left"/>
    </w:pPr>
    <w:rPr>
      <w:lang w:val="en-US"/>
    </w:rPr>
  </w:style>
  <w:style w:type="character" w:customStyle="1" w:styleId="BibliographyCar">
    <w:name w:val="Bibliography Car"/>
    <w:basedOn w:val="Policepardfaut"/>
    <w:link w:val="Bibliographie1"/>
    <w:rsid w:val="0010000F"/>
    <w:rPr>
      <w:lang w:val="en-US"/>
    </w:rPr>
  </w:style>
  <w:style w:type="paragraph" w:styleId="Objetducommentaire">
    <w:name w:val="annotation subject"/>
    <w:basedOn w:val="Commentaire"/>
    <w:next w:val="Commentaire"/>
    <w:link w:val="ObjetducommentaireCar"/>
    <w:uiPriority w:val="99"/>
    <w:semiHidden/>
    <w:unhideWhenUsed/>
    <w:rsid w:val="0010000F"/>
    <w:rPr>
      <w:b/>
      <w:bCs/>
    </w:rPr>
  </w:style>
  <w:style w:type="character" w:customStyle="1" w:styleId="ObjetducommentaireCar">
    <w:name w:val="Objet du commentaire Car"/>
    <w:basedOn w:val="CommentaireCar"/>
    <w:link w:val="Objetducommentaire"/>
    <w:uiPriority w:val="99"/>
    <w:semiHidden/>
    <w:rsid w:val="0010000F"/>
    <w:rPr>
      <w:b/>
      <w:bCs/>
      <w:sz w:val="20"/>
      <w:szCs w:val="20"/>
    </w:rPr>
  </w:style>
  <w:style w:type="paragraph" w:styleId="Rvision">
    <w:name w:val="Revision"/>
    <w:hidden/>
    <w:uiPriority w:val="99"/>
    <w:semiHidden/>
    <w:rsid w:val="00457A50"/>
    <w:pPr>
      <w:spacing w:before="0" w:after="0" w:line="240" w:lineRule="auto"/>
      <w:jc w:val="left"/>
    </w:pPr>
  </w:style>
  <w:style w:type="character" w:styleId="Lienhypertextesuivivisit">
    <w:name w:val="FollowedHyperlink"/>
    <w:basedOn w:val="Policepardfaut"/>
    <w:uiPriority w:val="99"/>
    <w:semiHidden/>
    <w:unhideWhenUsed/>
    <w:rsid w:val="00D13A45"/>
    <w:rPr>
      <w:color w:val="800080" w:themeColor="followedHyperlink"/>
      <w:u w:val="single"/>
    </w:rPr>
  </w:style>
  <w:style w:type="character" w:customStyle="1" w:styleId="Aucun">
    <w:name w:val="Aucun"/>
    <w:rsid w:val="00492505"/>
    <w:rPr>
      <w:lang w:val="en-US"/>
    </w:rPr>
  </w:style>
  <w:style w:type="character" w:styleId="Numrodeligne">
    <w:name w:val="line number"/>
    <w:basedOn w:val="Policepardfaut"/>
    <w:uiPriority w:val="99"/>
    <w:semiHidden/>
    <w:unhideWhenUsed/>
    <w:rsid w:val="00964274"/>
  </w:style>
  <w:style w:type="paragraph" w:styleId="Paragraphedeliste">
    <w:name w:val="List Paragraph"/>
    <w:basedOn w:val="Normal"/>
    <w:uiPriority w:val="34"/>
    <w:qFormat/>
    <w:rsid w:val="00717C24"/>
    <w:pPr>
      <w:ind w:left="720"/>
      <w:contextualSpacing/>
    </w:pPr>
  </w:style>
  <w:style w:type="paragraph" w:customStyle="1" w:styleId="Bibliographie2">
    <w:name w:val="Bibliographie2"/>
    <w:basedOn w:val="Normal"/>
    <w:link w:val="BibliographyCar1"/>
    <w:rsid w:val="00E127E3"/>
    <w:pPr>
      <w:widowControl w:val="0"/>
      <w:tabs>
        <w:tab w:val="left" w:pos="380"/>
      </w:tabs>
      <w:autoSpaceDE w:val="0"/>
      <w:autoSpaceDN w:val="0"/>
      <w:adjustRightInd w:val="0"/>
      <w:spacing w:after="0" w:line="480" w:lineRule="auto"/>
      <w:ind w:left="384" w:hanging="384"/>
    </w:pPr>
    <w:rPr>
      <w:rFonts w:ascii="Times New Roman" w:hAnsi="Times New Roman" w:cs="Times New Roman"/>
      <w:i/>
      <w:iCs/>
    </w:rPr>
  </w:style>
  <w:style w:type="character" w:customStyle="1" w:styleId="BibliographyCar1">
    <w:name w:val="Bibliography Car1"/>
    <w:basedOn w:val="Policepardfaut"/>
    <w:link w:val="Bibliographie2"/>
    <w:rsid w:val="00E127E3"/>
    <w:rPr>
      <w:rFonts w:ascii="Times New Roman" w:hAnsi="Times New Roman"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07867">
      <w:bodyDiv w:val="1"/>
      <w:marLeft w:val="0"/>
      <w:marRight w:val="0"/>
      <w:marTop w:val="0"/>
      <w:marBottom w:val="0"/>
      <w:divBdr>
        <w:top w:val="none" w:sz="0" w:space="0" w:color="auto"/>
        <w:left w:val="none" w:sz="0" w:space="0" w:color="auto"/>
        <w:bottom w:val="none" w:sz="0" w:space="0" w:color="auto"/>
        <w:right w:val="none" w:sz="0" w:space="0" w:color="auto"/>
      </w:divBdr>
    </w:div>
    <w:div w:id="107622599">
      <w:bodyDiv w:val="1"/>
      <w:marLeft w:val="0"/>
      <w:marRight w:val="0"/>
      <w:marTop w:val="0"/>
      <w:marBottom w:val="0"/>
      <w:divBdr>
        <w:top w:val="none" w:sz="0" w:space="0" w:color="auto"/>
        <w:left w:val="none" w:sz="0" w:space="0" w:color="auto"/>
        <w:bottom w:val="none" w:sz="0" w:space="0" w:color="auto"/>
        <w:right w:val="none" w:sz="0" w:space="0" w:color="auto"/>
      </w:divBdr>
      <w:divsChild>
        <w:div w:id="1449465436">
          <w:marLeft w:val="0"/>
          <w:marRight w:val="0"/>
          <w:marTop w:val="0"/>
          <w:marBottom w:val="0"/>
          <w:divBdr>
            <w:top w:val="none" w:sz="0" w:space="0" w:color="auto"/>
            <w:left w:val="none" w:sz="0" w:space="0" w:color="auto"/>
            <w:bottom w:val="none" w:sz="0" w:space="0" w:color="auto"/>
            <w:right w:val="none" w:sz="0" w:space="0" w:color="auto"/>
          </w:divBdr>
        </w:div>
        <w:div w:id="1625652289">
          <w:marLeft w:val="0"/>
          <w:marRight w:val="0"/>
          <w:marTop w:val="0"/>
          <w:marBottom w:val="0"/>
          <w:divBdr>
            <w:top w:val="none" w:sz="0" w:space="0" w:color="auto"/>
            <w:left w:val="none" w:sz="0" w:space="0" w:color="auto"/>
            <w:bottom w:val="none" w:sz="0" w:space="0" w:color="auto"/>
            <w:right w:val="none" w:sz="0" w:space="0" w:color="auto"/>
          </w:divBdr>
        </w:div>
      </w:divsChild>
    </w:div>
    <w:div w:id="747725738">
      <w:bodyDiv w:val="1"/>
      <w:marLeft w:val="0"/>
      <w:marRight w:val="0"/>
      <w:marTop w:val="0"/>
      <w:marBottom w:val="0"/>
      <w:divBdr>
        <w:top w:val="none" w:sz="0" w:space="0" w:color="auto"/>
        <w:left w:val="none" w:sz="0" w:space="0" w:color="auto"/>
        <w:bottom w:val="none" w:sz="0" w:space="0" w:color="auto"/>
        <w:right w:val="none" w:sz="0" w:space="0" w:color="auto"/>
      </w:divBdr>
      <w:divsChild>
        <w:div w:id="63841927">
          <w:marLeft w:val="0"/>
          <w:marRight w:val="0"/>
          <w:marTop w:val="0"/>
          <w:marBottom w:val="0"/>
          <w:divBdr>
            <w:top w:val="none" w:sz="0" w:space="0" w:color="auto"/>
            <w:left w:val="none" w:sz="0" w:space="0" w:color="auto"/>
            <w:bottom w:val="none" w:sz="0" w:space="0" w:color="auto"/>
            <w:right w:val="none" w:sz="0" w:space="0" w:color="auto"/>
          </w:divBdr>
          <w:divsChild>
            <w:div w:id="969243790">
              <w:marLeft w:val="0"/>
              <w:marRight w:val="0"/>
              <w:marTop w:val="0"/>
              <w:marBottom w:val="75"/>
              <w:divBdr>
                <w:top w:val="none" w:sz="0" w:space="0" w:color="auto"/>
                <w:left w:val="none" w:sz="0" w:space="0" w:color="auto"/>
                <w:bottom w:val="none" w:sz="0" w:space="0" w:color="auto"/>
                <w:right w:val="none" w:sz="0" w:space="0" w:color="auto"/>
              </w:divBdr>
              <w:divsChild>
                <w:div w:id="1392803278">
                  <w:marLeft w:val="0"/>
                  <w:marRight w:val="0"/>
                  <w:marTop w:val="0"/>
                  <w:marBottom w:val="0"/>
                  <w:divBdr>
                    <w:top w:val="none" w:sz="0" w:space="0" w:color="auto"/>
                    <w:left w:val="none" w:sz="0" w:space="0" w:color="auto"/>
                    <w:bottom w:val="none" w:sz="0" w:space="0" w:color="auto"/>
                    <w:right w:val="none" w:sz="0" w:space="0" w:color="auto"/>
                  </w:divBdr>
                </w:div>
                <w:div w:id="416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50829">
      <w:bodyDiv w:val="1"/>
      <w:marLeft w:val="0"/>
      <w:marRight w:val="0"/>
      <w:marTop w:val="0"/>
      <w:marBottom w:val="0"/>
      <w:divBdr>
        <w:top w:val="none" w:sz="0" w:space="0" w:color="auto"/>
        <w:left w:val="none" w:sz="0" w:space="0" w:color="auto"/>
        <w:bottom w:val="none" w:sz="0" w:space="0" w:color="auto"/>
        <w:right w:val="none" w:sz="0" w:space="0" w:color="auto"/>
      </w:divBdr>
    </w:div>
    <w:div w:id="1116369031">
      <w:bodyDiv w:val="1"/>
      <w:marLeft w:val="0"/>
      <w:marRight w:val="0"/>
      <w:marTop w:val="0"/>
      <w:marBottom w:val="0"/>
      <w:divBdr>
        <w:top w:val="none" w:sz="0" w:space="0" w:color="auto"/>
        <w:left w:val="none" w:sz="0" w:space="0" w:color="auto"/>
        <w:bottom w:val="none" w:sz="0" w:space="0" w:color="auto"/>
        <w:right w:val="none" w:sz="0" w:space="0" w:color="auto"/>
      </w:divBdr>
    </w:div>
    <w:div w:id="1590505210">
      <w:bodyDiv w:val="1"/>
      <w:marLeft w:val="0"/>
      <w:marRight w:val="0"/>
      <w:marTop w:val="0"/>
      <w:marBottom w:val="0"/>
      <w:divBdr>
        <w:top w:val="none" w:sz="0" w:space="0" w:color="auto"/>
        <w:left w:val="none" w:sz="0" w:space="0" w:color="auto"/>
        <w:bottom w:val="none" w:sz="0" w:space="0" w:color="auto"/>
        <w:right w:val="none" w:sz="0" w:space="0" w:color="auto"/>
      </w:divBdr>
    </w:div>
    <w:div w:id="1633754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 TargetMode="External"/><Relationship Id="rId12" Type="http://schemas.openxmlformats.org/officeDocument/2006/relationships/hyperlink" Target="https://gitlab.ifremer.fr/bioinfo/workflows/noem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sextant.ifremer.fr/geonetwork/srv/api/records/9c786963-e6a5-4a1c-95f8-1c6ab8a52d2b" TargetMode="Externa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zenodo.org/records/14181291?preview=1&amp;token=eyJhbGciOiJIUzUxMiIsImlhdCI6MTczMzQwOTA3OCwiZXhwIjoxNzUxMjQxNTk5fQ.eyJpZCI6ImY1ZWQ5ZDZmLTM5YjUtNDYwZS1hYWU5LWI3MjA5ZGUyYjViNyIsImRhdGEiOnt9LCJyYW5kb20iOiIxMDk2NTViZjQwNDJjNTQ4ZDQ5NjU0MzE0MzAxMjcxNSJ9.gvOin3q86LW8Vl2RT3TohYWrUrgCSyzvxnhxlDtuKReXF4Q1khAt8mhrChJUsaqFPmL9H4JK7OXnwTRgDHmdgw"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5408-0A98-3D49-8709-26459D3BA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9</Pages>
  <Words>4533</Words>
  <Characters>26069</Characters>
  <Application>Microsoft Office Word</Application>
  <DocSecurity>0</DocSecurity>
  <Lines>383</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Emile Faure</cp:lastModifiedBy>
  <cp:revision>13</cp:revision>
  <dcterms:created xsi:type="dcterms:W3CDTF">2024-11-18T16:20:00Z</dcterms:created>
  <dcterms:modified xsi:type="dcterms:W3CDTF">2024-12-09T09:47:00Z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id="ff3pvRgW"/&gt;&lt;style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