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785D2" w14:textId="4CA8C17D" w:rsidR="007879CD" w:rsidRPr="00692162" w:rsidRDefault="00E7692A" w:rsidP="00692162">
      <w:pPr>
        <w:pStyle w:val="Heading3"/>
        <w:jc w:val="both"/>
        <w:rPr>
          <w:rFonts w:asciiTheme="minorHAnsi" w:hAnsiTheme="minorHAnsi" w:cstheme="minorHAnsi"/>
          <w:color w:val="auto"/>
          <w:lang w:val="en-US"/>
        </w:rPr>
      </w:pPr>
      <w:bookmarkStart w:id="0" w:name="_Hlk132697701"/>
      <w:bookmarkEnd w:id="0"/>
      <w:r w:rsidRPr="00692162">
        <w:rPr>
          <w:rFonts w:asciiTheme="minorHAnsi" w:hAnsiTheme="minorHAnsi" w:cstheme="minorHAnsi"/>
          <w:b/>
          <w:noProof/>
          <w:lang w:val="en-US"/>
        </w:rPr>
        <w:drawing>
          <wp:inline distT="0" distB="0" distL="0" distR="0" wp14:anchorId="1C5BFB02" wp14:editId="5B9214EA">
            <wp:extent cx="5760000" cy="5257236"/>
            <wp:effectExtent l="76200" t="76200" r="69850" b="768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5257236"/>
                    </a:xfrm>
                    <a:prstGeom prst="rect">
                      <a:avLst/>
                    </a:prstGeom>
                    <a:noFill/>
                    <a:ln w="76200">
                      <a:solidFill>
                        <a:schemeClr val="bg1"/>
                      </a:solidFill>
                    </a:ln>
                  </pic:spPr>
                </pic:pic>
              </a:graphicData>
            </a:graphic>
          </wp:inline>
        </w:drawing>
      </w:r>
      <w:r w:rsidR="00DF79EA" w:rsidRPr="00692162">
        <w:rPr>
          <w:rFonts w:asciiTheme="minorHAnsi" w:hAnsiTheme="minorHAnsi" w:cstheme="minorHAnsi"/>
          <w:b/>
          <w:color w:val="auto"/>
          <w:lang w:val="en-US"/>
        </w:rPr>
        <w:t xml:space="preserve">Fig. </w:t>
      </w:r>
      <w:r w:rsidR="00692162" w:rsidRPr="00692162">
        <w:rPr>
          <w:rFonts w:asciiTheme="minorHAnsi" w:hAnsiTheme="minorHAnsi" w:cstheme="minorHAnsi"/>
          <w:b/>
          <w:color w:val="auto"/>
          <w:lang w:val="en-US"/>
        </w:rPr>
        <w:t>S</w:t>
      </w:r>
      <w:r w:rsidR="007D128D" w:rsidRPr="00692162">
        <w:rPr>
          <w:rFonts w:asciiTheme="minorHAnsi" w:hAnsiTheme="minorHAnsi" w:cstheme="minorHAnsi"/>
          <w:b/>
          <w:color w:val="auto"/>
          <w:lang w:val="en-US"/>
        </w:rPr>
        <w:t>1</w:t>
      </w:r>
      <w:r w:rsidR="007879CD" w:rsidRPr="00692162">
        <w:rPr>
          <w:rFonts w:asciiTheme="minorHAnsi" w:hAnsiTheme="minorHAnsi" w:cstheme="minorHAnsi"/>
          <w:b/>
          <w:color w:val="auto"/>
          <w:lang w:val="en-US"/>
        </w:rPr>
        <w:t xml:space="preserve">: </w:t>
      </w:r>
      <w:r w:rsidR="002D258E" w:rsidRPr="00692162">
        <w:rPr>
          <w:rFonts w:asciiTheme="minorHAnsi" w:hAnsiTheme="minorHAnsi" w:cstheme="minorHAnsi"/>
          <w:b/>
          <w:color w:val="auto"/>
          <w:lang w:val="en-US"/>
        </w:rPr>
        <w:t>Beta</w:t>
      </w:r>
      <w:r w:rsidR="00CF6D15">
        <w:rPr>
          <w:rFonts w:asciiTheme="minorHAnsi" w:hAnsiTheme="minorHAnsi" w:cstheme="minorHAnsi"/>
          <w:b/>
          <w:color w:val="auto"/>
          <w:lang w:val="en-US"/>
        </w:rPr>
        <w:t xml:space="preserve"> </w:t>
      </w:r>
      <w:r w:rsidR="002D258E" w:rsidRPr="00692162">
        <w:rPr>
          <w:rFonts w:asciiTheme="minorHAnsi" w:hAnsiTheme="minorHAnsi" w:cstheme="minorHAnsi"/>
          <w:b/>
          <w:color w:val="auto"/>
          <w:lang w:val="en-US"/>
        </w:rPr>
        <w:t>diversity</w:t>
      </w:r>
      <w:r w:rsidR="007879CD" w:rsidRPr="00692162">
        <w:rPr>
          <w:rFonts w:asciiTheme="minorHAnsi" w:hAnsiTheme="minorHAnsi" w:cstheme="minorHAnsi"/>
          <w:b/>
          <w:color w:val="auto"/>
          <w:lang w:val="en-US"/>
        </w:rPr>
        <w:t xml:space="preserve"> distribution </w:t>
      </w:r>
      <w:r w:rsidR="00692162" w:rsidRPr="00692162">
        <w:rPr>
          <w:rFonts w:asciiTheme="minorHAnsi" w:hAnsiTheme="minorHAnsi" w:cstheme="minorHAnsi"/>
          <w:b/>
          <w:color w:val="auto"/>
          <w:lang w:val="en-US"/>
        </w:rPr>
        <w:t>in</w:t>
      </w:r>
      <w:r w:rsidR="007879CD" w:rsidRPr="00692162">
        <w:rPr>
          <w:rFonts w:asciiTheme="minorHAnsi" w:hAnsiTheme="minorHAnsi" w:cstheme="minorHAnsi"/>
          <w:b/>
          <w:color w:val="auto"/>
          <w:lang w:val="en-US"/>
        </w:rPr>
        <w:t xml:space="preserve"> the water and hemolymph samples according to the site.</w:t>
      </w:r>
      <w:r w:rsidR="007879CD" w:rsidRPr="00692162">
        <w:rPr>
          <w:rFonts w:asciiTheme="minorHAnsi" w:hAnsiTheme="minorHAnsi" w:cstheme="minorHAnsi"/>
          <w:color w:val="auto"/>
          <w:lang w:val="en-US"/>
        </w:rPr>
        <w:t xml:space="preserve"> PCoA representation of the Beta</w:t>
      </w:r>
      <w:r w:rsidR="00CF6D15">
        <w:rPr>
          <w:rFonts w:asciiTheme="minorHAnsi" w:hAnsiTheme="minorHAnsi" w:cstheme="minorHAnsi"/>
          <w:color w:val="auto"/>
          <w:lang w:val="en-US"/>
        </w:rPr>
        <w:t xml:space="preserve"> </w:t>
      </w:r>
      <w:r w:rsidR="007879CD" w:rsidRPr="00692162">
        <w:rPr>
          <w:rFonts w:asciiTheme="minorHAnsi" w:hAnsiTheme="minorHAnsi" w:cstheme="minorHAnsi"/>
          <w:color w:val="auto"/>
          <w:lang w:val="en-US"/>
        </w:rPr>
        <w:t>diversity based on</w:t>
      </w:r>
      <w:r w:rsidR="00357687">
        <w:rPr>
          <w:rFonts w:asciiTheme="minorHAnsi" w:hAnsiTheme="minorHAnsi" w:cstheme="minorHAnsi"/>
          <w:color w:val="auto"/>
          <w:lang w:val="en-US"/>
        </w:rPr>
        <w:t>:</w:t>
      </w:r>
      <w:r w:rsidR="007879CD" w:rsidRPr="00692162">
        <w:rPr>
          <w:rFonts w:asciiTheme="minorHAnsi" w:hAnsiTheme="minorHAnsi" w:cstheme="minorHAnsi"/>
          <w:color w:val="auto"/>
          <w:lang w:val="en-US"/>
        </w:rPr>
        <w:t xml:space="preserve"> </w:t>
      </w:r>
      <w:r w:rsidR="007879CD" w:rsidRPr="00357687">
        <w:rPr>
          <w:rFonts w:asciiTheme="minorHAnsi" w:hAnsiTheme="minorHAnsi" w:cstheme="minorHAnsi"/>
          <w:b/>
          <w:color w:val="auto"/>
          <w:lang w:val="en-US"/>
        </w:rPr>
        <w:t>A.</w:t>
      </w:r>
      <w:r w:rsidR="007879CD" w:rsidRPr="00692162">
        <w:rPr>
          <w:rFonts w:asciiTheme="minorHAnsi" w:hAnsiTheme="minorHAnsi" w:cstheme="minorHAnsi"/>
          <w:color w:val="auto"/>
          <w:lang w:val="en-US"/>
        </w:rPr>
        <w:t xml:space="preserve"> the Jaccard distance, </w:t>
      </w:r>
      <w:r w:rsidR="007879CD" w:rsidRPr="00357687">
        <w:rPr>
          <w:rFonts w:asciiTheme="minorHAnsi" w:hAnsiTheme="minorHAnsi" w:cstheme="minorHAnsi"/>
          <w:b/>
          <w:color w:val="auto"/>
          <w:lang w:val="en-US"/>
        </w:rPr>
        <w:t>B.</w:t>
      </w:r>
      <w:r w:rsidR="007879CD" w:rsidRPr="00692162">
        <w:rPr>
          <w:rFonts w:asciiTheme="minorHAnsi" w:hAnsiTheme="minorHAnsi" w:cstheme="minorHAnsi"/>
          <w:color w:val="auto"/>
          <w:lang w:val="en-US"/>
        </w:rPr>
        <w:t xml:space="preserve"> the UniFrac distance, </w:t>
      </w:r>
      <w:r w:rsidR="007879CD" w:rsidRPr="00357687">
        <w:rPr>
          <w:rFonts w:asciiTheme="minorHAnsi" w:hAnsiTheme="minorHAnsi" w:cstheme="minorHAnsi"/>
          <w:b/>
          <w:color w:val="auto"/>
          <w:lang w:val="en-US"/>
        </w:rPr>
        <w:t>C.</w:t>
      </w:r>
      <w:r w:rsidR="007879CD" w:rsidRPr="00692162">
        <w:rPr>
          <w:rFonts w:asciiTheme="minorHAnsi" w:hAnsiTheme="minorHAnsi" w:cstheme="minorHAnsi"/>
          <w:color w:val="auto"/>
          <w:lang w:val="en-US"/>
        </w:rPr>
        <w:t xml:space="preserve"> the Weighted UniFrac distance. Ellipses regrouped 80 % of the samples around the centroid per type and site. </w:t>
      </w:r>
      <w:r w:rsidR="00F67382" w:rsidRPr="00692162">
        <w:rPr>
          <w:rFonts w:asciiTheme="minorHAnsi" w:hAnsiTheme="minorHAnsi" w:cstheme="minorHAnsi"/>
          <w:color w:val="auto"/>
          <w:lang w:val="en-US"/>
        </w:rPr>
        <w:t xml:space="preserve">Turquoise </w:t>
      </w:r>
      <w:r w:rsidR="007879CD" w:rsidRPr="00692162">
        <w:rPr>
          <w:rFonts w:asciiTheme="minorHAnsi" w:hAnsiTheme="minorHAnsi" w:cstheme="minorHAnsi"/>
          <w:color w:val="auto"/>
          <w:lang w:val="en-US"/>
        </w:rPr>
        <w:t>points stand for the water samples collected in New Caledonia (NC); green lozenges for the hemolymph samples collected in NC; purple triangle for the water sample collected in French Polynesia (FP); pink crosses for the hemolymph (Hem) samples collected in French Polynesia.</w:t>
      </w:r>
    </w:p>
    <w:p w14:paraId="0F66156C" w14:textId="1E221AB6" w:rsidR="006314E4" w:rsidRPr="00692162" w:rsidRDefault="006314E4" w:rsidP="00915B10">
      <w:pPr>
        <w:rPr>
          <w:rFonts w:cstheme="minorHAnsi"/>
          <w:b/>
          <w:sz w:val="24"/>
          <w:szCs w:val="24"/>
          <w:lang w:val="en-US"/>
        </w:rPr>
      </w:pPr>
    </w:p>
    <w:p w14:paraId="247B5AEB" w14:textId="77777777" w:rsidR="009B5493" w:rsidRPr="00692162" w:rsidRDefault="009B5493" w:rsidP="006314E4">
      <w:pPr>
        <w:spacing w:before="120"/>
        <w:jc w:val="both"/>
        <w:rPr>
          <w:rFonts w:cstheme="minorHAnsi"/>
          <w:b/>
          <w:sz w:val="24"/>
          <w:szCs w:val="24"/>
          <w:lang w:val="en-US"/>
        </w:rPr>
      </w:pPr>
    </w:p>
    <w:p w14:paraId="7BA23E25" w14:textId="77777777" w:rsidR="00337833" w:rsidRPr="00692162" w:rsidRDefault="00337833" w:rsidP="00915B10">
      <w:pPr>
        <w:rPr>
          <w:rFonts w:cstheme="minorHAnsi"/>
          <w:b/>
          <w:sz w:val="24"/>
          <w:szCs w:val="24"/>
          <w:lang w:val="en-US"/>
        </w:rPr>
      </w:pPr>
      <w:r w:rsidRPr="00692162">
        <w:rPr>
          <w:rFonts w:cstheme="minorHAnsi"/>
          <w:b/>
          <w:noProof/>
          <w:sz w:val="24"/>
          <w:szCs w:val="24"/>
          <w:lang w:val="en-US"/>
        </w:rPr>
        <w:lastRenderedPageBreak/>
        <w:drawing>
          <wp:inline distT="0" distB="0" distL="0" distR="0" wp14:anchorId="300EB171" wp14:editId="203D2CDB">
            <wp:extent cx="4388753" cy="6747164"/>
            <wp:effectExtent l="76200" t="76200" r="69215" b="730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Fig2_AlphaDiversityIndexesPlots.png"/>
                    <pic:cNvPicPr/>
                  </pic:nvPicPr>
                  <pic:blipFill>
                    <a:blip r:embed="rId9">
                      <a:extLst>
                        <a:ext uri="{28A0092B-C50C-407E-A947-70E740481C1C}">
                          <a14:useLocalDpi xmlns:a14="http://schemas.microsoft.com/office/drawing/2010/main" val="0"/>
                        </a:ext>
                      </a:extLst>
                    </a:blip>
                    <a:stretch>
                      <a:fillRect/>
                    </a:stretch>
                  </pic:blipFill>
                  <pic:spPr>
                    <a:xfrm>
                      <a:off x="0" y="0"/>
                      <a:ext cx="4409086" cy="6778424"/>
                    </a:xfrm>
                    <a:prstGeom prst="rect">
                      <a:avLst/>
                    </a:prstGeom>
                    <a:ln w="76200">
                      <a:solidFill>
                        <a:schemeClr val="bg1"/>
                      </a:solidFill>
                    </a:ln>
                  </pic:spPr>
                </pic:pic>
              </a:graphicData>
            </a:graphic>
          </wp:inline>
        </w:drawing>
      </w:r>
    </w:p>
    <w:p w14:paraId="4A13878F" w14:textId="55120D02" w:rsidR="00775A8A" w:rsidRPr="00692162" w:rsidRDefault="007D128D" w:rsidP="00915B10">
      <w:pPr>
        <w:pStyle w:val="Heading3"/>
        <w:jc w:val="both"/>
        <w:rPr>
          <w:rFonts w:asciiTheme="minorHAnsi" w:hAnsiTheme="minorHAnsi" w:cstheme="minorHAnsi"/>
          <w:b/>
          <w:color w:val="auto"/>
          <w:lang w:val="en-US"/>
        </w:rPr>
      </w:pPr>
      <w:r w:rsidRPr="00692162">
        <w:rPr>
          <w:rFonts w:asciiTheme="minorHAnsi" w:hAnsiTheme="minorHAnsi" w:cstheme="minorHAnsi"/>
          <w:b/>
          <w:color w:val="auto"/>
          <w:lang w:val="en-US"/>
        </w:rPr>
        <w:t xml:space="preserve">Fig. </w:t>
      </w:r>
      <w:r w:rsidR="00692162" w:rsidRPr="00692162">
        <w:rPr>
          <w:rFonts w:asciiTheme="minorHAnsi" w:hAnsiTheme="minorHAnsi" w:cstheme="minorHAnsi"/>
          <w:b/>
          <w:color w:val="auto"/>
          <w:lang w:val="en-US"/>
        </w:rPr>
        <w:t>S</w:t>
      </w:r>
      <w:r w:rsidRPr="00692162">
        <w:rPr>
          <w:rFonts w:asciiTheme="minorHAnsi" w:hAnsiTheme="minorHAnsi" w:cstheme="minorHAnsi"/>
          <w:b/>
          <w:color w:val="auto"/>
          <w:lang w:val="en-US"/>
        </w:rPr>
        <w:t>2</w:t>
      </w:r>
      <w:r w:rsidR="002D258E" w:rsidRPr="00692162">
        <w:rPr>
          <w:rFonts w:asciiTheme="minorHAnsi" w:hAnsiTheme="minorHAnsi" w:cstheme="minorHAnsi"/>
          <w:b/>
          <w:color w:val="auto"/>
          <w:lang w:val="en-US"/>
        </w:rPr>
        <w:t>: Alpha</w:t>
      </w:r>
      <w:r w:rsidR="00CF6D15">
        <w:rPr>
          <w:rFonts w:asciiTheme="minorHAnsi" w:hAnsiTheme="minorHAnsi" w:cstheme="minorHAnsi"/>
          <w:b/>
          <w:color w:val="auto"/>
          <w:lang w:val="en-US"/>
        </w:rPr>
        <w:t xml:space="preserve"> </w:t>
      </w:r>
      <w:r w:rsidR="002D258E" w:rsidRPr="00692162">
        <w:rPr>
          <w:rFonts w:asciiTheme="minorHAnsi" w:hAnsiTheme="minorHAnsi" w:cstheme="minorHAnsi"/>
          <w:b/>
          <w:color w:val="auto"/>
          <w:lang w:val="en-US"/>
        </w:rPr>
        <w:t xml:space="preserve">diversity distribution </w:t>
      </w:r>
      <w:r w:rsidR="00692162">
        <w:rPr>
          <w:rFonts w:asciiTheme="minorHAnsi" w:hAnsiTheme="minorHAnsi" w:cstheme="minorHAnsi"/>
          <w:b/>
          <w:color w:val="auto"/>
          <w:lang w:val="en-US"/>
        </w:rPr>
        <w:t>in</w:t>
      </w:r>
      <w:r w:rsidR="002D258E" w:rsidRPr="00692162">
        <w:rPr>
          <w:rFonts w:asciiTheme="minorHAnsi" w:hAnsiTheme="minorHAnsi" w:cstheme="minorHAnsi"/>
          <w:b/>
          <w:color w:val="auto"/>
          <w:lang w:val="en-US"/>
        </w:rPr>
        <w:t xml:space="preserve"> the water and hemolymph samples according to the site.</w:t>
      </w:r>
      <w:r w:rsidR="002D258E" w:rsidRPr="00692162">
        <w:rPr>
          <w:rFonts w:asciiTheme="minorHAnsi" w:hAnsiTheme="minorHAnsi" w:cstheme="minorHAnsi"/>
          <w:color w:val="auto"/>
          <w:lang w:val="en-US"/>
        </w:rPr>
        <w:t xml:space="preserve"> The alpha</w:t>
      </w:r>
      <w:r w:rsidR="00CF6D15">
        <w:rPr>
          <w:rFonts w:asciiTheme="minorHAnsi" w:hAnsiTheme="minorHAnsi" w:cstheme="minorHAnsi"/>
          <w:color w:val="auto"/>
          <w:lang w:val="en-US"/>
        </w:rPr>
        <w:t xml:space="preserve"> </w:t>
      </w:r>
      <w:r w:rsidR="002D258E" w:rsidRPr="00692162">
        <w:rPr>
          <w:rFonts w:asciiTheme="minorHAnsi" w:hAnsiTheme="minorHAnsi" w:cstheme="minorHAnsi"/>
          <w:color w:val="auto"/>
          <w:lang w:val="en-US"/>
        </w:rPr>
        <w:t>diversity based on</w:t>
      </w:r>
      <w:r w:rsidR="005A2ED5">
        <w:rPr>
          <w:rFonts w:asciiTheme="minorHAnsi" w:hAnsiTheme="minorHAnsi" w:cstheme="minorHAnsi"/>
          <w:color w:val="auto"/>
          <w:lang w:val="en-US"/>
        </w:rPr>
        <w:t>:</w:t>
      </w:r>
      <w:r w:rsidR="002D258E" w:rsidRPr="00692162">
        <w:rPr>
          <w:rFonts w:asciiTheme="minorHAnsi" w:hAnsiTheme="minorHAnsi" w:cstheme="minorHAnsi"/>
          <w:color w:val="auto"/>
          <w:lang w:val="en-US"/>
        </w:rPr>
        <w:t xml:space="preserve"> </w:t>
      </w:r>
      <w:r w:rsidR="002D258E" w:rsidRPr="005667BF">
        <w:rPr>
          <w:rFonts w:asciiTheme="minorHAnsi" w:hAnsiTheme="minorHAnsi" w:cstheme="minorHAnsi"/>
          <w:b/>
          <w:color w:val="auto"/>
          <w:lang w:val="en-US"/>
        </w:rPr>
        <w:t>A.</w:t>
      </w:r>
      <w:r w:rsidR="002D258E" w:rsidRPr="00692162">
        <w:rPr>
          <w:rFonts w:asciiTheme="minorHAnsi" w:hAnsiTheme="minorHAnsi" w:cstheme="minorHAnsi"/>
          <w:color w:val="auto"/>
          <w:lang w:val="en-US"/>
        </w:rPr>
        <w:t xml:space="preserve"> ACE index, </w:t>
      </w:r>
      <w:r w:rsidR="002D258E" w:rsidRPr="005667BF">
        <w:rPr>
          <w:rFonts w:asciiTheme="minorHAnsi" w:hAnsiTheme="minorHAnsi" w:cstheme="minorHAnsi"/>
          <w:b/>
          <w:color w:val="auto"/>
          <w:lang w:val="en-US"/>
        </w:rPr>
        <w:t>B.</w:t>
      </w:r>
      <w:r w:rsidR="002D258E" w:rsidRPr="00692162">
        <w:rPr>
          <w:rFonts w:asciiTheme="minorHAnsi" w:hAnsiTheme="minorHAnsi" w:cstheme="minorHAnsi"/>
          <w:color w:val="auto"/>
          <w:lang w:val="en-US"/>
        </w:rPr>
        <w:t xml:space="preserve"> Chao1 index, </w:t>
      </w:r>
      <w:r w:rsidR="002D258E" w:rsidRPr="005667BF">
        <w:rPr>
          <w:rFonts w:asciiTheme="minorHAnsi" w:hAnsiTheme="minorHAnsi" w:cstheme="minorHAnsi"/>
          <w:b/>
          <w:color w:val="auto"/>
          <w:lang w:val="en-US"/>
        </w:rPr>
        <w:t>C.</w:t>
      </w:r>
      <w:r w:rsidR="002D258E" w:rsidRPr="00692162">
        <w:rPr>
          <w:rFonts w:asciiTheme="minorHAnsi" w:hAnsiTheme="minorHAnsi" w:cstheme="minorHAnsi"/>
          <w:color w:val="auto"/>
          <w:lang w:val="en-US"/>
        </w:rPr>
        <w:t xml:space="preserve"> Inverse Simpson index, </w:t>
      </w:r>
      <w:r w:rsidR="002D258E" w:rsidRPr="005667BF">
        <w:rPr>
          <w:rFonts w:asciiTheme="minorHAnsi" w:hAnsiTheme="minorHAnsi" w:cstheme="minorHAnsi"/>
          <w:b/>
          <w:color w:val="auto"/>
          <w:lang w:val="en-US"/>
        </w:rPr>
        <w:t>D.</w:t>
      </w:r>
      <w:r w:rsidR="002D258E" w:rsidRPr="00692162">
        <w:rPr>
          <w:rFonts w:asciiTheme="minorHAnsi" w:hAnsiTheme="minorHAnsi" w:cstheme="minorHAnsi"/>
          <w:color w:val="auto"/>
          <w:lang w:val="en-US"/>
        </w:rPr>
        <w:t xml:space="preserve"> Shannon index. The conditions without common letter are significantly different, p-values &lt; 0.05, according to pairwise Wilcoxon tests. </w:t>
      </w:r>
      <w:r w:rsidR="00F67382" w:rsidRPr="00692162">
        <w:rPr>
          <w:rFonts w:asciiTheme="minorHAnsi" w:hAnsiTheme="minorHAnsi" w:cstheme="minorHAnsi"/>
          <w:color w:val="auto"/>
          <w:lang w:val="en-US"/>
        </w:rPr>
        <w:t xml:space="preserve">Turquoise </w:t>
      </w:r>
      <w:r w:rsidR="002D258E" w:rsidRPr="00692162">
        <w:rPr>
          <w:rFonts w:asciiTheme="minorHAnsi" w:hAnsiTheme="minorHAnsi" w:cstheme="minorHAnsi"/>
          <w:color w:val="auto"/>
          <w:lang w:val="en-US"/>
        </w:rPr>
        <w:t>points stand for the water samples collected in New Caledonia (NC); green lozenges for the hemolymph samples collected in NC; purple triangle for the water sample collected in French Polynesia (FP); pink crosses for the hemolymph (Hem) samples collected in French Polynesia.</w:t>
      </w:r>
    </w:p>
    <w:p w14:paraId="14386424" w14:textId="77777777" w:rsidR="00C32F00" w:rsidRPr="00692162" w:rsidRDefault="00C32F00" w:rsidP="00775A8A">
      <w:pPr>
        <w:rPr>
          <w:rFonts w:cstheme="minorHAnsi"/>
          <w:b/>
          <w:sz w:val="24"/>
          <w:szCs w:val="24"/>
          <w:lang w:val="en-US"/>
        </w:rPr>
      </w:pPr>
    </w:p>
    <w:p w14:paraId="688A16A6" w14:textId="06A6C018" w:rsidR="00C32F00" w:rsidRPr="00692162" w:rsidRDefault="00C32F00" w:rsidP="00C32F00">
      <w:pPr>
        <w:rPr>
          <w:rFonts w:cstheme="minorHAnsi"/>
          <w:b/>
          <w:sz w:val="24"/>
          <w:szCs w:val="24"/>
          <w:lang w:val="en-US"/>
        </w:rPr>
      </w:pPr>
      <w:r w:rsidRPr="00692162">
        <w:rPr>
          <w:rFonts w:cstheme="minorHAnsi"/>
          <w:b/>
          <w:noProof/>
          <w:sz w:val="24"/>
          <w:szCs w:val="24"/>
          <w:lang w:val="en-US"/>
        </w:rPr>
        <w:lastRenderedPageBreak/>
        <w:drawing>
          <wp:inline distT="0" distB="0" distL="0" distR="0" wp14:anchorId="200A9343" wp14:editId="4BA3723D">
            <wp:extent cx="5756275" cy="23272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275" cy="2327275"/>
                    </a:xfrm>
                    <a:prstGeom prst="rect">
                      <a:avLst/>
                    </a:prstGeom>
                    <a:noFill/>
                    <a:ln>
                      <a:noFill/>
                    </a:ln>
                  </pic:spPr>
                </pic:pic>
              </a:graphicData>
            </a:graphic>
          </wp:inline>
        </w:drawing>
      </w:r>
      <w:r w:rsidRPr="00692162">
        <w:rPr>
          <w:rFonts w:cstheme="minorHAnsi"/>
          <w:b/>
          <w:sz w:val="24"/>
          <w:szCs w:val="24"/>
          <w:lang w:val="en-US"/>
        </w:rPr>
        <w:t xml:space="preserve"> </w:t>
      </w:r>
    </w:p>
    <w:p w14:paraId="1493D6DE" w14:textId="01BC48C7" w:rsidR="00C32F00" w:rsidRPr="00692162" w:rsidRDefault="00C32F00" w:rsidP="00692162">
      <w:pPr>
        <w:spacing w:after="0" w:line="240" w:lineRule="auto"/>
        <w:rPr>
          <w:rFonts w:cstheme="minorHAnsi"/>
          <w:i/>
          <w:lang w:val="en-US"/>
        </w:rPr>
      </w:pPr>
      <w:r w:rsidRPr="00692162">
        <w:rPr>
          <w:rFonts w:cstheme="minorHAnsi"/>
          <w:b/>
          <w:lang w:val="en-US"/>
        </w:rPr>
        <w:t xml:space="preserve">Fig. </w:t>
      </w:r>
      <w:r w:rsidR="00692162">
        <w:rPr>
          <w:rFonts w:cstheme="minorHAnsi"/>
          <w:b/>
          <w:lang w:val="en-US"/>
        </w:rPr>
        <w:t>S</w:t>
      </w:r>
      <w:r w:rsidRPr="00692162">
        <w:rPr>
          <w:rFonts w:cstheme="minorHAnsi"/>
          <w:b/>
          <w:lang w:val="en-US"/>
        </w:rPr>
        <w:t xml:space="preserve">3: </w:t>
      </w:r>
      <w:r w:rsidRPr="00692162">
        <w:rPr>
          <w:rFonts w:cstheme="minorHAnsi"/>
          <w:b/>
          <w:color w:val="000000" w:themeColor="text1"/>
          <w:lang w:val="en-US"/>
        </w:rPr>
        <w:t>Relative abundance of the 20 most abundant bacterial orders in seawater samples. A.</w:t>
      </w:r>
      <w:r w:rsidRPr="00692162">
        <w:rPr>
          <w:rFonts w:cstheme="minorHAnsi"/>
          <w:color w:val="000000" w:themeColor="text1"/>
          <w:lang w:val="en-US"/>
        </w:rPr>
        <w:t xml:space="preserve"> Seawater samples collected </w:t>
      </w:r>
      <w:r w:rsidRPr="00692162">
        <w:rPr>
          <w:rStyle w:val="CommentReference"/>
          <w:rFonts w:cstheme="minorHAnsi"/>
          <w:color w:val="000000" w:themeColor="text1"/>
          <w:sz w:val="24"/>
          <w:szCs w:val="24"/>
          <w:lang w:val="en-US"/>
        </w:rPr>
        <w:t xml:space="preserve">in New Caledonia. </w:t>
      </w:r>
      <w:r w:rsidRPr="00692162">
        <w:rPr>
          <w:rStyle w:val="CommentReference"/>
          <w:rFonts w:cstheme="minorHAnsi"/>
          <w:b/>
          <w:color w:val="000000" w:themeColor="text1"/>
          <w:sz w:val="24"/>
          <w:szCs w:val="24"/>
          <w:lang w:val="en-US"/>
        </w:rPr>
        <w:t>B</w:t>
      </w:r>
      <w:r w:rsidRPr="00692162">
        <w:rPr>
          <w:rFonts w:cstheme="minorHAnsi"/>
          <w:b/>
          <w:color w:val="000000" w:themeColor="text1"/>
          <w:lang w:val="en-US"/>
        </w:rPr>
        <w:t xml:space="preserve">. </w:t>
      </w:r>
      <w:r w:rsidRPr="00692162">
        <w:rPr>
          <w:rFonts w:cstheme="minorHAnsi"/>
          <w:bCs/>
          <w:color w:val="000000" w:themeColor="text1"/>
          <w:lang w:val="en-US"/>
        </w:rPr>
        <w:t>Seawater samples collected</w:t>
      </w:r>
      <w:r w:rsidRPr="00692162">
        <w:rPr>
          <w:rFonts w:cstheme="minorHAnsi"/>
          <w:b/>
          <w:color w:val="000000" w:themeColor="text1"/>
          <w:lang w:val="en-US"/>
        </w:rPr>
        <w:t xml:space="preserve"> </w:t>
      </w:r>
      <w:r w:rsidRPr="00692162">
        <w:rPr>
          <w:rStyle w:val="CommentReference"/>
          <w:rFonts w:cstheme="minorHAnsi"/>
          <w:color w:val="000000" w:themeColor="text1"/>
          <w:sz w:val="24"/>
          <w:szCs w:val="24"/>
          <w:lang w:val="en-US"/>
        </w:rPr>
        <w:t>in French Polynesia.</w:t>
      </w:r>
      <w:r w:rsidRPr="00692162">
        <w:rPr>
          <w:rStyle w:val="CommentReference"/>
          <w:rFonts w:cstheme="minorHAnsi"/>
          <w:b/>
          <w:color w:val="000000" w:themeColor="text1"/>
          <w:sz w:val="24"/>
          <w:szCs w:val="24"/>
          <w:lang w:val="en-US"/>
        </w:rPr>
        <w:t xml:space="preserve"> </w:t>
      </w:r>
      <w:r w:rsidRPr="00692162">
        <w:rPr>
          <w:rFonts w:cstheme="minorHAnsi"/>
          <w:color w:val="000000" w:themeColor="text1"/>
          <w:lang w:val="en-US"/>
        </w:rPr>
        <w:t>Each sample match to a given conditions corresponding to the sampling time: beginning of the experimentation (T0), 1 month later (T1); season: warm season (WS), cold season (CS). Orders written in grey are common in both sites.</w:t>
      </w:r>
    </w:p>
    <w:p w14:paraId="48FE9D24" w14:textId="666F4894" w:rsidR="00C32F00" w:rsidRPr="00692162" w:rsidRDefault="00775A8A" w:rsidP="00775A8A">
      <w:pPr>
        <w:rPr>
          <w:rFonts w:cstheme="minorHAnsi"/>
          <w:b/>
          <w:sz w:val="24"/>
          <w:szCs w:val="24"/>
          <w:lang w:val="en-US"/>
        </w:rPr>
      </w:pPr>
      <w:r w:rsidRPr="00692162">
        <w:rPr>
          <w:rFonts w:cstheme="minorHAnsi"/>
          <w:b/>
          <w:sz w:val="24"/>
          <w:szCs w:val="24"/>
          <w:lang w:val="en-US"/>
        </w:rPr>
        <w:br w:type="page"/>
      </w:r>
    </w:p>
    <w:p w14:paraId="6A4462E5" w14:textId="29A8BA44" w:rsidR="00775A8A" w:rsidRPr="00692162" w:rsidRDefault="006C5351" w:rsidP="00775A8A">
      <w:pPr>
        <w:rPr>
          <w:rFonts w:cstheme="minorHAnsi"/>
          <w:b/>
          <w:sz w:val="24"/>
          <w:szCs w:val="24"/>
          <w:lang w:val="en-US"/>
        </w:rPr>
      </w:pPr>
      <w:r w:rsidRPr="00692162">
        <w:rPr>
          <w:rFonts w:cstheme="minorHAnsi"/>
          <w:b/>
          <w:noProof/>
          <w:sz w:val="24"/>
          <w:szCs w:val="24"/>
          <w:lang w:val="en-US"/>
        </w:rPr>
        <w:lastRenderedPageBreak/>
        <w:drawing>
          <wp:inline distT="0" distB="0" distL="0" distR="0" wp14:anchorId="58651EC5" wp14:editId="0E6D666F">
            <wp:extent cx="4986068" cy="5277715"/>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6249" cy="5299077"/>
                    </a:xfrm>
                    <a:prstGeom prst="rect">
                      <a:avLst/>
                    </a:prstGeom>
                    <a:noFill/>
                    <a:ln>
                      <a:noFill/>
                    </a:ln>
                  </pic:spPr>
                </pic:pic>
              </a:graphicData>
            </a:graphic>
          </wp:inline>
        </w:drawing>
      </w:r>
    </w:p>
    <w:p w14:paraId="0A719DF9" w14:textId="617085A8" w:rsidR="00775A8A" w:rsidRPr="00692162" w:rsidRDefault="00775A8A" w:rsidP="0031653B">
      <w:pPr>
        <w:pStyle w:val="Heading3"/>
        <w:jc w:val="both"/>
        <w:rPr>
          <w:rFonts w:asciiTheme="minorHAnsi" w:hAnsiTheme="minorHAnsi" w:cstheme="minorHAnsi"/>
          <w:i/>
          <w:color w:val="auto"/>
          <w:lang w:val="en-US"/>
        </w:rPr>
      </w:pPr>
      <w:r w:rsidRPr="00692162">
        <w:rPr>
          <w:rFonts w:asciiTheme="minorHAnsi" w:hAnsiTheme="minorHAnsi" w:cstheme="minorHAnsi"/>
          <w:b/>
          <w:color w:val="auto"/>
          <w:lang w:val="en-US"/>
        </w:rPr>
        <w:t xml:space="preserve">Fig. </w:t>
      </w:r>
      <w:r w:rsidR="0001576B">
        <w:rPr>
          <w:rFonts w:asciiTheme="minorHAnsi" w:hAnsiTheme="minorHAnsi" w:cstheme="minorHAnsi"/>
          <w:b/>
          <w:color w:val="auto"/>
          <w:lang w:val="en-US"/>
        </w:rPr>
        <w:t>S</w:t>
      </w:r>
      <w:r w:rsidR="00C32F00" w:rsidRPr="00692162">
        <w:rPr>
          <w:rFonts w:asciiTheme="minorHAnsi" w:hAnsiTheme="minorHAnsi" w:cstheme="minorHAnsi"/>
          <w:b/>
          <w:color w:val="auto"/>
          <w:lang w:val="en-US"/>
        </w:rPr>
        <w:t>4</w:t>
      </w:r>
      <w:r w:rsidRPr="00692162">
        <w:rPr>
          <w:rFonts w:asciiTheme="minorHAnsi" w:hAnsiTheme="minorHAnsi" w:cstheme="minorHAnsi"/>
          <w:b/>
          <w:color w:val="auto"/>
          <w:lang w:val="en-US"/>
        </w:rPr>
        <w:t>: Biomarkers of enriched taxa at all taxonomic ranks</w:t>
      </w:r>
      <w:r w:rsidRPr="00692162">
        <w:rPr>
          <w:rFonts w:asciiTheme="minorHAnsi" w:hAnsiTheme="minorHAnsi" w:cstheme="minorHAnsi"/>
          <w:b/>
          <w:noProof/>
          <w:color w:val="auto"/>
          <w:lang w:val="en-US"/>
        </w:rPr>
        <w:t xml:space="preserve"> in warm and cold season</w:t>
      </w:r>
      <w:r w:rsidR="00357687">
        <w:rPr>
          <w:rFonts w:asciiTheme="minorHAnsi" w:hAnsiTheme="minorHAnsi" w:cstheme="minorHAnsi"/>
          <w:b/>
          <w:noProof/>
          <w:color w:val="auto"/>
          <w:lang w:val="en-US"/>
        </w:rPr>
        <w:t>s</w:t>
      </w:r>
      <w:r w:rsidRPr="00692162">
        <w:rPr>
          <w:rFonts w:asciiTheme="minorHAnsi" w:hAnsiTheme="minorHAnsi" w:cstheme="minorHAnsi"/>
          <w:b/>
          <w:noProof/>
          <w:color w:val="auto"/>
          <w:lang w:val="en-US"/>
        </w:rPr>
        <w:t xml:space="preserve"> per site. </w:t>
      </w:r>
      <w:r w:rsidRPr="00692162">
        <w:rPr>
          <w:rFonts w:asciiTheme="minorHAnsi" w:hAnsiTheme="minorHAnsi" w:cstheme="minorHAnsi"/>
          <w:color w:val="auto"/>
          <w:lang w:val="en-US"/>
        </w:rPr>
        <w:t xml:space="preserve">Measure by LEfSe with an LDA cutoff score of 4 </w:t>
      </w:r>
      <w:r w:rsidRPr="00692162">
        <w:rPr>
          <w:rFonts w:asciiTheme="minorHAnsi" w:hAnsiTheme="minorHAnsi" w:cstheme="minorHAnsi"/>
          <w:b/>
          <w:color w:val="auto"/>
          <w:lang w:val="en-US"/>
        </w:rPr>
        <w:t xml:space="preserve">A. </w:t>
      </w:r>
      <w:r w:rsidRPr="00692162">
        <w:rPr>
          <w:rFonts w:asciiTheme="minorHAnsi" w:hAnsiTheme="minorHAnsi" w:cstheme="minorHAnsi"/>
          <w:color w:val="auto"/>
          <w:lang w:val="en-US"/>
        </w:rPr>
        <w:t xml:space="preserve">in New Caledonia, </w:t>
      </w:r>
      <w:r w:rsidRPr="00692162">
        <w:rPr>
          <w:rFonts w:asciiTheme="minorHAnsi" w:hAnsiTheme="minorHAnsi" w:cstheme="minorHAnsi"/>
          <w:b/>
          <w:color w:val="auto"/>
          <w:lang w:val="en-US"/>
        </w:rPr>
        <w:t>B.</w:t>
      </w:r>
      <w:r w:rsidRPr="00692162">
        <w:rPr>
          <w:rFonts w:asciiTheme="minorHAnsi" w:hAnsiTheme="minorHAnsi" w:cstheme="minorHAnsi"/>
          <w:color w:val="auto"/>
          <w:lang w:val="en-US"/>
        </w:rPr>
        <w:t xml:space="preserve"> in French Polynesia; Indicated in front of each taxa names:</w:t>
      </w:r>
      <w:r w:rsidRPr="00692162">
        <w:rPr>
          <w:rFonts w:asciiTheme="minorHAnsi" w:hAnsiTheme="minorHAnsi" w:cstheme="minorHAnsi"/>
          <w:noProof/>
          <w:color w:val="auto"/>
          <w:lang w:val="en-US"/>
        </w:rPr>
        <w:t xml:space="preserve"> k stands for Kingdom, p for Phylum, c for Class, o for Order, f for Family and g for Genus</w:t>
      </w:r>
      <w:r w:rsidRPr="00692162">
        <w:rPr>
          <w:rFonts w:asciiTheme="minorHAnsi" w:hAnsiTheme="minorHAnsi" w:cstheme="minorHAnsi"/>
          <w:color w:val="auto"/>
          <w:lang w:val="en-US"/>
        </w:rPr>
        <w:t xml:space="preserve">. </w:t>
      </w:r>
    </w:p>
    <w:p w14:paraId="709997BE" w14:textId="526EA6BA" w:rsidR="007D128D" w:rsidRPr="00692162" w:rsidRDefault="007D128D" w:rsidP="006314E4">
      <w:pPr>
        <w:spacing w:before="120"/>
        <w:jc w:val="both"/>
        <w:rPr>
          <w:rFonts w:cstheme="minorHAnsi"/>
          <w:sz w:val="24"/>
          <w:szCs w:val="24"/>
          <w:lang w:val="en-US"/>
        </w:rPr>
      </w:pPr>
    </w:p>
    <w:p w14:paraId="7D23B3FF" w14:textId="0AC25251" w:rsidR="009651CD" w:rsidRPr="00692162" w:rsidRDefault="009651CD" w:rsidP="009B5493">
      <w:pPr>
        <w:spacing w:before="120"/>
        <w:jc w:val="both"/>
        <w:rPr>
          <w:rFonts w:cstheme="minorHAnsi"/>
          <w:b/>
          <w:sz w:val="24"/>
          <w:szCs w:val="24"/>
          <w:lang w:val="en-US"/>
        </w:rPr>
      </w:pPr>
    </w:p>
    <w:p w14:paraId="042989C0" w14:textId="089E2F4F" w:rsidR="002B52D6" w:rsidRPr="00692162" w:rsidRDefault="002B52D6" w:rsidP="00060D17">
      <w:pPr>
        <w:spacing w:before="120"/>
        <w:jc w:val="both"/>
        <w:rPr>
          <w:rFonts w:cstheme="minorHAnsi"/>
          <w:b/>
          <w:noProof/>
          <w:sz w:val="24"/>
          <w:szCs w:val="24"/>
          <w:lang w:val="en-US"/>
        </w:rPr>
      </w:pPr>
    </w:p>
    <w:p w14:paraId="265FE8C9" w14:textId="607BB05B" w:rsidR="00F14E7B" w:rsidRPr="00692162" w:rsidRDefault="008C6BFC" w:rsidP="00060D17">
      <w:pPr>
        <w:spacing w:before="120"/>
        <w:jc w:val="both"/>
        <w:rPr>
          <w:rFonts w:cstheme="minorHAnsi"/>
          <w:b/>
          <w:sz w:val="24"/>
          <w:szCs w:val="24"/>
          <w:lang w:val="en-US"/>
        </w:rPr>
      </w:pPr>
      <w:r w:rsidRPr="00692162">
        <w:rPr>
          <w:rFonts w:cstheme="minorHAnsi"/>
          <w:b/>
          <w:noProof/>
          <w:sz w:val="24"/>
          <w:szCs w:val="24"/>
          <w:lang w:val="en-US"/>
        </w:rPr>
        <w:lastRenderedPageBreak/>
        <w:drawing>
          <wp:inline distT="0" distB="0" distL="0" distR="0" wp14:anchorId="77B7B294" wp14:editId="5D4AC216">
            <wp:extent cx="5753735" cy="454406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4544060"/>
                    </a:xfrm>
                    <a:prstGeom prst="rect">
                      <a:avLst/>
                    </a:prstGeom>
                    <a:noFill/>
                    <a:ln>
                      <a:noFill/>
                    </a:ln>
                  </pic:spPr>
                </pic:pic>
              </a:graphicData>
            </a:graphic>
          </wp:inline>
        </w:drawing>
      </w:r>
    </w:p>
    <w:p w14:paraId="3A40604D" w14:textId="09B4FF2E" w:rsidR="00060D17" w:rsidRPr="00692162" w:rsidRDefault="00060D17" w:rsidP="0031653B">
      <w:pPr>
        <w:pStyle w:val="Heading3"/>
        <w:jc w:val="both"/>
        <w:rPr>
          <w:rFonts w:asciiTheme="minorHAnsi" w:hAnsiTheme="minorHAnsi" w:cstheme="minorHAnsi"/>
          <w:color w:val="auto"/>
          <w:lang w:val="en-US"/>
        </w:rPr>
      </w:pPr>
      <w:r w:rsidRPr="00692162">
        <w:rPr>
          <w:rFonts w:asciiTheme="minorHAnsi" w:hAnsiTheme="minorHAnsi" w:cstheme="minorHAnsi"/>
          <w:b/>
          <w:color w:val="auto"/>
          <w:lang w:val="en-US"/>
        </w:rPr>
        <w:t xml:space="preserve">Fig. </w:t>
      </w:r>
      <w:r w:rsidR="0001576B">
        <w:rPr>
          <w:rFonts w:asciiTheme="minorHAnsi" w:hAnsiTheme="minorHAnsi" w:cstheme="minorHAnsi"/>
          <w:b/>
          <w:color w:val="auto"/>
          <w:lang w:val="en-US"/>
        </w:rPr>
        <w:t>S</w:t>
      </w:r>
      <w:r w:rsidR="00132C58">
        <w:rPr>
          <w:rFonts w:asciiTheme="minorHAnsi" w:hAnsiTheme="minorHAnsi" w:cstheme="minorHAnsi"/>
          <w:b/>
          <w:color w:val="auto"/>
          <w:lang w:val="en-US"/>
        </w:rPr>
        <w:t>5</w:t>
      </w:r>
      <w:r w:rsidR="00D12EA5" w:rsidRPr="00692162">
        <w:rPr>
          <w:rFonts w:asciiTheme="minorHAnsi" w:hAnsiTheme="minorHAnsi" w:cstheme="minorHAnsi"/>
          <w:b/>
          <w:color w:val="auto"/>
          <w:lang w:val="en-US"/>
        </w:rPr>
        <w:t xml:space="preserve">: Relative abundance of the putative functions of the microbial diversity inhabiting the hemolymph samples per condition at the KEGG orthology (K.O) level 2. </w:t>
      </w:r>
      <w:r w:rsidR="00D12EA5" w:rsidRPr="00692162">
        <w:rPr>
          <w:rFonts w:asciiTheme="minorHAnsi" w:hAnsiTheme="minorHAnsi" w:cstheme="minorHAnsi"/>
          <w:color w:val="auto"/>
          <w:lang w:val="en-US"/>
        </w:rPr>
        <w:t>The putative functions of the host associated-microbiota were identified and assigned with the R package Tax4Fun, the public prokaryote database FAPROTAX and the Silva KO references (Louca et al., 2016)</w:t>
      </w:r>
      <w:r w:rsidR="00D12EA5" w:rsidRPr="00692162">
        <w:rPr>
          <w:rFonts w:asciiTheme="minorHAnsi" w:hAnsiTheme="minorHAnsi" w:cstheme="minorHAnsi"/>
          <w:color w:val="auto"/>
          <w:lang w:val="en-US"/>
        </w:rPr>
        <w:fldChar w:fldCharType="begin"/>
      </w:r>
      <w:r w:rsidR="00D12EA5" w:rsidRPr="00692162">
        <w:rPr>
          <w:rFonts w:asciiTheme="minorHAnsi" w:hAnsiTheme="minorHAnsi" w:cstheme="minorHAnsi"/>
          <w:color w:val="auto"/>
          <w:lang w:val="en-US"/>
        </w:rPr>
        <w:instrText xml:space="preserve"> ADDIN ZOTERO_ITEM CSL_CITATION {"citationID":"lIB6yqAP","properties":{"formattedCitation":"[64]","plainCitation":"[64]","noteIndex":0},"citationItems":[{"id":38,"uris":["http://zotero.org/users/local/bGOUru4N/items/G5IVM8YS"],"itemData":{"id":38,"type":"article-journal","abstract":"Microbial metabolism powers biogeochemical cycling in Earth’s ecosystems. The taxonomic composition of microbial communities varies substantially between environments, but the ecological causes of this variation remain largely unknown. We analyzed taxonomic and functional community profiles to determine the factors that shape marine bacterial and archaeal communities across the global ocean. By classifying &gt;30,000 marine microorganisms into metabolic functional groups, we were able to disentangle functional from taxonomic community variation. We find that environmental conditions strongly influence the distribution of functional groups in marine microbial communities by shaping metabolic niches, but only weakly influence taxonomic composition within individual functional groups. Hence, functional structure and composition within functional groups constitute complementary and roughly independent “axes of variation” shaped by markedly different processes.","container-title":"Science","DOI":"10.1126/science.aaf4507","ISSN":"0036-8075, 1095-9203","issue":"6305","journalAbbreviation":"Science","language":"en","page":"1272-1277","source":"DOI.org (Crossref)","title":"Decoupling function and taxonomy in the global ocean microbiome","volume":"353","author":[{"family":"Louca","given":"S."},{"family":"Parfrey","given":"L. W."},{"family":"Doebeli","given":"M."}],"issued":{"date-parts":[["2016"]]}}}],"schema":"https://github.com/citation-style-language/schema/raw/master/csl-citation.json"} </w:instrText>
      </w:r>
      <w:r w:rsidR="00D12EA5" w:rsidRPr="00692162">
        <w:rPr>
          <w:rFonts w:asciiTheme="minorHAnsi" w:hAnsiTheme="minorHAnsi" w:cstheme="minorHAnsi"/>
          <w:color w:val="auto"/>
          <w:lang w:val="en-US"/>
        </w:rPr>
        <w:fldChar w:fldCharType="separate"/>
      </w:r>
      <w:r w:rsidR="00D12EA5" w:rsidRPr="00675491">
        <w:rPr>
          <w:rFonts w:asciiTheme="minorHAnsi" w:hAnsiTheme="minorHAnsi" w:cstheme="minorHAnsi"/>
          <w:color w:val="auto"/>
          <w:lang w:val="en-US"/>
        </w:rPr>
        <w:t>[</w:t>
      </w:r>
      <w:r w:rsidR="0001576B" w:rsidRPr="00675491">
        <w:rPr>
          <w:rFonts w:asciiTheme="minorHAnsi" w:hAnsiTheme="minorHAnsi" w:cstheme="minorHAnsi"/>
          <w:color w:val="auto"/>
          <w:lang w:val="en-US"/>
        </w:rPr>
        <w:t>46</w:t>
      </w:r>
      <w:r w:rsidR="00D12EA5" w:rsidRPr="00675491">
        <w:rPr>
          <w:rFonts w:asciiTheme="minorHAnsi" w:hAnsiTheme="minorHAnsi" w:cstheme="minorHAnsi"/>
          <w:color w:val="auto"/>
          <w:lang w:val="en-US"/>
        </w:rPr>
        <w:t>]</w:t>
      </w:r>
      <w:r w:rsidR="00D12EA5" w:rsidRPr="00692162">
        <w:rPr>
          <w:rFonts w:asciiTheme="minorHAnsi" w:hAnsiTheme="minorHAnsi" w:cstheme="minorHAnsi"/>
          <w:color w:val="auto"/>
          <w:lang w:val="en-US"/>
        </w:rPr>
        <w:fldChar w:fldCharType="end"/>
      </w:r>
      <w:r w:rsidR="00D12EA5" w:rsidRPr="00692162">
        <w:rPr>
          <w:rFonts w:asciiTheme="minorHAnsi" w:hAnsiTheme="minorHAnsi" w:cstheme="minorHAnsi"/>
          <w:color w:val="auto"/>
          <w:lang w:val="en-US"/>
        </w:rPr>
        <w:t>, according to the variable</w:t>
      </w:r>
      <w:r w:rsidR="002B52D6" w:rsidRPr="00692162">
        <w:rPr>
          <w:rFonts w:asciiTheme="minorHAnsi" w:hAnsiTheme="minorHAnsi" w:cstheme="minorHAnsi"/>
          <w:color w:val="auto"/>
          <w:lang w:val="en-US"/>
        </w:rPr>
        <w:t>,</w:t>
      </w:r>
      <w:r w:rsidR="00D12EA5" w:rsidRPr="00692162">
        <w:rPr>
          <w:rFonts w:asciiTheme="minorHAnsi" w:hAnsiTheme="minorHAnsi" w:cstheme="minorHAnsi"/>
          <w:color w:val="auto"/>
          <w:lang w:val="en-US"/>
        </w:rPr>
        <w:t xml:space="preserve"> T0 : beginning of the experimentations, T1: 1 month later; WS: Warm Season, CS: Cold Season.</w:t>
      </w:r>
    </w:p>
    <w:p w14:paraId="0B1C0966" w14:textId="77777777" w:rsidR="00C2702D" w:rsidRDefault="00C2702D" w:rsidP="009B5493">
      <w:pPr>
        <w:spacing w:before="120"/>
        <w:jc w:val="both"/>
        <w:rPr>
          <w:rFonts w:cstheme="minorHAnsi"/>
          <w:b/>
          <w:noProof/>
          <w:sz w:val="24"/>
          <w:szCs w:val="24"/>
          <w:lang w:val="en-US"/>
        </w:rPr>
      </w:pPr>
    </w:p>
    <w:p w14:paraId="1BCF6E91" w14:textId="77777777" w:rsidR="00DF4C30" w:rsidRDefault="00DF4C30" w:rsidP="00DF4C30">
      <w:pPr>
        <w:spacing w:after="0"/>
        <w:contextualSpacing/>
        <w:jc w:val="both"/>
        <w:rPr>
          <w:rFonts w:cstheme="minorHAnsi"/>
          <w:b/>
          <w:noProof/>
          <w:color w:val="FF0000"/>
          <w:sz w:val="24"/>
          <w:szCs w:val="24"/>
          <w:lang w:val="en-US"/>
        </w:rPr>
      </w:pPr>
      <w:r w:rsidRPr="00DF4C30">
        <w:rPr>
          <w:rFonts w:cstheme="minorHAnsi"/>
          <w:b/>
          <w:noProof/>
          <w:color w:val="FF0000"/>
          <w:sz w:val="24"/>
          <w:szCs w:val="24"/>
          <w:lang w:val="en-US"/>
        </w:rPr>
        <w:lastRenderedPageBreak/>
        <w:drawing>
          <wp:inline distT="0" distB="0" distL="0" distR="0" wp14:anchorId="7B48A7E6" wp14:editId="2D5E1E7D">
            <wp:extent cx="4953000" cy="7327900"/>
            <wp:effectExtent l="0" t="0" r="0" b="0"/>
            <wp:docPr id="709252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52732" name=""/>
                    <pic:cNvPicPr/>
                  </pic:nvPicPr>
                  <pic:blipFill>
                    <a:blip r:embed="rId13"/>
                    <a:stretch>
                      <a:fillRect/>
                    </a:stretch>
                  </pic:blipFill>
                  <pic:spPr>
                    <a:xfrm>
                      <a:off x="0" y="0"/>
                      <a:ext cx="4953000" cy="7327900"/>
                    </a:xfrm>
                    <a:prstGeom prst="rect">
                      <a:avLst/>
                    </a:prstGeom>
                  </pic:spPr>
                </pic:pic>
              </a:graphicData>
            </a:graphic>
          </wp:inline>
        </w:drawing>
      </w:r>
      <w:r w:rsidRPr="00DF4C30">
        <w:rPr>
          <w:rFonts w:cstheme="minorHAnsi"/>
          <w:b/>
          <w:noProof/>
          <w:color w:val="FF0000"/>
          <w:sz w:val="24"/>
          <w:szCs w:val="24"/>
          <w:lang w:val="en-US"/>
        </w:rPr>
        <w:t xml:space="preserve"> </w:t>
      </w:r>
    </w:p>
    <w:p w14:paraId="2C55DF5F" w14:textId="69E89CAC" w:rsidR="00C2702D" w:rsidRDefault="00C2702D" w:rsidP="00DF4C30">
      <w:pPr>
        <w:spacing w:after="0"/>
        <w:contextualSpacing/>
        <w:jc w:val="both"/>
        <w:rPr>
          <w:rFonts w:eastAsiaTheme="majorEastAsia" w:cstheme="minorHAnsi"/>
          <w:b/>
          <w:sz w:val="24"/>
          <w:szCs w:val="24"/>
          <w:lang w:val="en-US"/>
        </w:rPr>
      </w:pPr>
      <w:r w:rsidRPr="00C2702D">
        <w:rPr>
          <w:rFonts w:eastAsiaTheme="majorEastAsia" w:cstheme="minorHAnsi"/>
          <w:b/>
          <w:sz w:val="24"/>
          <w:szCs w:val="24"/>
          <w:lang w:val="en-US"/>
        </w:rPr>
        <w:t>Fig. S</w:t>
      </w:r>
      <w:r>
        <w:rPr>
          <w:rFonts w:eastAsiaTheme="majorEastAsia" w:cstheme="minorHAnsi"/>
          <w:b/>
          <w:sz w:val="24"/>
          <w:szCs w:val="24"/>
          <w:lang w:val="en-US"/>
        </w:rPr>
        <w:t>6</w:t>
      </w:r>
      <w:r w:rsidRPr="00C2702D">
        <w:rPr>
          <w:rFonts w:eastAsiaTheme="majorEastAsia" w:cstheme="minorHAnsi"/>
          <w:b/>
          <w:sz w:val="24"/>
          <w:szCs w:val="24"/>
          <w:lang w:val="en-US"/>
        </w:rPr>
        <w:t>: Correlogram based on the putative microbial function identified as biomarkers and the relative expressions of the immune effectors</w:t>
      </w:r>
      <w:r>
        <w:rPr>
          <w:rFonts w:eastAsiaTheme="majorEastAsia" w:cstheme="minorHAnsi"/>
          <w:b/>
          <w:sz w:val="24"/>
          <w:szCs w:val="24"/>
          <w:lang w:val="en-US"/>
        </w:rPr>
        <w:t>.</w:t>
      </w:r>
    </w:p>
    <w:p w14:paraId="1D616070" w14:textId="5BE84493" w:rsidR="00C2702D" w:rsidRPr="00C2702D" w:rsidRDefault="00C2702D" w:rsidP="00C2702D">
      <w:pPr>
        <w:spacing w:after="0"/>
        <w:contextualSpacing/>
        <w:jc w:val="both"/>
        <w:rPr>
          <w:rFonts w:eastAsiaTheme="majorEastAsia" w:cstheme="minorHAnsi"/>
          <w:b/>
          <w:sz w:val="24"/>
          <w:szCs w:val="24"/>
          <w:lang w:val="en-US"/>
        </w:rPr>
      </w:pPr>
      <w:r w:rsidRPr="001F38C0">
        <w:rPr>
          <w:rFonts w:ascii="Arial" w:hAnsi="Arial" w:cs="Arial"/>
          <w:iCs/>
          <w:noProof/>
          <w:sz w:val="24"/>
          <w:szCs w:val="24"/>
          <w:lang w:val="en-US"/>
        </w:rPr>
        <w:t>Heatmap of the spearman correlation coefficient comparing the relative expression</w:t>
      </w:r>
      <w:r>
        <w:rPr>
          <w:rFonts w:ascii="Arial" w:hAnsi="Arial" w:cs="Arial"/>
          <w:iCs/>
          <w:noProof/>
          <w:sz w:val="24"/>
          <w:szCs w:val="24"/>
          <w:lang w:val="en-US"/>
        </w:rPr>
        <w:t>s</w:t>
      </w:r>
      <w:r w:rsidRPr="001F38C0">
        <w:rPr>
          <w:rFonts w:ascii="Arial" w:hAnsi="Arial" w:cs="Arial"/>
          <w:iCs/>
          <w:noProof/>
          <w:sz w:val="24"/>
          <w:szCs w:val="24"/>
          <w:lang w:val="en-US"/>
        </w:rPr>
        <w:t xml:space="preserve"> of each immune effector and the </w:t>
      </w:r>
      <w:r>
        <w:rPr>
          <w:rFonts w:ascii="Arial" w:hAnsi="Arial" w:cs="Arial"/>
          <w:iCs/>
          <w:noProof/>
          <w:sz w:val="24"/>
          <w:szCs w:val="24"/>
          <w:lang w:val="en-US"/>
        </w:rPr>
        <w:t xml:space="preserve">putative microbial functions identified as </w:t>
      </w:r>
      <w:r w:rsidRPr="001F38C0">
        <w:rPr>
          <w:rFonts w:ascii="Arial" w:hAnsi="Arial" w:cs="Arial"/>
          <w:iCs/>
          <w:noProof/>
          <w:sz w:val="24"/>
          <w:szCs w:val="24"/>
          <w:lang w:val="en-US"/>
        </w:rPr>
        <w:t xml:space="preserve">biomarkers identified in the </w:t>
      </w:r>
      <w:r w:rsidRPr="00D35F15">
        <w:rPr>
          <w:rFonts w:ascii="Arial" w:hAnsi="Arial" w:cs="Arial"/>
          <w:bCs/>
          <w:iCs/>
          <w:noProof/>
          <w:sz w:val="24"/>
          <w:szCs w:val="24"/>
          <w:lang w:val="en-US"/>
        </w:rPr>
        <w:t>figure 7</w:t>
      </w:r>
      <w:r w:rsidRPr="001F38C0">
        <w:rPr>
          <w:rFonts w:ascii="Arial" w:hAnsi="Arial" w:cs="Arial"/>
          <w:iCs/>
          <w:noProof/>
          <w:sz w:val="24"/>
          <w:szCs w:val="24"/>
          <w:lang w:val="en-US"/>
        </w:rPr>
        <w:t xml:space="preserve">. </w:t>
      </w:r>
      <w:r w:rsidRPr="00710B0D">
        <w:rPr>
          <w:rFonts w:ascii="Arial" w:hAnsi="Arial" w:cs="Arial"/>
          <w:sz w:val="24"/>
          <w:szCs w:val="24"/>
          <w:lang w:val="en-US"/>
        </w:rPr>
        <w:t>Asterix indicated significant correlations.</w:t>
      </w:r>
    </w:p>
    <w:p w14:paraId="623B9005" w14:textId="4DA13A30" w:rsidR="00060D17" w:rsidRPr="00692162" w:rsidRDefault="00F1340E" w:rsidP="009B5493">
      <w:pPr>
        <w:spacing w:before="120"/>
        <w:jc w:val="both"/>
        <w:rPr>
          <w:rFonts w:cstheme="minorHAnsi"/>
          <w:b/>
          <w:noProof/>
          <w:sz w:val="24"/>
          <w:szCs w:val="24"/>
          <w:lang w:val="en-US"/>
        </w:rPr>
      </w:pPr>
      <w:r w:rsidRPr="00692162">
        <w:rPr>
          <w:rFonts w:cstheme="minorHAnsi"/>
          <w:b/>
          <w:noProof/>
          <w:sz w:val="24"/>
          <w:szCs w:val="24"/>
          <w:lang w:val="en-US"/>
        </w:rPr>
        <mc:AlternateContent>
          <mc:Choice Requires="wps">
            <w:drawing>
              <wp:anchor distT="0" distB="0" distL="114300" distR="114300" simplePos="0" relativeHeight="251659264" behindDoc="0" locked="0" layoutInCell="1" allowOverlap="1" wp14:anchorId="1A6E95FF" wp14:editId="5AB572F0">
                <wp:simplePos x="0" y="0"/>
                <wp:positionH relativeFrom="column">
                  <wp:posOffset>1518920</wp:posOffset>
                </wp:positionH>
                <wp:positionV relativeFrom="paragraph">
                  <wp:posOffset>4876800</wp:posOffset>
                </wp:positionV>
                <wp:extent cx="66675" cy="1057275"/>
                <wp:effectExtent l="0" t="0" r="9525" b="9525"/>
                <wp:wrapNone/>
                <wp:docPr id="7" name="Rectangle 7"/>
                <wp:cNvGraphicFramePr/>
                <a:graphic xmlns:a="http://schemas.openxmlformats.org/drawingml/2006/main">
                  <a:graphicData uri="http://schemas.microsoft.com/office/word/2010/wordprocessingShape">
                    <wps:wsp>
                      <wps:cNvSpPr/>
                      <wps:spPr>
                        <a:xfrm>
                          <a:off x="0" y="0"/>
                          <a:ext cx="66675" cy="1057275"/>
                        </a:xfrm>
                        <a:prstGeom prst="rect">
                          <a:avLst/>
                        </a:prstGeom>
                        <a:solidFill>
                          <a:srgbClr val="D038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1054C4" id="Rectangle 7" o:spid="_x0000_s1026" style="position:absolute;margin-left:119.6pt;margin-top:384pt;width:5.25pt;height:8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" fillcolor="#d038cc" stroked="f" strokeweight="1pt"/>
            </w:pict>
          </mc:Fallback>
        </mc:AlternateContent>
      </w:r>
    </w:p>
    <w:sectPr w:rsidR="00060D17" w:rsidRPr="00692162" w:rsidSect="00666A01">
      <w:footerReference w:type="default" r:id="rId1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FE6C09" w14:textId="77777777" w:rsidR="00931B28" w:rsidRDefault="00931B28" w:rsidP="00037B51">
      <w:pPr>
        <w:spacing w:after="0" w:line="240" w:lineRule="auto"/>
      </w:pPr>
      <w:r>
        <w:separator/>
      </w:r>
    </w:p>
  </w:endnote>
  <w:endnote w:type="continuationSeparator" w:id="0">
    <w:p w14:paraId="3357B123" w14:textId="77777777" w:rsidR="00931B28" w:rsidRDefault="00931B28" w:rsidP="00037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1035919"/>
      <w:docPartObj>
        <w:docPartGallery w:val="Page Numbers (Bottom of Page)"/>
        <w:docPartUnique/>
      </w:docPartObj>
    </w:sdtPr>
    <w:sdtContent>
      <w:p w14:paraId="0806073D" w14:textId="29EA6D1F" w:rsidR="00D13D34" w:rsidRDefault="00D13D34">
        <w:pPr>
          <w:pStyle w:val="Footer"/>
          <w:jc w:val="right"/>
        </w:pPr>
        <w:r>
          <w:fldChar w:fldCharType="begin"/>
        </w:r>
        <w:r>
          <w:instrText>PAGE   \* MERGEFORMAT</w:instrText>
        </w:r>
        <w:r>
          <w:fldChar w:fldCharType="separate"/>
        </w:r>
        <w:r>
          <w:t>2</w:t>
        </w:r>
        <w:r>
          <w:fldChar w:fldCharType="end"/>
        </w:r>
      </w:p>
    </w:sdtContent>
  </w:sdt>
  <w:p w14:paraId="0A1ACF46" w14:textId="77777777" w:rsidR="00D13D34" w:rsidRDefault="00D13D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488444" w14:textId="77777777" w:rsidR="00931B28" w:rsidRDefault="00931B28" w:rsidP="00037B51">
      <w:pPr>
        <w:spacing w:after="0" w:line="240" w:lineRule="auto"/>
      </w:pPr>
      <w:r>
        <w:separator/>
      </w:r>
    </w:p>
  </w:footnote>
  <w:footnote w:type="continuationSeparator" w:id="0">
    <w:p w14:paraId="488FC4E9" w14:textId="77777777" w:rsidR="00931B28" w:rsidRDefault="00931B28" w:rsidP="00037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26B6B56"/>
    <w:multiLevelType w:val="hybridMultilevel"/>
    <w:tmpl w:val="B4001B9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20216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ADE"/>
    <w:rsid w:val="00005B7A"/>
    <w:rsid w:val="00006C73"/>
    <w:rsid w:val="000073BC"/>
    <w:rsid w:val="00010D0F"/>
    <w:rsid w:val="0001576B"/>
    <w:rsid w:val="0002131F"/>
    <w:rsid w:val="00031F1B"/>
    <w:rsid w:val="00033EDC"/>
    <w:rsid w:val="0003612F"/>
    <w:rsid w:val="00037B51"/>
    <w:rsid w:val="00040418"/>
    <w:rsid w:val="00047DB1"/>
    <w:rsid w:val="000601FD"/>
    <w:rsid w:val="00060D17"/>
    <w:rsid w:val="000616CE"/>
    <w:rsid w:val="0006750F"/>
    <w:rsid w:val="00073170"/>
    <w:rsid w:val="00085757"/>
    <w:rsid w:val="00093A27"/>
    <w:rsid w:val="000A6548"/>
    <w:rsid w:val="000A6AB6"/>
    <w:rsid w:val="000B3F52"/>
    <w:rsid w:val="000B509C"/>
    <w:rsid w:val="000B655E"/>
    <w:rsid w:val="000B693B"/>
    <w:rsid w:val="000C7991"/>
    <w:rsid w:val="000D53F1"/>
    <w:rsid w:val="000D56F0"/>
    <w:rsid w:val="000D6B8E"/>
    <w:rsid w:val="000E4C56"/>
    <w:rsid w:val="000E5E80"/>
    <w:rsid w:val="000E6E61"/>
    <w:rsid w:val="00113858"/>
    <w:rsid w:val="00123FC0"/>
    <w:rsid w:val="00124C42"/>
    <w:rsid w:val="00127AF3"/>
    <w:rsid w:val="00132C58"/>
    <w:rsid w:val="00135B41"/>
    <w:rsid w:val="001518EA"/>
    <w:rsid w:val="00156634"/>
    <w:rsid w:val="001663B1"/>
    <w:rsid w:val="00170EE8"/>
    <w:rsid w:val="001714EE"/>
    <w:rsid w:val="001717FD"/>
    <w:rsid w:val="00181393"/>
    <w:rsid w:val="0018208A"/>
    <w:rsid w:val="00183C32"/>
    <w:rsid w:val="00184921"/>
    <w:rsid w:val="0018516D"/>
    <w:rsid w:val="00193B81"/>
    <w:rsid w:val="001A284A"/>
    <w:rsid w:val="001A5B00"/>
    <w:rsid w:val="001A7BD7"/>
    <w:rsid w:val="001B4257"/>
    <w:rsid w:val="001B49B9"/>
    <w:rsid w:val="001C33C3"/>
    <w:rsid w:val="001C6B54"/>
    <w:rsid w:val="001C789E"/>
    <w:rsid w:val="001D013F"/>
    <w:rsid w:val="001D0DFA"/>
    <w:rsid w:val="001D3BC6"/>
    <w:rsid w:val="001D71BF"/>
    <w:rsid w:val="001E0922"/>
    <w:rsid w:val="001E2083"/>
    <w:rsid w:val="001E44C4"/>
    <w:rsid w:val="00202130"/>
    <w:rsid w:val="00202ADB"/>
    <w:rsid w:val="00203066"/>
    <w:rsid w:val="00210662"/>
    <w:rsid w:val="00215B0C"/>
    <w:rsid w:val="002206AC"/>
    <w:rsid w:val="002257FA"/>
    <w:rsid w:val="00225B7C"/>
    <w:rsid w:val="00225FD1"/>
    <w:rsid w:val="00251EA3"/>
    <w:rsid w:val="002529FD"/>
    <w:rsid w:val="00253B9E"/>
    <w:rsid w:val="00254AD4"/>
    <w:rsid w:val="002562CD"/>
    <w:rsid w:val="002571AA"/>
    <w:rsid w:val="00261B40"/>
    <w:rsid w:val="0026515A"/>
    <w:rsid w:val="002655C4"/>
    <w:rsid w:val="00275540"/>
    <w:rsid w:val="00276F46"/>
    <w:rsid w:val="0028176C"/>
    <w:rsid w:val="00281A46"/>
    <w:rsid w:val="00282D57"/>
    <w:rsid w:val="0028536F"/>
    <w:rsid w:val="002877BB"/>
    <w:rsid w:val="002949D5"/>
    <w:rsid w:val="00296872"/>
    <w:rsid w:val="002A3E26"/>
    <w:rsid w:val="002A5556"/>
    <w:rsid w:val="002A7B8D"/>
    <w:rsid w:val="002B3FE2"/>
    <w:rsid w:val="002B52D6"/>
    <w:rsid w:val="002C1112"/>
    <w:rsid w:val="002C2609"/>
    <w:rsid w:val="002C488B"/>
    <w:rsid w:val="002C5DE8"/>
    <w:rsid w:val="002D258E"/>
    <w:rsid w:val="002E1A85"/>
    <w:rsid w:val="002E37EE"/>
    <w:rsid w:val="002E4676"/>
    <w:rsid w:val="002E4AD1"/>
    <w:rsid w:val="002E5CD6"/>
    <w:rsid w:val="002F0AFC"/>
    <w:rsid w:val="002F1BE0"/>
    <w:rsid w:val="0031128A"/>
    <w:rsid w:val="0031653B"/>
    <w:rsid w:val="0032136A"/>
    <w:rsid w:val="00321C1E"/>
    <w:rsid w:val="00324A66"/>
    <w:rsid w:val="00337833"/>
    <w:rsid w:val="003403DE"/>
    <w:rsid w:val="0034261A"/>
    <w:rsid w:val="003429F8"/>
    <w:rsid w:val="003460EB"/>
    <w:rsid w:val="00357687"/>
    <w:rsid w:val="003602A1"/>
    <w:rsid w:val="00373612"/>
    <w:rsid w:val="00374FE5"/>
    <w:rsid w:val="00376FB0"/>
    <w:rsid w:val="003777FF"/>
    <w:rsid w:val="003808A2"/>
    <w:rsid w:val="00382C11"/>
    <w:rsid w:val="003942CF"/>
    <w:rsid w:val="00396962"/>
    <w:rsid w:val="003A7678"/>
    <w:rsid w:val="003B6B29"/>
    <w:rsid w:val="003B761F"/>
    <w:rsid w:val="003C43A7"/>
    <w:rsid w:val="003C5D64"/>
    <w:rsid w:val="003C66C1"/>
    <w:rsid w:val="003D367F"/>
    <w:rsid w:val="003D3FD7"/>
    <w:rsid w:val="003E538C"/>
    <w:rsid w:val="003E7019"/>
    <w:rsid w:val="003E7C0F"/>
    <w:rsid w:val="003F0880"/>
    <w:rsid w:val="003F5742"/>
    <w:rsid w:val="003F689A"/>
    <w:rsid w:val="00403602"/>
    <w:rsid w:val="004049EF"/>
    <w:rsid w:val="004122FD"/>
    <w:rsid w:val="00417BEE"/>
    <w:rsid w:val="004213CF"/>
    <w:rsid w:val="00421B34"/>
    <w:rsid w:val="00424DEF"/>
    <w:rsid w:val="00425CF9"/>
    <w:rsid w:val="00454164"/>
    <w:rsid w:val="00455483"/>
    <w:rsid w:val="004603BB"/>
    <w:rsid w:val="004616FD"/>
    <w:rsid w:val="0046176B"/>
    <w:rsid w:val="0046592E"/>
    <w:rsid w:val="00466348"/>
    <w:rsid w:val="00485B70"/>
    <w:rsid w:val="00491E01"/>
    <w:rsid w:val="004A458E"/>
    <w:rsid w:val="004B1D36"/>
    <w:rsid w:val="004B39CC"/>
    <w:rsid w:val="004B404A"/>
    <w:rsid w:val="004B4902"/>
    <w:rsid w:val="004B57EE"/>
    <w:rsid w:val="004C357D"/>
    <w:rsid w:val="004C7498"/>
    <w:rsid w:val="004D28D1"/>
    <w:rsid w:val="004D5892"/>
    <w:rsid w:val="004E1FB6"/>
    <w:rsid w:val="004E3FCB"/>
    <w:rsid w:val="004E5E04"/>
    <w:rsid w:val="004E779F"/>
    <w:rsid w:val="004F64A7"/>
    <w:rsid w:val="0050341F"/>
    <w:rsid w:val="00505600"/>
    <w:rsid w:val="00512411"/>
    <w:rsid w:val="005201B3"/>
    <w:rsid w:val="00522768"/>
    <w:rsid w:val="005251C2"/>
    <w:rsid w:val="00533579"/>
    <w:rsid w:val="005345F2"/>
    <w:rsid w:val="00534B72"/>
    <w:rsid w:val="005432B1"/>
    <w:rsid w:val="00543951"/>
    <w:rsid w:val="0055463B"/>
    <w:rsid w:val="005667BF"/>
    <w:rsid w:val="00580689"/>
    <w:rsid w:val="00582461"/>
    <w:rsid w:val="00586B58"/>
    <w:rsid w:val="005A0540"/>
    <w:rsid w:val="005A2ED5"/>
    <w:rsid w:val="005B0D6D"/>
    <w:rsid w:val="005B2A21"/>
    <w:rsid w:val="005B4BCA"/>
    <w:rsid w:val="005B5911"/>
    <w:rsid w:val="005B6164"/>
    <w:rsid w:val="005C07E2"/>
    <w:rsid w:val="005C35B2"/>
    <w:rsid w:val="005C4C31"/>
    <w:rsid w:val="005D1582"/>
    <w:rsid w:val="005D1FBD"/>
    <w:rsid w:val="005D2095"/>
    <w:rsid w:val="005D5AD9"/>
    <w:rsid w:val="005D687F"/>
    <w:rsid w:val="005E3864"/>
    <w:rsid w:val="005E5426"/>
    <w:rsid w:val="005F6806"/>
    <w:rsid w:val="00604BF1"/>
    <w:rsid w:val="006105AD"/>
    <w:rsid w:val="0061428D"/>
    <w:rsid w:val="0061702A"/>
    <w:rsid w:val="006218BC"/>
    <w:rsid w:val="006226D6"/>
    <w:rsid w:val="00624F61"/>
    <w:rsid w:val="00626B88"/>
    <w:rsid w:val="006314E4"/>
    <w:rsid w:val="00634AE5"/>
    <w:rsid w:val="006370A2"/>
    <w:rsid w:val="0064032C"/>
    <w:rsid w:val="0064234A"/>
    <w:rsid w:val="00643A91"/>
    <w:rsid w:val="0064624A"/>
    <w:rsid w:val="00654668"/>
    <w:rsid w:val="00662708"/>
    <w:rsid w:val="006638B4"/>
    <w:rsid w:val="00664A9E"/>
    <w:rsid w:val="00666A01"/>
    <w:rsid w:val="00675491"/>
    <w:rsid w:val="006822BC"/>
    <w:rsid w:val="00692162"/>
    <w:rsid w:val="00692170"/>
    <w:rsid w:val="00692FCE"/>
    <w:rsid w:val="00694C09"/>
    <w:rsid w:val="006A5469"/>
    <w:rsid w:val="006A5B8B"/>
    <w:rsid w:val="006B4DEC"/>
    <w:rsid w:val="006B58AA"/>
    <w:rsid w:val="006C5351"/>
    <w:rsid w:val="006D01AC"/>
    <w:rsid w:val="006D4997"/>
    <w:rsid w:val="006D4DC7"/>
    <w:rsid w:val="006D5D13"/>
    <w:rsid w:val="006E1C7D"/>
    <w:rsid w:val="006E2E44"/>
    <w:rsid w:val="006E4D4F"/>
    <w:rsid w:val="006E68FA"/>
    <w:rsid w:val="006E7B11"/>
    <w:rsid w:val="006F6290"/>
    <w:rsid w:val="0070349A"/>
    <w:rsid w:val="00715133"/>
    <w:rsid w:val="00721AE2"/>
    <w:rsid w:val="00726B7D"/>
    <w:rsid w:val="00731939"/>
    <w:rsid w:val="00733F56"/>
    <w:rsid w:val="00740D10"/>
    <w:rsid w:val="00741923"/>
    <w:rsid w:val="00742ED8"/>
    <w:rsid w:val="00760325"/>
    <w:rsid w:val="00760C03"/>
    <w:rsid w:val="0076280E"/>
    <w:rsid w:val="00764579"/>
    <w:rsid w:val="007651B9"/>
    <w:rsid w:val="00767A18"/>
    <w:rsid w:val="00770A1C"/>
    <w:rsid w:val="00775A8A"/>
    <w:rsid w:val="007816AC"/>
    <w:rsid w:val="007879CD"/>
    <w:rsid w:val="007A13F2"/>
    <w:rsid w:val="007B0369"/>
    <w:rsid w:val="007B7A92"/>
    <w:rsid w:val="007C28C7"/>
    <w:rsid w:val="007C4B4A"/>
    <w:rsid w:val="007D121D"/>
    <w:rsid w:val="007D128D"/>
    <w:rsid w:val="007D3BFB"/>
    <w:rsid w:val="007E224B"/>
    <w:rsid w:val="007E4B04"/>
    <w:rsid w:val="007F55B8"/>
    <w:rsid w:val="007F7954"/>
    <w:rsid w:val="0080187C"/>
    <w:rsid w:val="00805ED7"/>
    <w:rsid w:val="00813949"/>
    <w:rsid w:val="00816E68"/>
    <w:rsid w:val="00816E81"/>
    <w:rsid w:val="00817C6B"/>
    <w:rsid w:val="00821C1B"/>
    <w:rsid w:val="00823550"/>
    <w:rsid w:val="008272BD"/>
    <w:rsid w:val="0082769A"/>
    <w:rsid w:val="008307AE"/>
    <w:rsid w:val="008325F4"/>
    <w:rsid w:val="00833DB3"/>
    <w:rsid w:val="00837196"/>
    <w:rsid w:val="00837DC0"/>
    <w:rsid w:val="0084671D"/>
    <w:rsid w:val="00846A68"/>
    <w:rsid w:val="008505EE"/>
    <w:rsid w:val="00850751"/>
    <w:rsid w:val="00854934"/>
    <w:rsid w:val="00857FAF"/>
    <w:rsid w:val="00861CD8"/>
    <w:rsid w:val="00864E87"/>
    <w:rsid w:val="00871935"/>
    <w:rsid w:val="008733FE"/>
    <w:rsid w:val="00874BD9"/>
    <w:rsid w:val="00875191"/>
    <w:rsid w:val="00875A37"/>
    <w:rsid w:val="008A0EDE"/>
    <w:rsid w:val="008A28BB"/>
    <w:rsid w:val="008A2A22"/>
    <w:rsid w:val="008B02AC"/>
    <w:rsid w:val="008B048F"/>
    <w:rsid w:val="008B309E"/>
    <w:rsid w:val="008B3FE6"/>
    <w:rsid w:val="008B729E"/>
    <w:rsid w:val="008C0E95"/>
    <w:rsid w:val="008C18B3"/>
    <w:rsid w:val="008C6BFC"/>
    <w:rsid w:val="008E1FD9"/>
    <w:rsid w:val="008E2CBC"/>
    <w:rsid w:val="008E5320"/>
    <w:rsid w:val="008E76A4"/>
    <w:rsid w:val="008F6193"/>
    <w:rsid w:val="009016A0"/>
    <w:rsid w:val="009032C2"/>
    <w:rsid w:val="00910ABF"/>
    <w:rsid w:val="00915B10"/>
    <w:rsid w:val="00920FE2"/>
    <w:rsid w:val="0092148A"/>
    <w:rsid w:val="0092342C"/>
    <w:rsid w:val="009240DD"/>
    <w:rsid w:val="00930AFE"/>
    <w:rsid w:val="00931B28"/>
    <w:rsid w:val="009335DF"/>
    <w:rsid w:val="00933744"/>
    <w:rsid w:val="0093545A"/>
    <w:rsid w:val="00937545"/>
    <w:rsid w:val="009560C9"/>
    <w:rsid w:val="009619B6"/>
    <w:rsid w:val="00962A22"/>
    <w:rsid w:val="009651CD"/>
    <w:rsid w:val="00965A79"/>
    <w:rsid w:val="009700FC"/>
    <w:rsid w:val="00971309"/>
    <w:rsid w:val="00974222"/>
    <w:rsid w:val="00977731"/>
    <w:rsid w:val="00981090"/>
    <w:rsid w:val="009818B5"/>
    <w:rsid w:val="009A01F2"/>
    <w:rsid w:val="009B5493"/>
    <w:rsid w:val="009C10A3"/>
    <w:rsid w:val="009C1FA5"/>
    <w:rsid w:val="009C282C"/>
    <w:rsid w:val="009C3302"/>
    <w:rsid w:val="009C794D"/>
    <w:rsid w:val="009D727F"/>
    <w:rsid w:val="009E1DCA"/>
    <w:rsid w:val="009E2685"/>
    <w:rsid w:val="009E2C03"/>
    <w:rsid w:val="009F0D1F"/>
    <w:rsid w:val="009F175E"/>
    <w:rsid w:val="009F745D"/>
    <w:rsid w:val="00A00429"/>
    <w:rsid w:val="00A0082F"/>
    <w:rsid w:val="00A033B2"/>
    <w:rsid w:val="00A0507A"/>
    <w:rsid w:val="00A14114"/>
    <w:rsid w:val="00A16E62"/>
    <w:rsid w:val="00A16FF8"/>
    <w:rsid w:val="00A20D25"/>
    <w:rsid w:val="00A22787"/>
    <w:rsid w:val="00A33E96"/>
    <w:rsid w:val="00A44CCA"/>
    <w:rsid w:val="00A47B98"/>
    <w:rsid w:val="00A537F1"/>
    <w:rsid w:val="00A57CDA"/>
    <w:rsid w:val="00A65A36"/>
    <w:rsid w:val="00A72850"/>
    <w:rsid w:val="00A72D2A"/>
    <w:rsid w:val="00A77F12"/>
    <w:rsid w:val="00A80B5E"/>
    <w:rsid w:val="00A80F00"/>
    <w:rsid w:val="00A84C51"/>
    <w:rsid w:val="00A8669D"/>
    <w:rsid w:val="00A96C2A"/>
    <w:rsid w:val="00AA30C6"/>
    <w:rsid w:val="00AB701A"/>
    <w:rsid w:val="00AC6271"/>
    <w:rsid w:val="00AE0640"/>
    <w:rsid w:val="00AE44B0"/>
    <w:rsid w:val="00AE4BA5"/>
    <w:rsid w:val="00AE5C79"/>
    <w:rsid w:val="00AF05F2"/>
    <w:rsid w:val="00AF1FE2"/>
    <w:rsid w:val="00AF3775"/>
    <w:rsid w:val="00B01063"/>
    <w:rsid w:val="00B03614"/>
    <w:rsid w:val="00B10B4D"/>
    <w:rsid w:val="00B161E1"/>
    <w:rsid w:val="00B16465"/>
    <w:rsid w:val="00B1718A"/>
    <w:rsid w:val="00B21EB9"/>
    <w:rsid w:val="00B248F9"/>
    <w:rsid w:val="00B3367C"/>
    <w:rsid w:val="00B40291"/>
    <w:rsid w:val="00B50B83"/>
    <w:rsid w:val="00B533E8"/>
    <w:rsid w:val="00B53C29"/>
    <w:rsid w:val="00B638C8"/>
    <w:rsid w:val="00B75715"/>
    <w:rsid w:val="00B902A4"/>
    <w:rsid w:val="00B91DE9"/>
    <w:rsid w:val="00B9763E"/>
    <w:rsid w:val="00BA3F85"/>
    <w:rsid w:val="00BA6715"/>
    <w:rsid w:val="00BB1378"/>
    <w:rsid w:val="00BC29CB"/>
    <w:rsid w:val="00BC70B2"/>
    <w:rsid w:val="00BE2080"/>
    <w:rsid w:val="00BE7D7F"/>
    <w:rsid w:val="00BF260D"/>
    <w:rsid w:val="00BF3EBF"/>
    <w:rsid w:val="00BF7C13"/>
    <w:rsid w:val="00C023EE"/>
    <w:rsid w:val="00C0255D"/>
    <w:rsid w:val="00C056D3"/>
    <w:rsid w:val="00C12CC6"/>
    <w:rsid w:val="00C2003F"/>
    <w:rsid w:val="00C20674"/>
    <w:rsid w:val="00C2208B"/>
    <w:rsid w:val="00C24455"/>
    <w:rsid w:val="00C2702D"/>
    <w:rsid w:val="00C323AA"/>
    <w:rsid w:val="00C3247F"/>
    <w:rsid w:val="00C32F00"/>
    <w:rsid w:val="00C36559"/>
    <w:rsid w:val="00C400CF"/>
    <w:rsid w:val="00C52AC6"/>
    <w:rsid w:val="00C569F2"/>
    <w:rsid w:val="00C71F85"/>
    <w:rsid w:val="00C748F5"/>
    <w:rsid w:val="00C76CFB"/>
    <w:rsid w:val="00C77C53"/>
    <w:rsid w:val="00C86013"/>
    <w:rsid w:val="00C86A8F"/>
    <w:rsid w:val="00C90175"/>
    <w:rsid w:val="00C90439"/>
    <w:rsid w:val="00C91E22"/>
    <w:rsid w:val="00C943C9"/>
    <w:rsid w:val="00CA3B65"/>
    <w:rsid w:val="00CA4365"/>
    <w:rsid w:val="00CA6040"/>
    <w:rsid w:val="00CB227E"/>
    <w:rsid w:val="00CB285F"/>
    <w:rsid w:val="00CB6490"/>
    <w:rsid w:val="00CC06D9"/>
    <w:rsid w:val="00CC4F1E"/>
    <w:rsid w:val="00CC7692"/>
    <w:rsid w:val="00CD0516"/>
    <w:rsid w:val="00CD741D"/>
    <w:rsid w:val="00CD7596"/>
    <w:rsid w:val="00CE291D"/>
    <w:rsid w:val="00CE2D96"/>
    <w:rsid w:val="00CE35EA"/>
    <w:rsid w:val="00CF64F2"/>
    <w:rsid w:val="00CF6D15"/>
    <w:rsid w:val="00CF73CC"/>
    <w:rsid w:val="00D04096"/>
    <w:rsid w:val="00D10A0F"/>
    <w:rsid w:val="00D11E87"/>
    <w:rsid w:val="00D12EA5"/>
    <w:rsid w:val="00D13D34"/>
    <w:rsid w:val="00D14D2D"/>
    <w:rsid w:val="00D150AD"/>
    <w:rsid w:val="00D16375"/>
    <w:rsid w:val="00D17F6D"/>
    <w:rsid w:val="00D36C31"/>
    <w:rsid w:val="00D62DEE"/>
    <w:rsid w:val="00D72123"/>
    <w:rsid w:val="00D75905"/>
    <w:rsid w:val="00D814EF"/>
    <w:rsid w:val="00D84B93"/>
    <w:rsid w:val="00D90354"/>
    <w:rsid w:val="00D96A40"/>
    <w:rsid w:val="00DA0744"/>
    <w:rsid w:val="00DA1609"/>
    <w:rsid w:val="00DA2744"/>
    <w:rsid w:val="00DA3540"/>
    <w:rsid w:val="00DA45AF"/>
    <w:rsid w:val="00DA4A4F"/>
    <w:rsid w:val="00DA70CC"/>
    <w:rsid w:val="00DA7E38"/>
    <w:rsid w:val="00DB28BB"/>
    <w:rsid w:val="00DB5C42"/>
    <w:rsid w:val="00DB78F4"/>
    <w:rsid w:val="00DC1075"/>
    <w:rsid w:val="00DC3FF0"/>
    <w:rsid w:val="00DC4D87"/>
    <w:rsid w:val="00DE20CA"/>
    <w:rsid w:val="00DE3D50"/>
    <w:rsid w:val="00DE5F6F"/>
    <w:rsid w:val="00DE7F4A"/>
    <w:rsid w:val="00DF31E0"/>
    <w:rsid w:val="00DF4C30"/>
    <w:rsid w:val="00DF4E11"/>
    <w:rsid w:val="00DF5206"/>
    <w:rsid w:val="00DF588C"/>
    <w:rsid w:val="00DF63F1"/>
    <w:rsid w:val="00DF79EA"/>
    <w:rsid w:val="00E03A2A"/>
    <w:rsid w:val="00E064DC"/>
    <w:rsid w:val="00E07A7B"/>
    <w:rsid w:val="00E10777"/>
    <w:rsid w:val="00E20377"/>
    <w:rsid w:val="00E26621"/>
    <w:rsid w:val="00E367B6"/>
    <w:rsid w:val="00E475D6"/>
    <w:rsid w:val="00E476EF"/>
    <w:rsid w:val="00E50F94"/>
    <w:rsid w:val="00E54930"/>
    <w:rsid w:val="00E5497A"/>
    <w:rsid w:val="00E54D8E"/>
    <w:rsid w:val="00E708D5"/>
    <w:rsid w:val="00E71DC4"/>
    <w:rsid w:val="00E7692A"/>
    <w:rsid w:val="00E82FE8"/>
    <w:rsid w:val="00E852FC"/>
    <w:rsid w:val="00E8740B"/>
    <w:rsid w:val="00EA7237"/>
    <w:rsid w:val="00EB2E29"/>
    <w:rsid w:val="00EB2E86"/>
    <w:rsid w:val="00EB4B4F"/>
    <w:rsid w:val="00EC11B4"/>
    <w:rsid w:val="00EC2B8B"/>
    <w:rsid w:val="00EC31E6"/>
    <w:rsid w:val="00EC69F2"/>
    <w:rsid w:val="00ED66AA"/>
    <w:rsid w:val="00ED67F4"/>
    <w:rsid w:val="00EE1100"/>
    <w:rsid w:val="00EE2593"/>
    <w:rsid w:val="00EF4D2B"/>
    <w:rsid w:val="00EF5B6E"/>
    <w:rsid w:val="00EF6E6E"/>
    <w:rsid w:val="00F00058"/>
    <w:rsid w:val="00F020A1"/>
    <w:rsid w:val="00F0589B"/>
    <w:rsid w:val="00F103C2"/>
    <w:rsid w:val="00F11CE8"/>
    <w:rsid w:val="00F13251"/>
    <w:rsid w:val="00F1340E"/>
    <w:rsid w:val="00F14E7B"/>
    <w:rsid w:val="00F24002"/>
    <w:rsid w:val="00F27A38"/>
    <w:rsid w:val="00F3000C"/>
    <w:rsid w:val="00F35B4C"/>
    <w:rsid w:val="00F36489"/>
    <w:rsid w:val="00F43F09"/>
    <w:rsid w:val="00F4547C"/>
    <w:rsid w:val="00F55D53"/>
    <w:rsid w:val="00F57AA9"/>
    <w:rsid w:val="00F60208"/>
    <w:rsid w:val="00F6037D"/>
    <w:rsid w:val="00F617AB"/>
    <w:rsid w:val="00F62112"/>
    <w:rsid w:val="00F6225D"/>
    <w:rsid w:val="00F64184"/>
    <w:rsid w:val="00F64AFF"/>
    <w:rsid w:val="00F67382"/>
    <w:rsid w:val="00F6777C"/>
    <w:rsid w:val="00F729E4"/>
    <w:rsid w:val="00F82879"/>
    <w:rsid w:val="00F82C43"/>
    <w:rsid w:val="00F954E6"/>
    <w:rsid w:val="00FA425A"/>
    <w:rsid w:val="00FA4688"/>
    <w:rsid w:val="00FA49D2"/>
    <w:rsid w:val="00FA5F50"/>
    <w:rsid w:val="00FA6D31"/>
    <w:rsid w:val="00FA7B44"/>
    <w:rsid w:val="00FB73FD"/>
    <w:rsid w:val="00FC24F5"/>
    <w:rsid w:val="00FC7A0E"/>
    <w:rsid w:val="00FD137C"/>
    <w:rsid w:val="00FD75D0"/>
    <w:rsid w:val="00FE3D88"/>
    <w:rsid w:val="00FE4ADE"/>
    <w:rsid w:val="00FE4D84"/>
    <w:rsid w:val="00FE71FC"/>
    <w:rsid w:val="00FF078A"/>
    <w:rsid w:val="00FF0E8F"/>
    <w:rsid w:val="00FF184D"/>
    <w:rsid w:val="00FF4A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C12AC"/>
  <w15:chartTrackingRefBased/>
  <w15:docId w15:val="{7DCCCDD3-B268-473F-9818-ABF8ABAAA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F00"/>
  </w:style>
  <w:style w:type="paragraph" w:styleId="Heading2">
    <w:name w:val="heading 2"/>
    <w:basedOn w:val="Normal"/>
    <w:next w:val="Normal"/>
    <w:link w:val="Heading2Char"/>
    <w:uiPriority w:val="9"/>
    <w:semiHidden/>
    <w:unhideWhenUsed/>
    <w:qFormat/>
    <w:rsid w:val="0091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419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B52D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096"/>
    <w:pPr>
      <w:ind w:left="720"/>
      <w:contextualSpacing/>
    </w:pPr>
  </w:style>
  <w:style w:type="paragraph" w:styleId="BalloonText">
    <w:name w:val="Balloon Text"/>
    <w:basedOn w:val="Normal"/>
    <w:link w:val="BalloonTextChar"/>
    <w:uiPriority w:val="99"/>
    <w:semiHidden/>
    <w:unhideWhenUsed/>
    <w:rsid w:val="00225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7FA"/>
    <w:rPr>
      <w:rFonts w:ascii="Segoe UI" w:hAnsi="Segoe UI" w:cs="Segoe UI"/>
      <w:sz w:val="18"/>
      <w:szCs w:val="18"/>
    </w:rPr>
  </w:style>
  <w:style w:type="character" w:styleId="CommentReference">
    <w:name w:val="annotation reference"/>
    <w:basedOn w:val="DefaultParagraphFont"/>
    <w:uiPriority w:val="99"/>
    <w:semiHidden/>
    <w:unhideWhenUsed/>
    <w:qFormat/>
    <w:rsid w:val="006B4DEC"/>
    <w:rPr>
      <w:sz w:val="16"/>
      <w:szCs w:val="16"/>
    </w:rPr>
  </w:style>
  <w:style w:type="paragraph" w:styleId="CommentText">
    <w:name w:val="annotation text"/>
    <w:basedOn w:val="Normal"/>
    <w:link w:val="CommentTextChar"/>
    <w:uiPriority w:val="99"/>
    <w:unhideWhenUsed/>
    <w:rsid w:val="006B4DEC"/>
    <w:pPr>
      <w:spacing w:line="240" w:lineRule="auto"/>
    </w:pPr>
    <w:rPr>
      <w:sz w:val="20"/>
      <w:szCs w:val="20"/>
    </w:rPr>
  </w:style>
  <w:style w:type="character" w:customStyle="1" w:styleId="CommentTextChar">
    <w:name w:val="Comment Text Char"/>
    <w:basedOn w:val="DefaultParagraphFont"/>
    <w:link w:val="CommentText"/>
    <w:uiPriority w:val="99"/>
    <w:rsid w:val="006B4DEC"/>
    <w:rPr>
      <w:sz w:val="20"/>
      <w:szCs w:val="20"/>
    </w:rPr>
  </w:style>
  <w:style w:type="paragraph" w:styleId="CommentSubject">
    <w:name w:val="annotation subject"/>
    <w:basedOn w:val="CommentText"/>
    <w:next w:val="CommentText"/>
    <w:link w:val="CommentSubjectChar"/>
    <w:uiPriority w:val="99"/>
    <w:semiHidden/>
    <w:unhideWhenUsed/>
    <w:rsid w:val="006B4DEC"/>
    <w:rPr>
      <w:b/>
      <w:bCs/>
    </w:rPr>
  </w:style>
  <w:style w:type="character" w:customStyle="1" w:styleId="CommentSubjectChar">
    <w:name w:val="Comment Subject Char"/>
    <w:basedOn w:val="CommentTextChar"/>
    <w:link w:val="CommentSubject"/>
    <w:uiPriority w:val="99"/>
    <w:semiHidden/>
    <w:rsid w:val="006B4DEC"/>
    <w:rPr>
      <w:b/>
      <w:bCs/>
      <w:sz w:val="20"/>
      <w:szCs w:val="20"/>
    </w:rPr>
  </w:style>
  <w:style w:type="paragraph" w:styleId="Header">
    <w:name w:val="header"/>
    <w:basedOn w:val="Normal"/>
    <w:link w:val="HeaderChar"/>
    <w:uiPriority w:val="99"/>
    <w:unhideWhenUsed/>
    <w:rsid w:val="00037B51"/>
    <w:pPr>
      <w:tabs>
        <w:tab w:val="center" w:pos="4536"/>
        <w:tab w:val="right" w:pos="9072"/>
      </w:tabs>
      <w:spacing w:after="0" w:line="240" w:lineRule="auto"/>
    </w:pPr>
  </w:style>
  <w:style w:type="character" w:customStyle="1" w:styleId="HeaderChar">
    <w:name w:val="Header Char"/>
    <w:basedOn w:val="DefaultParagraphFont"/>
    <w:link w:val="Header"/>
    <w:uiPriority w:val="99"/>
    <w:rsid w:val="00037B51"/>
  </w:style>
  <w:style w:type="paragraph" w:styleId="Footer">
    <w:name w:val="footer"/>
    <w:basedOn w:val="Normal"/>
    <w:link w:val="FooterChar"/>
    <w:uiPriority w:val="99"/>
    <w:unhideWhenUsed/>
    <w:rsid w:val="00037B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037B51"/>
  </w:style>
  <w:style w:type="table" w:styleId="TableGrid">
    <w:name w:val="Table Grid"/>
    <w:basedOn w:val="TableNormal"/>
    <w:uiPriority w:val="39"/>
    <w:rsid w:val="004E7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2003F"/>
    <w:pPr>
      <w:spacing w:after="0" w:line="240" w:lineRule="auto"/>
    </w:pPr>
  </w:style>
  <w:style w:type="paragraph" w:styleId="NormalWeb">
    <w:name w:val="Normal (Web)"/>
    <w:basedOn w:val="Normal"/>
    <w:uiPriority w:val="99"/>
    <w:semiHidden/>
    <w:unhideWhenUsed/>
    <w:rsid w:val="00F82C43"/>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Heading4Char">
    <w:name w:val="Heading 4 Char"/>
    <w:basedOn w:val="DefaultParagraphFont"/>
    <w:link w:val="Heading4"/>
    <w:uiPriority w:val="9"/>
    <w:rsid w:val="002B52D6"/>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741923"/>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915B1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092549">
      <w:bodyDiv w:val="1"/>
      <w:marLeft w:val="0"/>
      <w:marRight w:val="0"/>
      <w:marTop w:val="0"/>
      <w:marBottom w:val="0"/>
      <w:divBdr>
        <w:top w:val="none" w:sz="0" w:space="0" w:color="auto"/>
        <w:left w:val="none" w:sz="0" w:space="0" w:color="auto"/>
        <w:bottom w:val="none" w:sz="0" w:space="0" w:color="auto"/>
        <w:right w:val="none" w:sz="0" w:space="0" w:color="auto"/>
      </w:divBdr>
    </w:div>
    <w:div w:id="200560043">
      <w:bodyDiv w:val="1"/>
      <w:marLeft w:val="0"/>
      <w:marRight w:val="0"/>
      <w:marTop w:val="0"/>
      <w:marBottom w:val="0"/>
      <w:divBdr>
        <w:top w:val="none" w:sz="0" w:space="0" w:color="auto"/>
        <w:left w:val="none" w:sz="0" w:space="0" w:color="auto"/>
        <w:bottom w:val="none" w:sz="0" w:space="0" w:color="auto"/>
        <w:right w:val="none" w:sz="0" w:space="0" w:color="auto"/>
      </w:divBdr>
    </w:div>
    <w:div w:id="239096063">
      <w:bodyDiv w:val="1"/>
      <w:marLeft w:val="0"/>
      <w:marRight w:val="0"/>
      <w:marTop w:val="0"/>
      <w:marBottom w:val="0"/>
      <w:divBdr>
        <w:top w:val="none" w:sz="0" w:space="0" w:color="auto"/>
        <w:left w:val="none" w:sz="0" w:space="0" w:color="auto"/>
        <w:bottom w:val="none" w:sz="0" w:space="0" w:color="auto"/>
        <w:right w:val="none" w:sz="0" w:space="0" w:color="auto"/>
      </w:divBdr>
    </w:div>
    <w:div w:id="254560262">
      <w:bodyDiv w:val="1"/>
      <w:marLeft w:val="0"/>
      <w:marRight w:val="0"/>
      <w:marTop w:val="0"/>
      <w:marBottom w:val="0"/>
      <w:divBdr>
        <w:top w:val="none" w:sz="0" w:space="0" w:color="auto"/>
        <w:left w:val="none" w:sz="0" w:space="0" w:color="auto"/>
        <w:bottom w:val="none" w:sz="0" w:space="0" w:color="auto"/>
        <w:right w:val="none" w:sz="0" w:space="0" w:color="auto"/>
      </w:divBdr>
    </w:div>
    <w:div w:id="322778833">
      <w:bodyDiv w:val="1"/>
      <w:marLeft w:val="0"/>
      <w:marRight w:val="0"/>
      <w:marTop w:val="0"/>
      <w:marBottom w:val="0"/>
      <w:divBdr>
        <w:top w:val="none" w:sz="0" w:space="0" w:color="auto"/>
        <w:left w:val="none" w:sz="0" w:space="0" w:color="auto"/>
        <w:bottom w:val="none" w:sz="0" w:space="0" w:color="auto"/>
        <w:right w:val="none" w:sz="0" w:space="0" w:color="auto"/>
      </w:divBdr>
    </w:div>
    <w:div w:id="350225648">
      <w:bodyDiv w:val="1"/>
      <w:marLeft w:val="0"/>
      <w:marRight w:val="0"/>
      <w:marTop w:val="0"/>
      <w:marBottom w:val="0"/>
      <w:divBdr>
        <w:top w:val="none" w:sz="0" w:space="0" w:color="auto"/>
        <w:left w:val="none" w:sz="0" w:space="0" w:color="auto"/>
        <w:bottom w:val="none" w:sz="0" w:space="0" w:color="auto"/>
        <w:right w:val="none" w:sz="0" w:space="0" w:color="auto"/>
      </w:divBdr>
    </w:div>
    <w:div w:id="416442973">
      <w:bodyDiv w:val="1"/>
      <w:marLeft w:val="0"/>
      <w:marRight w:val="0"/>
      <w:marTop w:val="0"/>
      <w:marBottom w:val="0"/>
      <w:divBdr>
        <w:top w:val="none" w:sz="0" w:space="0" w:color="auto"/>
        <w:left w:val="none" w:sz="0" w:space="0" w:color="auto"/>
        <w:bottom w:val="none" w:sz="0" w:space="0" w:color="auto"/>
        <w:right w:val="none" w:sz="0" w:space="0" w:color="auto"/>
      </w:divBdr>
    </w:div>
    <w:div w:id="425687839">
      <w:bodyDiv w:val="1"/>
      <w:marLeft w:val="0"/>
      <w:marRight w:val="0"/>
      <w:marTop w:val="0"/>
      <w:marBottom w:val="0"/>
      <w:divBdr>
        <w:top w:val="none" w:sz="0" w:space="0" w:color="auto"/>
        <w:left w:val="none" w:sz="0" w:space="0" w:color="auto"/>
        <w:bottom w:val="none" w:sz="0" w:space="0" w:color="auto"/>
        <w:right w:val="none" w:sz="0" w:space="0" w:color="auto"/>
      </w:divBdr>
    </w:div>
    <w:div w:id="482357033">
      <w:bodyDiv w:val="1"/>
      <w:marLeft w:val="0"/>
      <w:marRight w:val="0"/>
      <w:marTop w:val="0"/>
      <w:marBottom w:val="0"/>
      <w:divBdr>
        <w:top w:val="none" w:sz="0" w:space="0" w:color="auto"/>
        <w:left w:val="none" w:sz="0" w:space="0" w:color="auto"/>
        <w:bottom w:val="none" w:sz="0" w:space="0" w:color="auto"/>
        <w:right w:val="none" w:sz="0" w:space="0" w:color="auto"/>
      </w:divBdr>
    </w:div>
    <w:div w:id="584192331">
      <w:bodyDiv w:val="1"/>
      <w:marLeft w:val="0"/>
      <w:marRight w:val="0"/>
      <w:marTop w:val="0"/>
      <w:marBottom w:val="0"/>
      <w:divBdr>
        <w:top w:val="none" w:sz="0" w:space="0" w:color="auto"/>
        <w:left w:val="none" w:sz="0" w:space="0" w:color="auto"/>
        <w:bottom w:val="none" w:sz="0" w:space="0" w:color="auto"/>
        <w:right w:val="none" w:sz="0" w:space="0" w:color="auto"/>
      </w:divBdr>
    </w:div>
    <w:div w:id="624507456">
      <w:bodyDiv w:val="1"/>
      <w:marLeft w:val="0"/>
      <w:marRight w:val="0"/>
      <w:marTop w:val="0"/>
      <w:marBottom w:val="0"/>
      <w:divBdr>
        <w:top w:val="none" w:sz="0" w:space="0" w:color="auto"/>
        <w:left w:val="none" w:sz="0" w:space="0" w:color="auto"/>
        <w:bottom w:val="none" w:sz="0" w:space="0" w:color="auto"/>
        <w:right w:val="none" w:sz="0" w:space="0" w:color="auto"/>
      </w:divBdr>
    </w:div>
    <w:div w:id="647367308">
      <w:bodyDiv w:val="1"/>
      <w:marLeft w:val="0"/>
      <w:marRight w:val="0"/>
      <w:marTop w:val="0"/>
      <w:marBottom w:val="0"/>
      <w:divBdr>
        <w:top w:val="none" w:sz="0" w:space="0" w:color="auto"/>
        <w:left w:val="none" w:sz="0" w:space="0" w:color="auto"/>
        <w:bottom w:val="none" w:sz="0" w:space="0" w:color="auto"/>
        <w:right w:val="none" w:sz="0" w:space="0" w:color="auto"/>
      </w:divBdr>
    </w:div>
    <w:div w:id="772362442">
      <w:bodyDiv w:val="1"/>
      <w:marLeft w:val="0"/>
      <w:marRight w:val="0"/>
      <w:marTop w:val="0"/>
      <w:marBottom w:val="0"/>
      <w:divBdr>
        <w:top w:val="none" w:sz="0" w:space="0" w:color="auto"/>
        <w:left w:val="none" w:sz="0" w:space="0" w:color="auto"/>
        <w:bottom w:val="none" w:sz="0" w:space="0" w:color="auto"/>
        <w:right w:val="none" w:sz="0" w:space="0" w:color="auto"/>
      </w:divBdr>
    </w:div>
    <w:div w:id="919800266">
      <w:bodyDiv w:val="1"/>
      <w:marLeft w:val="0"/>
      <w:marRight w:val="0"/>
      <w:marTop w:val="0"/>
      <w:marBottom w:val="0"/>
      <w:divBdr>
        <w:top w:val="none" w:sz="0" w:space="0" w:color="auto"/>
        <w:left w:val="none" w:sz="0" w:space="0" w:color="auto"/>
        <w:bottom w:val="none" w:sz="0" w:space="0" w:color="auto"/>
        <w:right w:val="none" w:sz="0" w:space="0" w:color="auto"/>
      </w:divBdr>
    </w:div>
    <w:div w:id="927468427">
      <w:bodyDiv w:val="1"/>
      <w:marLeft w:val="0"/>
      <w:marRight w:val="0"/>
      <w:marTop w:val="0"/>
      <w:marBottom w:val="0"/>
      <w:divBdr>
        <w:top w:val="none" w:sz="0" w:space="0" w:color="auto"/>
        <w:left w:val="none" w:sz="0" w:space="0" w:color="auto"/>
        <w:bottom w:val="none" w:sz="0" w:space="0" w:color="auto"/>
        <w:right w:val="none" w:sz="0" w:space="0" w:color="auto"/>
      </w:divBdr>
    </w:div>
    <w:div w:id="1059548225">
      <w:bodyDiv w:val="1"/>
      <w:marLeft w:val="0"/>
      <w:marRight w:val="0"/>
      <w:marTop w:val="0"/>
      <w:marBottom w:val="0"/>
      <w:divBdr>
        <w:top w:val="none" w:sz="0" w:space="0" w:color="auto"/>
        <w:left w:val="none" w:sz="0" w:space="0" w:color="auto"/>
        <w:bottom w:val="none" w:sz="0" w:space="0" w:color="auto"/>
        <w:right w:val="none" w:sz="0" w:space="0" w:color="auto"/>
      </w:divBdr>
    </w:div>
    <w:div w:id="1100023695">
      <w:bodyDiv w:val="1"/>
      <w:marLeft w:val="0"/>
      <w:marRight w:val="0"/>
      <w:marTop w:val="0"/>
      <w:marBottom w:val="0"/>
      <w:divBdr>
        <w:top w:val="none" w:sz="0" w:space="0" w:color="auto"/>
        <w:left w:val="none" w:sz="0" w:space="0" w:color="auto"/>
        <w:bottom w:val="none" w:sz="0" w:space="0" w:color="auto"/>
        <w:right w:val="none" w:sz="0" w:space="0" w:color="auto"/>
      </w:divBdr>
    </w:div>
    <w:div w:id="1116100875">
      <w:bodyDiv w:val="1"/>
      <w:marLeft w:val="0"/>
      <w:marRight w:val="0"/>
      <w:marTop w:val="0"/>
      <w:marBottom w:val="0"/>
      <w:divBdr>
        <w:top w:val="none" w:sz="0" w:space="0" w:color="auto"/>
        <w:left w:val="none" w:sz="0" w:space="0" w:color="auto"/>
        <w:bottom w:val="none" w:sz="0" w:space="0" w:color="auto"/>
        <w:right w:val="none" w:sz="0" w:space="0" w:color="auto"/>
      </w:divBdr>
    </w:div>
    <w:div w:id="1130243812">
      <w:bodyDiv w:val="1"/>
      <w:marLeft w:val="0"/>
      <w:marRight w:val="0"/>
      <w:marTop w:val="0"/>
      <w:marBottom w:val="0"/>
      <w:divBdr>
        <w:top w:val="none" w:sz="0" w:space="0" w:color="auto"/>
        <w:left w:val="none" w:sz="0" w:space="0" w:color="auto"/>
        <w:bottom w:val="none" w:sz="0" w:space="0" w:color="auto"/>
        <w:right w:val="none" w:sz="0" w:space="0" w:color="auto"/>
      </w:divBdr>
    </w:div>
    <w:div w:id="1148942352">
      <w:bodyDiv w:val="1"/>
      <w:marLeft w:val="0"/>
      <w:marRight w:val="0"/>
      <w:marTop w:val="0"/>
      <w:marBottom w:val="0"/>
      <w:divBdr>
        <w:top w:val="none" w:sz="0" w:space="0" w:color="auto"/>
        <w:left w:val="none" w:sz="0" w:space="0" w:color="auto"/>
        <w:bottom w:val="none" w:sz="0" w:space="0" w:color="auto"/>
        <w:right w:val="none" w:sz="0" w:space="0" w:color="auto"/>
      </w:divBdr>
    </w:div>
    <w:div w:id="1184516643">
      <w:bodyDiv w:val="1"/>
      <w:marLeft w:val="0"/>
      <w:marRight w:val="0"/>
      <w:marTop w:val="0"/>
      <w:marBottom w:val="0"/>
      <w:divBdr>
        <w:top w:val="none" w:sz="0" w:space="0" w:color="auto"/>
        <w:left w:val="none" w:sz="0" w:space="0" w:color="auto"/>
        <w:bottom w:val="none" w:sz="0" w:space="0" w:color="auto"/>
        <w:right w:val="none" w:sz="0" w:space="0" w:color="auto"/>
      </w:divBdr>
    </w:div>
    <w:div w:id="1241789426">
      <w:bodyDiv w:val="1"/>
      <w:marLeft w:val="0"/>
      <w:marRight w:val="0"/>
      <w:marTop w:val="0"/>
      <w:marBottom w:val="0"/>
      <w:divBdr>
        <w:top w:val="none" w:sz="0" w:space="0" w:color="auto"/>
        <w:left w:val="none" w:sz="0" w:space="0" w:color="auto"/>
        <w:bottom w:val="none" w:sz="0" w:space="0" w:color="auto"/>
        <w:right w:val="none" w:sz="0" w:space="0" w:color="auto"/>
      </w:divBdr>
    </w:div>
    <w:div w:id="1298681863">
      <w:bodyDiv w:val="1"/>
      <w:marLeft w:val="0"/>
      <w:marRight w:val="0"/>
      <w:marTop w:val="0"/>
      <w:marBottom w:val="0"/>
      <w:divBdr>
        <w:top w:val="none" w:sz="0" w:space="0" w:color="auto"/>
        <w:left w:val="none" w:sz="0" w:space="0" w:color="auto"/>
        <w:bottom w:val="none" w:sz="0" w:space="0" w:color="auto"/>
        <w:right w:val="none" w:sz="0" w:space="0" w:color="auto"/>
      </w:divBdr>
    </w:div>
    <w:div w:id="1336225762">
      <w:bodyDiv w:val="1"/>
      <w:marLeft w:val="0"/>
      <w:marRight w:val="0"/>
      <w:marTop w:val="0"/>
      <w:marBottom w:val="0"/>
      <w:divBdr>
        <w:top w:val="none" w:sz="0" w:space="0" w:color="auto"/>
        <w:left w:val="none" w:sz="0" w:space="0" w:color="auto"/>
        <w:bottom w:val="none" w:sz="0" w:space="0" w:color="auto"/>
        <w:right w:val="none" w:sz="0" w:space="0" w:color="auto"/>
      </w:divBdr>
    </w:div>
    <w:div w:id="1472672687">
      <w:bodyDiv w:val="1"/>
      <w:marLeft w:val="0"/>
      <w:marRight w:val="0"/>
      <w:marTop w:val="0"/>
      <w:marBottom w:val="0"/>
      <w:divBdr>
        <w:top w:val="none" w:sz="0" w:space="0" w:color="auto"/>
        <w:left w:val="none" w:sz="0" w:space="0" w:color="auto"/>
        <w:bottom w:val="none" w:sz="0" w:space="0" w:color="auto"/>
        <w:right w:val="none" w:sz="0" w:space="0" w:color="auto"/>
      </w:divBdr>
    </w:div>
    <w:div w:id="1474637019">
      <w:bodyDiv w:val="1"/>
      <w:marLeft w:val="0"/>
      <w:marRight w:val="0"/>
      <w:marTop w:val="0"/>
      <w:marBottom w:val="0"/>
      <w:divBdr>
        <w:top w:val="none" w:sz="0" w:space="0" w:color="auto"/>
        <w:left w:val="none" w:sz="0" w:space="0" w:color="auto"/>
        <w:bottom w:val="none" w:sz="0" w:space="0" w:color="auto"/>
        <w:right w:val="none" w:sz="0" w:space="0" w:color="auto"/>
      </w:divBdr>
    </w:div>
    <w:div w:id="1476411093">
      <w:bodyDiv w:val="1"/>
      <w:marLeft w:val="0"/>
      <w:marRight w:val="0"/>
      <w:marTop w:val="0"/>
      <w:marBottom w:val="0"/>
      <w:divBdr>
        <w:top w:val="none" w:sz="0" w:space="0" w:color="auto"/>
        <w:left w:val="none" w:sz="0" w:space="0" w:color="auto"/>
        <w:bottom w:val="none" w:sz="0" w:space="0" w:color="auto"/>
        <w:right w:val="none" w:sz="0" w:space="0" w:color="auto"/>
      </w:divBdr>
    </w:div>
    <w:div w:id="1483424814">
      <w:bodyDiv w:val="1"/>
      <w:marLeft w:val="0"/>
      <w:marRight w:val="0"/>
      <w:marTop w:val="0"/>
      <w:marBottom w:val="0"/>
      <w:divBdr>
        <w:top w:val="none" w:sz="0" w:space="0" w:color="auto"/>
        <w:left w:val="none" w:sz="0" w:space="0" w:color="auto"/>
        <w:bottom w:val="none" w:sz="0" w:space="0" w:color="auto"/>
        <w:right w:val="none" w:sz="0" w:space="0" w:color="auto"/>
      </w:divBdr>
    </w:div>
    <w:div w:id="1607805249">
      <w:bodyDiv w:val="1"/>
      <w:marLeft w:val="0"/>
      <w:marRight w:val="0"/>
      <w:marTop w:val="0"/>
      <w:marBottom w:val="0"/>
      <w:divBdr>
        <w:top w:val="none" w:sz="0" w:space="0" w:color="auto"/>
        <w:left w:val="none" w:sz="0" w:space="0" w:color="auto"/>
        <w:bottom w:val="none" w:sz="0" w:space="0" w:color="auto"/>
        <w:right w:val="none" w:sz="0" w:space="0" w:color="auto"/>
      </w:divBdr>
    </w:div>
    <w:div w:id="1712874326">
      <w:bodyDiv w:val="1"/>
      <w:marLeft w:val="0"/>
      <w:marRight w:val="0"/>
      <w:marTop w:val="0"/>
      <w:marBottom w:val="0"/>
      <w:divBdr>
        <w:top w:val="none" w:sz="0" w:space="0" w:color="auto"/>
        <w:left w:val="none" w:sz="0" w:space="0" w:color="auto"/>
        <w:bottom w:val="none" w:sz="0" w:space="0" w:color="auto"/>
        <w:right w:val="none" w:sz="0" w:space="0" w:color="auto"/>
      </w:divBdr>
    </w:div>
    <w:div w:id="1737438720">
      <w:bodyDiv w:val="1"/>
      <w:marLeft w:val="0"/>
      <w:marRight w:val="0"/>
      <w:marTop w:val="0"/>
      <w:marBottom w:val="0"/>
      <w:divBdr>
        <w:top w:val="none" w:sz="0" w:space="0" w:color="auto"/>
        <w:left w:val="none" w:sz="0" w:space="0" w:color="auto"/>
        <w:bottom w:val="none" w:sz="0" w:space="0" w:color="auto"/>
        <w:right w:val="none" w:sz="0" w:space="0" w:color="auto"/>
      </w:divBdr>
    </w:div>
    <w:div w:id="1771973691">
      <w:bodyDiv w:val="1"/>
      <w:marLeft w:val="0"/>
      <w:marRight w:val="0"/>
      <w:marTop w:val="0"/>
      <w:marBottom w:val="0"/>
      <w:divBdr>
        <w:top w:val="none" w:sz="0" w:space="0" w:color="auto"/>
        <w:left w:val="none" w:sz="0" w:space="0" w:color="auto"/>
        <w:bottom w:val="none" w:sz="0" w:space="0" w:color="auto"/>
        <w:right w:val="none" w:sz="0" w:space="0" w:color="auto"/>
      </w:divBdr>
    </w:div>
    <w:div w:id="1853568386">
      <w:bodyDiv w:val="1"/>
      <w:marLeft w:val="0"/>
      <w:marRight w:val="0"/>
      <w:marTop w:val="0"/>
      <w:marBottom w:val="0"/>
      <w:divBdr>
        <w:top w:val="none" w:sz="0" w:space="0" w:color="auto"/>
        <w:left w:val="none" w:sz="0" w:space="0" w:color="auto"/>
        <w:bottom w:val="none" w:sz="0" w:space="0" w:color="auto"/>
        <w:right w:val="none" w:sz="0" w:space="0" w:color="auto"/>
      </w:divBdr>
    </w:div>
    <w:div w:id="1885822373">
      <w:bodyDiv w:val="1"/>
      <w:marLeft w:val="0"/>
      <w:marRight w:val="0"/>
      <w:marTop w:val="0"/>
      <w:marBottom w:val="0"/>
      <w:divBdr>
        <w:top w:val="none" w:sz="0" w:space="0" w:color="auto"/>
        <w:left w:val="none" w:sz="0" w:space="0" w:color="auto"/>
        <w:bottom w:val="none" w:sz="0" w:space="0" w:color="auto"/>
        <w:right w:val="none" w:sz="0" w:space="0" w:color="auto"/>
      </w:divBdr>
    </w:div>
    <w:div w:id="1897667711">
      <w:bodyDiv w:val="1"/>
      <w:marLeft w:val="0"/>
      <w:marRight w:val="0"/>
      <w:marTop w:val="0"/>
      <w:marBottom w:val="0"/>
      <w:divBdr>
        <w:top w:val="none" w:sz="0" w:space="0" w:color="auto"/>
        <w:left w:val="none" w:sz="0" w:space="0" w:color="auto"/>
        <w:bottom w:val="none" w:sz="0" w:space="0" w:color="auto"/>
        <w:right w:val="none" w:sz="0" w:space="0" w:color="auto"/>
      </w:divBdr>
    </w:div>
    <w:div w:id="2040081181">
      <w:bodyDiv w:val="1"/>
      <w:marLeft w:val="0"/>
      <w:marRight w:val="0"/>
      <w:marTop w:val="0"/>
      <w:marBottom w:val="0"/>
      <w:divBdr>
        <w:top w:val="none" w:sz="0" w:space="0" w:color="auto"/>
        <w:left w:val="none" w:sz="0" w:space="0" w:color="auto"/>
        <w:bottom w:val="none" w:sz="0" w:space="0" w:color="auto"/>
        <w:right w:val="none" w:sz="0" w:space="0" w:color="auto"/>
      </w:divBdr>
    </w:div>
    <w:div w:id="2044939971">
      <w:bodyDiv w:val="1"/>
      <w:marLeft w:val="0"/>
      <w:marRight w:val="0"/>
      <w:marTop w:val="0"/>
      <w:marBottom w:val="0"/>
      <w:divBdr>
        <w:top w:val="none" w:sz="0" w:space="0" w:color="auto"/>
        <w:left w:val="none" w:sz="0" w:space="0" w:color="auto"/>
        <w:bottom w:val="none" w:sz="0" w:space="0" w:color="auto"/>
        <w:right w:val="none" w:sz="0" w:space="0" w:color="auto"/>
      </w:divBdr>
    </w:div>
    <w:div w:id="2052529560">
      <w:bodyDiv w:val="1"/>
      <w:marLeft w:val="0"/>
      <w:marRight w:val="0"/>
      <w:marTop w:val="0"/>
      <w:marBottom w:val="0"/>
      <w:divBdr>
        <w:top w:val="none" w:sz="0" w:space="0" w:color="auto"/>
        <w:left w:val="none" w:sz="0" w:space="0" w:color="auto"/>
        <w:bottom w:val="none" w:sz="0" w:space="0" w:color="auto"/>
        <w:right w:val="none" w:sz="0" w:space="0" w:color="auto"/>
      </w:divBdr>
    </w:div>
    <w:div w:id="208005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9FE75-2E44-43D5-995B-32E23BE89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690</Words>
  <Characters>3935</Characters>
  <Application>Microsoft Office Word</Application>
  <DocSecurity>0</DocSecurity>
  <Lines>32</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PEREZ, Ifremer Saint Vincent PDG-RBE-LEA</dc:creator>
  <cp:keywords/>
  <dc:description/>
  <cp:lastModifiedBy>Nolwenn Callac</cp:lastModifiedBy>
  <cp:revision>2</cp:revision>
  <cp:lastPrinted>2022-03-27T22:03:00Z</cp:lastPrinted>
  <dcterms:created xsi:type="dcterms:W3CDTF">2024-12-05T22:47:00Z</dcterms:created>
  <dcterms:modified xsi:type="dcterms:W3CDTF">2024-12-05T22:47:00Z</dcterms:modified>
</cp:coreProperties>
</file>