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EB8A4" w14:textId="77777777" w:rsidR="008875DA" w:rsidRPr="00EF3E80" w:rsidRDefault="008875DA" w:rsidP="008875DA">
      <w:pPr>
        <w:pStyle w:val="Heading2"/>
        <w:spacing w:line="240" w:lineRule="auto"/>
        <w:rPr>
          <w:rFonts w:ascii="Arial" w:hAnsi="Arial" w:cs="Arial"/>
          <w:b/>
          <w:color w:val="auto"/>
          <w:sz w:val="24"/>
          <w:szCs w:val="28"/>
          <w:lang w:val="en-US"/>
        </w:rPr>
      </w:pPr>
      <w:bookmarkStart w:id="0" w:name="_Hlk130816902"/>
      <w:r w:rsidRPr="00EF3E80">
        <w:rPr>
          <w:rFonts w:ascii="Arial" w:hAnsi="Arial" w:cs="Arial"/>
          <w:b/>
          <w:color w:val="auto"/>
          <w:sz w:val="24"/>
          <w:szCs w:val="28"/>
          <w:lang w:val="en-US"/>
        </w:rPr>
        <w:t>Bacterial abundances and relationships between samples</w:t>
      </w:r>
      <w:bookmarkEnd w:id="0"/>
      <w:r>
        <w:rPr>
          <w:rFonts w:ascii="Arial" w:hAnsi="Arial" w:cs="Arial"/>
          <w:b/>
          <w:color w:val="auto"/>
          <w:sz w:val="24"/>
          <w:szCs w:val="28"/>
          <w:lang w:val="en-US"/>
        </w:rPr>
        <w:t>.</w:t>
      </w:r>
    </w:p>
    <w:p w14:paraId="375E5EE5" w14:textId="77777777" w:rsidR="008875DA" w:rsidRPr="00A20707" w:rsidRDefault="008875DA" w:rsidP="008875DA">
      <w:pPr>
        <w:spacing w:line="240" w:lineRule="auto"/>
        <w:rPr>
          <w:rFonts w:ascii="Arial" w:hAnsi="Arial" w:cs="Arial"/>
          <w:lang w:val="en-US"/>
        </w:rPr>
      </w:pPr>
      <w:r w:rsidRPr="00A20707">
        <w:rPr>
          <w:rFonts w:ascii="Arial" w:hAnsi="Arial" w:cs="Arial"/>
          <w:b/>
          <w:i/>
          <w:noProof/>
          <w:sz w:val="24"/>
          <w:szCs w:val="24"/>
          <w:lang w:val="en-US"/>
        </w:rPr>
        <w:drawing>
          <wp:inline distT="0" distB="0" distL="0" distR="0" wp14:anchorId="62C8809F" wp14:editId="40FB3731">
            <wp:extent cx="5758180" cy="2322830"/>
            <wp:effectExtent l="0" t="0" r="0" b="127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232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6B3FA6" w14:textId="77777777" w:rsidR="008875DA" w:rsidRPr="00A20707" w:rsidRDefault="008875DA" w:rsidP="008875DA">
      <w:pPr>
        <w:pStyle w:val="Heading4"/>
        <w:spacing w:before="240"/>
        <w:jc w:val="both"/>
        <w:rPr>
          <w:rFonts w:ascii="Arial" w:hAnsi="Arial" w:cs="Arial"/>
          <w:i w:val="0"/>
          <w:sz w:val="24"/>
          <w:szCs w:val="24"/>
          <w:lang w:val="en-US"/>
        </w:rPr>
      </w:pPr>
      <w:bookmarkStart w:id="1" w:name="_Figure_3:_Relative_2"/>
      <w:bookmarkStart w:id="2" w:name="_Figure_3:_Relative"/>
      <w:bookmarkStart w:id="3" w:name="_Figure_3:_Relative_1"/>
      <w:bookmarkEnd w:id="1"/>
      <w:bookmarkEnd w:id="2"/>
      <w:bookmarkEnd w:id="3"/>
      <w:r w:rsidRPr="00A20707">
        <w:rPr>
          <w:rFonts w:ascii="Arial" w:hAnsi="Arial" w:cs="Arial"/>
          <w:b/>
          <w:i w:val="0"/>
          <w:color w:val="auto"/>
          <w:sz w:val="24"/>
          <w:szCs w:val="24"/>
          <w:lang w:val="en-US"/>
        </w:rPr>
        <w:t>F</w:t>
      </w:r>
      <w:r>
        <w:rPr>
          <w:rFonts w:ascii="Arial" w:hAnsi="Arial" w:cs="Arial"/>
          <w:b/>
          <w:i w:val="0"/>
          <w:color w:val="auto"/>
          <w:sz w:val="24"/>
          <w:szCs w:val="24"/>
          <w:lang w:val="en-US"/>
        </w:rPr>
        <w:t>IG</w:t>
      </w:r>
      <w:r w:rsidRPr="00A20707">
        <w:rPr>
          <w:rFonts w:ascii="Arial" w:hAnsi="Arial" w:cs="Arial"/>
          <w:b/>
          <w:i w:val="0"/>
          <w:color w:val="auto"/>
          <w:sz w:val="24"/>
          <w:szCs w:val="24"/>
          <w:lang w:val="en-US"/>
        </w:rPr>
        <w:t xml:space="preserve"> </w:t>
      </w:r>
      <w:r w:rsidR="00C20A42">
        <w:rPr>
          <w:rFonts w:ascii="Arial" w:hAnsi="Arial" w:cs="Arial"/>
          <w:b/>
          <w:i w:val="0"/>
          <w:color w:val="auto"/>
          <w:sz w:val="24"/>
          <w:szCs w:val="24"/>
          <w:lang w:val="en-US"/>
        </w:rPr>
        <w:t>S</w:t>
      </w:r>
      <w:r w:rsidR="00C20A42">
        <w:rPr>
          <w:rFonts w:ascii="Arial" w:hAnsi="Arial" w:cs="Arial"/>
          <w:b/>
          <w:i w:val="0"/>
          <w:color w:val="000000" w:themeColor="text1"/>
          <w:sz w:val="24"/>
          <w:szCs w:val="24"/>
          <w:lang w:val="en-US"/>
        </w:rPr>
        <w:t>3</w:t>
      </w:r>
      <w:r w:rsidRPr="00A20707">
        <w:rPr>
          <w:rFonts w:ascii="Arial" w:hAnsi="Arial" w:cs="Arial"/>
          <w:b/>
          <w:i w:val="0"/>
          <w:color w:val="000000" w:themeColor="text1"/>
          <w:sz w:val="24"/>
          <w:szCs w:val="24"/>
          <w:lang w:val="en-US"/>
        </w:rPr>
        <w:t>: Relative abundance of the 20 most abundant bacterial orders in seawater samples. A.</w:t>
      </w:r>
      <w:r w:rsidRPr="00A20707">
        <w:rPr>
          <w:rFonts w:ascii="Arial" w:hAnsi="Arial" w:cs="Arial"/>
          <w:i w:val="0"/>
          <w:color w:val="000000" w:themeColor="text1"/>
          <w:sz w:val="24"/>
          <w:szCs w:val="24"/>
          <w:lang w:val="en-US"/>
        </w:rPr>
        <w:t xml:space="preserve"> Seawater samples collected </w:t>
      </w:r>
      <w:r w:rsidRPr="00A20707">
        <w:rPr>
          <w:rStyle w:val="CommentReference"/>
          <w:rFonts w:ascii="Arial" w:hAnsi="Arial" w:cs="Arial"/>
          <w:i w:val="0"/>
          <w:color w:val="000000" w:themeColor="text1"/>
          <w:sz w:val="24"/>
          <w:szCs w:val="24"/>
          <w:lang w:val="en-US"/>
        </w:rPr>
        <w:t xml:space="preserve">in New Caledonia. </w:t>
      </w:r>
      <w:r w:rsidRPr="00A20707">
        <w:rPr>
          <w:rStyle w:val="CommentReference"/>
          <w:rFonts w:ascii="Arial" w:hAnsi="Arial" w:cs="Arial"/>
          <w:b/>
          <w:i w:val="0"/>
          <w:color w:val="000000" w:themeColor="text1"/>
          <w:sz w:val="24"/>
          <w:szCs w:val="24"/>
          <w:lang w:val="en-US"/>
        </w:rPr>
        <w:t>B</w:t>
      </w:r>
      <w:r w:rsidRPr="00A20707">
        <w:rPr>
          <w:rFonts w:ascii="Arial" w:hAnsi="Arial" w:cs="Arial"/>
          <w:b/>
          <w:i w:val="0"/>
          <w:color w:val="000000" w:themeColor="text1"/>
          <w:sz w:val="24"/>
          <w:szCs w:val="24"/>
          <w:lang w:val="en-US"/>
        </w:rPr>
        <w:t xml:space="preserve">. </w:t>
      </w:r>
      <w:r w:rsidRPr="00A20707">
        <w:rPr>
          <w:rFonts w:ascii="Arial" w:hAnsi="Arial" w:cs="Arial"/>
          <w:bCs/>
          <w:i w:val="0"/>
          <w:color w:val="000000" w:themeColor="text1"/>
          <w:sz w:val="24"/>
          <w:szCs w:val="24"/>
          <w:lang w:val="en-US"/>
        </w:rPr>
        <w:t>Seawater samples collected</w:t>
      </w:r>
      <w:r w:rsidRPr="00A20707">
        <w:rPr>
          <w:rFonts w:ascii="Arial" w:hAnsi="Arial" w:cs="Arial"/>
          <w:b/>
          <w:i w:val="0"/>
          <w:color w:val="000000" w:themeColor="text1"/>
          <w:sz w:val="24"/>
          <w:szCs w:val="24"/>
          <w:lang w:val="en-US"/>
        </w:rPr>
        <w:t xml:space="preserve"> </w:t>
      </w:r>
      <w:r w:rsidRPr="00A20707">
        <w:rPr>
          <w:rStyle w:val="CommentReference"/>
          <w:rFonts w:ascii="Arial" w:hAnsi="Arial" w:cs="Arial"/>
          <w:i w:val="0"/>
          <w:color w:val="000000" w:themeColor="text1"/>
          <w:sz w:val="24"/>
          <w:szCs w:val="24"/>
          <w:lang w:val="en-US"/>
        </w:rPr>
        <w:t>in French Polynesia.</w:t>
      </w:r>
      <w:r w:rsidRPr="00A20707">
        <w:rPr>
          <w:rStyle w:val="CommentReference"/>
          <w:rFonts w:ascii="Arial" w:hAnsi="Arial" w:cs="Arial"/>
          <w:b/>
          <w:i w:val="0"/>
          <w:color w:val="000000" w:themeColor="text1"/>
          <w:sz w:val="24"/>
          <w:szCs w:val="24"/>
          <w:lang w:val="en-US"/>
        </w:rPr>
        <w:t xml:space="preserve"> </w:t>
      </w:r>
      <w:r w:rsidRPr="00A20707">
        <w:rPr>
          <w:rFonts w:ascii="Arial" w:hAnsi="Arial" w:cs="Arial"/>
          <w:i w:val="0"/>
          <w:color w:val="000000" w:themeColor="text1"/>
          <w:sz w:val="24"/>
          <w:szCs w:val="24"/>
          <w:lang w:val="en-US"/>
        </w:rPr>
        <w:t>Each sample match to a given conditions corresponding to the sampling time: beginning of the experimentation (T0), 1 month later (T1); season: warm season (WS), cold season (CS). Orders written in grey are common in both sites.</w:t>
      </w:r>
    </w:p>
    <w:p w14:paraId="3F758F95" w14:textId="77777777" w:rsidR="008875DA" w:rsidRPr="00A20707" w:rsidRDefault="008875DA" w:rsidP="008875DA">
      <w:pPr>
        <w:spacing w:line="240" w:lineRule="auto"/>
        <w:rPr>
          <w:rFonts w:ascii="Arial" w:hAnsi="Arial" w:cs="Arial"/>
          <w:lang w:val="en-US"/>
        </w:rPr>
      </w:pPr>
    </w:p>
    <w:p w14:paraId="1E5714FD" w14:textId="1EB6C7B8" w:rsidR="00A35EDD" w:rsidRPr="00A35EDD" w:rsidRDefault="008875DA" w:rsidP="00A35EDD">
      <w:pPr>
        <w:spacing w:before="40" w:after="0" w:line="240" w:lineRule="auto"/>
        <w:jc w:val="both"/>
        <w:rPr>
          <w:rFonts w:ascii="Arial" w:hAnsi="Arial" w:cs="Arial"/>
          <w:noProof/>
          <w:lang w:val="en-US"/>
        </w:rPr>
      </w:pPr>
      <w:r w:rsidRPr="00A20707">
        <w:rPr>
          <w:rFonts w:ascii="Arial" w:hAnsi="Arial" w:cs="Arial"/>
          <w:sz w:val="24"/>
          <w:szCs w:val="24"/>
          <w:lang w:val="en-US"/>
        </w:rPr>
        <w:t xml:space="preserve">The 20 most abundant bacterial orders across all the seawater by site (NC and FP) were displayed in the </w:t>
      </w:r>
      <w:r w:rsidRPr="002131DA">
        <w:rPr>
          <w:rFonts w:ascii="Arial" w:hAnsi="Arial" w:cs="Arial"/>
          <w:bCs/>
          <w:sz w:val="24"/>
          <w:szCs w:val="24"/>
          <w:lang w:val="en-US"/>
        </w:rPr>
        <w:t xml:space="preserve">figure </w:t>
      </w:r>
      <w:r w:rsidR="00C20A42" w:rsidRPr="002131DA">
        <w:rPr>
          <w:rFonts w:ascii="Arial" w:hAnsi="Arial" w:cs="Arial"/>
          <w:bCs/>
          <w:sz w:val="24"/>
          <w:szCs w:val="24"/>
          <w:lang w:val="en-US"/>
        </w:rPr>
        <w:t>S3</w:t>
      </w:r>
      <w:r w:rsidRPr="00A20707">
        <w:rPr>
          <w:rFonts w:ascii="Arial" w:hAnsi="Arial" w:cs="Arial"/>
          <w:sz w:val="24"/>
          <w:szCs w:val="24"/>
          <w:lang w:val="en-US"/>
        </w:rPr>
        <w:t xml:space="preserve">. The most abundant orders of the seawater samples explained more than 97 % of the bacterial diversity in both sites, thus, less than 3 % was explained by Other, </w:t>
      </w:r>
      <w:r w:rsidRPr="00A20707">
        <w:rPr>
          <w:rFonts w:ascii="Arial" w:hAnsi="Arial" w:cs="Arial"/>
          <w:i/>
          <w:sz w:val="24"/>
          <w:szCs w:val="24"/>
          <w:lang w:val="en-US"/>
        </w:rPr>
        <w:t>i.e.</w:t>
      </w:r>
      <w:r w:rsidRPr="00A20707">
        <w:rPr>
          <w:rFonts w:ascii="Arial" w:hAnsi="Arial" w:cs="Arial"/>
          <w:sz w:val="24"/>
          <w:szCs w:val="24"/>
          <w:lang w:val="en-US"/>
        </w:rPr>
        <w:t xml:space="preserve"> lower abundant orders. The water samples microbial communities in NC were significantly different from the seawater samples ones in FP (based on the ASVs </w:t>
      </w:r>
      <w:r w:rsidRPr="00A20707">
        <w:rPr>
          <w:rFonts w:ascii="Arial" w:hAnsi="Arial" w:cs="Arial"/>
          <w:sz w:val="24"/>
          <w:lang w:val="en-US"/>
        </w:rPr>
        <w:t>counts</w:t>
      </w:r>
      <w:r w:rsidRPr="00A20707">
        <w:rPr>
          <w:rFonts w:ascii="Arial" w:hAnsi="Arial" w:cs="Arial"/>
          <w:sz w:val="24"/>
          <w:szCs w:val="24"/>
          <w:lang w:val="en-US"/>
        </w:rPr>
        <w:t xml:space="preserve">, Pairwise Wilcoxon, </w:t>
      </w:r>
      <w:r w:rsidRPr="00A20707">
        <w:rPr>
          <w:rFonts w:ascii="Arial" w:hAnsi="Arial" w:cs="Arial"/>
          <w:i/>
          <w:sz w:val="24"/>
          <w:szCs w:val="24"/>
          <w:lang w:val="en-US"/>
        </w:rPr>
        <w:t>p</w:t>
      </w:r>
      <w:r w:rsidRPr="00A20707">
        <w:rPr>
          <w:rFonts w:ascii="Arial" w:hAnsi="Arial" w:cs="Arial"/>
          <w:sz w:val="24"/>
          <w:szCs w:val="24"/>
          <w:lang w:val="en-US"/>
        </w:rPr>
        <w:t>-value 3.26x10</w:t>
      </w:r>
      <w:r w:rsidRPr="00A20707">
        <w:rPr>
          <w:rFonts w:ascii="Arial" w:hAnsi="Arial" w:cs="Arial"/>
          <w:sz w:val="24"/>
          <w:szCs w:val="24"/>
          <w:vertAlign w:val="superscript"/>
          <w:lang w:val="en-US"/>
        </w:rPr>
        <w:t>-14</w:t>
      </w:r>
      <w:r w:rsidRPr="00A20707">
        <w:rPr>
          <w:rFonts w:ascii="Arial" w:hAnsi="Arial" w:cs="Arial"/>
          <w:sz w:val="24"/>
          <w:szCs w:val="24"/>
          <w:lang w:val="en-US"/>
        </w:rPr>
        <w:t xml:space="preserve">). This inter-site variability can be observed in the order profiles through differential relative abundances </w:t>
      </w:r>
      <w:r w:rsidRPr="002131DA">
        <w:rPr>
          <w:rFonts w:ascii="Arial" w:hAnsi="Arial" w:cs="Arial"/>
          <w:sz w:val="24"/>
          <w:szCs w:val="24"/>
          <w:lang w:val="en-US"/>
        </w:rPr>
        <w:t xml:space="preserve">(Fig. 2). There </w:t>
      </w:r>
      <w:r w:rsidR="002131DA" w:rsidRPr="002131DA">
        <w:rPr>
          <w:rFonts w:ascii="Arial" w:hAnsi="Arial" w:cs="Arial"/>
          <w:sz w:val="24"/>
          <w:szCs w:val="24"/>
          <w:lang w:val="en-US"/>
        </w:rPr>
        <w:t>was</w:t>
      </w:r>
      <w:r w:rsidRPr="002131DA">
        <w:rPr>
          <w:rFonts w:ascii="Arial" w:hAnsi="Arial" w:cs="Arial"/>
          <w:sz w:val="24"/>
          <w:szCs w:val="24"/>
          <w:lang w:val="en-US"/>
        </w:rPr>
        <w:t xml:space="preserve"> </w:t>
      </w:r>
      <w:r w:rsidRPr="002131DA">
        <w:rPr>
          <w:rFonts w:ascii="Arial" w:hAnsi="Arial" w:cs="Arial"/>
          <w:sz w:val="24"/>
          <w:lang w:val="en-US"/>
        </w:rPr>
        <w:t xml:space="preserve">higher </w:t>
      </w:r>
      <w:r w:rsidRPr="002131DA">
        <w:rPr>
          <w:rFonts w:ascii="Arial" w:hAnsi="Arial" w:cs="Arial"/>
          <w:sz w:val="24"/>
          <w:szCs w:val="24"/>
          <w:lang w:val="en-US"/>
        </w:rPr>
        <w:t xml:space="preserve">abundance of </w:t>
      </w:r>
      <w:r w:rsidRPr="002131DA">
        <w:rPr>
          <w:rFonts w:ascii="Arial" w:hAnsi="Arial" w:cs="Arial"/>
          <w:i/>
          <w:iCs/>
          <w:sz w:val="24"/>
          <w:szCs w:val="24"/>
          <w:lang w:val="en-US"/>
        </w:rPr>
        <w:t>Synechococcales</w:t>
      </w:r>
      <w:r w:rsidRPr="002131DA">
        <w:rPr>
          <w:rFonts w:ascii="Arial" w:hAnsi="Arial" w:cs="Arial"/>
          <w:sz w:val="24"/>
          <w:szCs w:val="24"/>
          <w:lang w:val="en-US"/>
        </w:rPr>
        <w:t xml:space="preserve"> in FP conditions compared to the NC conditions. The variability was also observed with orders specifically with higher abundances in both sites per examples with the </w:t>
      </w:r>
      <w:r w:rsidRPr="002131DA">
        <w:rPr>
          <w:rFonts w:ascii="Arial" w:hAnsi="Arial" w:cs="Arial"/>
          <w:i/>
          <w:iCs/>
          <w:sz w:val="24"/>
          <w:szCs w:val="24"/>
          <w:lang w:val="en-US"/>
        </w:rPr>
        <w:t>Arenicellales</w:t>
      </w:r>
      <w:r w:rsidRPr="002131DA">
        <w:rPr>
          <w:rFonts w:ascii="Arial" w:hAnsi="Arial" w:cs="Arial"/>
          <w:sz w:val="24"/>
          <w:szCs w:val="24"/>
          <w:lang w:val="en-US"/>
        </w:rPr>
        <w:t xml:space="preserve">, the </w:t>
      </w:r>
      <w:r w:rsidRPr="002131DA">
        <w:rPr>
          <w:rFonts w:ascii="Arial" w:hAnsi="Arial" w:cs="Arial"/>
          <w:i/>
          <w:iCs/>
          <w:sz w:val="24"/>
          <w:szCs w:val="24"/>
          <w:lang w:val="en-US"/>
        </w:rPr>
        <w:t>SBR</w:t>
      </w:r>
      <w:r w:rsidRPr="002131DA">
        <w:rPr>
          <w:rFonts w:ascii="Arial" w:hAnsi="Arial" w:cs="Arial"/>
          <w:sz w:val="24"/>
          <w:szCs w:val="24"/>
          <w:lang w:val="en-US"/>
        </w:rPr>
        <w:t xml:space="preserve">1031, or the </w:t>
      </w:r>
      <w:r w:rsidRPr="002131DA">
        <w:rPr>
          <w:rFonts w:ascii="Arial" w:hAnsi="Arial" w:cs="Arial"/>
          <w:i/>
          <w:iCs/>
          <w:sz w:val="24"/>
          <w:szCs w:val="24"/>
          <w:lang w:val="en-US"/>
        </w:rPr>
        <w:t>Thalassobaculales</w:t>
      </w:r>
      <w:r w:rsidRPr="002131DA">
        <w:rPr>
          <w:rFonts w:ascii="Arial" w:hAnsi="Arial" w:cs="Arial"/>
          <w:sz w:val="24"/>
          <w:szCs w:val="24"/>
          <w:lang w:val="en-US"/>
        </w:rPr>
        <w:t xml:space="preserve"> were more abundant in NC (Fig. </w:t>
      </w:r>
      <w:r w:rsidR="00C20A42" w:rsidRPr="002131DA">
        <w:rPr>
          <w:rFonts w:ascii="Arial" w:hAnsi="Arial" w:cs="Arial"/>
          <w:sz w:val="24"/>
          <w:szCs w:val="24"/>
          <w:lang w:val="en-US"/>
        </w:rPr>
        <w:t>S3</w:t>
      </w:r>
      <w:r w:rsidRPr="002131DA">
        <w:rPr>
          <w:rFonts w:ascii="Arial" w:hAnsi="Arial" w:cs="Arial"/>
          <w:sz w:val="24"/>
          <w:szCs w:val="24"/>
          <w:lang w:val="en-US"/>
        </w:rPr>
        <w:t xml:space="preserve">A) and with the </w:t>
      </w:r>
      <w:r w:rsidRPr="002131DA">
        <w:rPr>
          <w:rFonts w:ascii="Arial" w:hAnsi="Arial" w:cs="Arial"/>
          <w:i/>
          <w:iCs/>
          <w:sz w:val="24"/>
          <w:szCs w:val="24"/>
          <w:lang w:val="en-US"/>
        </w:rPr>
        <w:t>Rhizobiales</w:t>
      </w:r>
      <w:r w:rsidRPr="002131DA">
        <w:rPr>
          <w:rFonts w:ascii="Arial" w:hAnsi="Arial" w:cs="Arial"/>
          <w:sz w:val="24"/>
          <w:szCs w:val="24"/>
          <w:lang w:val="en-US"/>
        </w:rPr>
        <w:t xml:space="preserve">, the </w:t>
      </w:r>
      <w:r w:rsidRPr="002131DA">
        <w:rPr>
          <w:rFonts w:ascii="Arial" w:hAnsi="Arial" w:cs="Arial"/>
          <w:i/>
          <w:iCs/>
          <w:sz w:val="24"/>
          <w:szCs w:val="24"/>
          <w:lang w:val="en-US"/>
        </w:rPr>
        <w:t>Burkholderiales</w:t>
      </w:r>
      <w:r w:rsidRPr="002131DA">
        <w:rPr>
          <w:rFonts w:ascii="Arial" w:hAnsi="Arial" w:cs="Arial"/>
          <w:sz w:val="24"/>
          <w:szCs w:val="24"/>
          <w:lang w:val="en-US"/>
        </w:rPr>
        <w:t xml:space="preserve"> or </w:t>
      </w:r>
      <w:r w:rsidRPr="002131DA">
        <w:rPr>
          <w:rFonts w:ascii="Arial" w:hAnsi="Arial" w:cs="Arial"/>
          <w:i/>
          <w:iCs/>
          <w:sz w:val="24"/>
          <w:szCs w:val="24"/>
          <w:lang w:val="en-US"/>
        </w:rPr>
        <w:t>Phycisphaerales</w:t>
      </w:r>
      <w:r w:rsidRPr="002131DA">
        <w:rPr>
          <w:rFonts w:ascii="Arial" w:hAnsi="Arial" w:cs="Arial"/>
          <w:sz w:val="24"/>
          <w:szCs w:val="24"/>
          <w:lang w:val="en-US"/>
        </w:rPr>
        <w:t xml:space="preserve"> in FP (Fig. </w:t>
      </w:r>
      <w:r w:rsidR="00C20A42" w:rsidRPr="002131DA">
        <w:rPr>
          <w:rFonts w:ascii="Arial" w:hAnsi="Arial" w:cs="Arial"/>
          <w:sz w:val="24"/>
          <w:szCs w:val="24"/>
          <w:lang w:val="en-US"/>
        </w:rPr>
        <w:t>S3</w:t>
      </w:r>
      <w:r w:rsidRPr="002131DA">
        <w:rPr>
          <w:rStyle w:val="Hyperlink"/>
          <w:rFonts w:ascii="Arial" w:hAnsi="Arial" w:cs="Arial"/>
          <w:color w:val="auto"/>
          <w:sz w:val="24"/>
          <w:szCs w:val="24"/>
          <w:u w:val="none"/>
          <w:lang w:val="en-US"/>
        </w:rPr>
        <w:t>B</w:t>
      </w:r>
      <w:r w:rsidRPr="002131DA">
        <w:rPr>
          <w:rFonts w:ascii="Arial" w:hAnsi="Arial" w:cs="Arial"/>
          <w:sz w:val="24"/>
          <w:szCs w:val="24"/>
          <w:lang w:val="en-US"/>
        </w:rPr>
        <w:t xml:space="preserve">). Despite this variability, there were 11 orders common among the 20 most abundant (in grey in Fig. </w:t>
      </w:r>
      <w:r w:rsidR="00C20A42" w:rsidRPr="002131DA">
        <w:rPr>
          <w:rFonts w:ascii="Arial" w:hAnsi="Arial" w:cs="Arial"/>
          <w:sz w:val="24"/>
          <w:szCs w:val="24"/>
          <w:lang w:val="en-US"/>
        </w:rPr>
        <w:t>S3</w:t>
      </w:r>
      <w:r w:rsidRPr="002131DA">
        <w:rPr>
          <w:rFonts w:ascii="Arial" w:hAnsi="Arial" w:cs="Arial"/>
          <w:sz w:val="24"/>
          <w:szCs w:val="24"/>
          <w:lang w:val="en-US"/>
        </w:rPr>
        <w:t>A-B). Moreover, there were 100 ASVs constituting the core microbiota of the seawater samples in both sites (ASVs present in all the seawater samples, Table S</w:t>
      </w:r>
      <w:r w:rsidR="002131DA" w:rsidRPr="002131DA">
        <w:rPr>
          <w:rFonts w:ascii="Arial" w:hAnsi="Arial" w:cs="Arial"/>
          <w:sz w:val="24"/>
          <w:szCs w:val="24"/>
          <w:lang w:val="en-US"/>
        </w:rPr>
        <w:t>10</w:t>
      </w:r>
      <w:r w:rsidRPr="002131DA">
        <w:rPr>
          <w:rFonts w:ascii="Arial" w:hAnsi="Arial" w:cs="Arial"/>
          <w:sz w:val="24"/>
          <w:szCs w:val="24"/>
          <w:lang w:val="en-US"/>
        </w:rPr>
        <w:t xml:space="preserve">). There were also 183 ASVs specific of the seawater samples in NC and 165 ASVs specific of the seawater samples in FP. </w:t>
      </w:r>
      <w:r w:rsidRPr="002131DA">
        <w:rPr>
          <w:rFonts w:ascii="Arial" w:hAnsi="Arial" w:cs="Arial"/>
          <w:sz w:val="24"/>
          <w:lang w:val="en-US"/>
        </w:rPr>
        <w:t>As each seawater condition were mono-sample, no further statistics tests were performed.</w:t>
      </w:r>
      <w:r w:rsidRPr="002131DA">
        <w:rPr>
          <w:rFonts w:ascii="Arial" w:hAnsi="Arial" w:cs="Arial"/>
          <w:noProof/>
          <w:lang w:val="en-US"/>
        </w:rPr>
        <w:t xml:space="preserve"> </w:t>
      </w:r>
    </w:p>
    <w:p w14:paraId="23C7FBA6" w14:textId="77777777" w:rsidR="001B5C91" w:rsidRDefault="001B5C91" w:rsidP="00674ED3">
      <w:pPr>
        <w:spacing w:before="40" w:after="0" w:line="240" w:lineRule="auto"/>
        <w:jc w:val="both"/>
        <w:rPr>
          <w:rFonts w:ascii="Arial" w:hAnsi="Arial" w:cs="Arial"/>
          <w:noProof/>
          <w:lang w:val="en-US"/>
        </w:rPr>
      </w:pPr>
    </w:p>
    <w:p w14:paraId="4FA3D685" w14:textId="38AAABE5" w:rsidR="001B5C91" w:rsidRPr="00267AE0" w:rsidRDefault="001B5C91" w:rsidP="00674ED3">
      <w:pPr>
        <w:spacing w:before="40" w:after="0" w:line="240" w:lineRule="auto"/>
        <w:jc w:val="both"/>
        <w:rPr>
          <w:rFonts w:ascii="Arial" w:eastAsiaTheme="majorEastAsia" w:hAnsi="Arial" w:cs="Arial"/>
          <w:b/>
          <w:sz w:val="24"/>
          <w:szCs w:val="28"/>
          <w:lang w:val="en-US"/>
        </w:rPr>
      </w:pPr>
      <w:r w:rsidRPr="00267AE0">
        <w:rPr>
          <w:rFonts w:ascii="Arial" w:eastAsiaTheme="majorEastAsia" w:hAnsi="Arial" w:cs="Arial"/>
          <w:b/>
          <w:sz w:val="24"/>
          <w:szCs w:val="28"/>
          <w:lang w:val="en-US"/>
        </w:rPr>
        <w:t>Proportion of chimera identified with consensus or polled methods:</w:t>
      </w:r>
    </w:p>
    <w:p w14:paraId="0DC9727B" w14:textId="14ED9149" w:rsidR="001B5C91" w:rsidRPr="00267AE0" w:rsidRDefault="001B5C91" w:rsidP="00674ED3">
      <w:pPr>
        <w:spacing w:before="40"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67AE0">
        <w:rPr>
          <w:rFonts w:ascii="Arial" w:hAnsi="Arial" w:cs="Arial"/>
          <w:sz w:val="24"/>
          <w:szCs w:val="24"/>
          <w:lang w:val="en-US"/>
        </w:rPr>
        <w:t xml:space="preserve">Using the consensus method 30 722 </w:t>
      </w:r>
      <w:proofErr w:type="spellStart"/>
      <w:r w:rsidRPr="00267AE0">
        <w:rPr>
          <w:rFonts w:ascii="Arial" w:hAnsi="Arial" w:cs="Arial"/>
          <w:sz w:val="24"/>
          <w:szCs w:val="24"/>
          <w:lang w:val="en-US"/>
        </w:rPr>
        <w:t>bimeras</w:t>
      </w:r>
      <w:proofErr w:type="spellEnd"/>
      <w:r w:rsidRPr="00267AE0">
        <w:rPr>
          <w:rFonts w:ascii="Arial" w:hAnsi="Arial" w:cs="Arial"/>
          <w:sz w:val="24"/>
          <w:szCs w:val="24"/>
          <w:lang w:val="en-US"/>
        </w:rPr>
        <w:t xml:space="preserve"> were identified out of 44 356 input sequences while with the pooled method, 36 020 </w:t>
      </w:r>
      <w:proofErr w:type="spellStart"/>
      <w:r w:rsidRPr="00267AE0">
        <w:rPr>
          <w:rFonts w:ascii="Arial" w:hAnsi="Arial" w:cs="Arial"/>
          <w:sz w:val="24"/>
          <w:szCs w:val="24"/>
          <w:lang w:val="en-US"/>
        </w:rPr>
        <w:t>bimeras</w:t>
      </w:r>
      <w:proofErr w:type="spellEnd"/>
      <w:r w:rsidRPr="00267AE0">
        <w:rPr>
          <w:rFonts w:ascii="Arial" w:hAnsi="Arial" w:cs="Arial"/>
          <w:sz w:val="24"/>
          <w:szCs w:val="24"/>
          <w:lang w:val="en-US"/>
        </w:rPr>
        <w:t xml:space="preserve"> were detected.</w:t>
      </w:r>
    </w:p>
    <w:p w14:paraId="19495E01" w14:textId="72B3ECF4" w:rsidR="001B5C91" w:rsidRPr="00267AE0" w:rsidRDefault="001B5C91" w:rsidP="00674ED3">
      <w:pPr>
        <w:spacing w:before="40" w:after="0" w:line="240" w:lineRule="auto"/>
        <w:jc w:val="both"/>
        <w:rPr>
          <w:rFonts w:ascii="Arial" w:eastAsiaTheme="majorEastAsia" w:hAnsi="Arial" w:cs="Arial"/>
          <w:bCs/>
          <w:sz w:val="24"/>
          <w:szCs w:val="24"/>
          <w:lang w:val="en-US"/>
        </w:rPr>
      </w:pPr>
      <w:r w:rsidRPr="00267AE0">
        <w:rPr>
          <w:rFonts w:ascii="Arial" w:eastAsiaTheme="majorEastAsia" w:hAnsi="Arial" w:cs="Arial"/>
          <w:bCs/>
          <w:sz w:val="24"/>
          <w:szCs w:val="24"/>
          <w:lang w:val="en-US"/>
        </w:rPr>
        <w:t>As the consensus method is better when the study uses many samples: “For chimera removal, we have found that the "consensus" chimera removal method works better on large studies” (</w:t>
      </w:r>
      <w:hyperlink r:id="rId5" w:history="1">
        <w:r w:rsidRPr="00267AE0">
          <w:rPr>
            <w:rStyle w:val="Hyperlink"/>
            <w:rFonts w:ascii="Arial" w:eastAsiaTheme="majorEastAsia" w:hAnsi="Arial" w:cs="Arial"/>
            <w:bCs/>
            <w:color w:val="auto"/>
            <w:sz w:val="24"/>
            <w:szCs w:val="24"/>
            <w:lang w:val="en-US"/>
          </w:rPr>
          <w:t>https://benjjneb.github.io/dada2/bigdata.html</w:t>
        </w:r>
      </w:hyperlink>
      <w:r w:rsidRPr="00267AE0">
        <w:rPr>
          <w:rFonts w:ascii="Arial" w:eastAsiaTheme="majorEastAsia" w:hAnsi="Arial" w:cs="Arial"/>
          <w:bCs/>
          <w:sz w:val="24"/>
          <w:szCs w:val="24"/>
          <w:lang w:val="en-US"/>
        </w:rPr>
        <w:t>), we kept results from this method of chimera removal.</w:t>
      </w:r>
    </w:p>
    <w:sectPr w:rsidR="001B5C91" w:rsidRPr="00267AE0" w:rsidSect="00CA3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5DA"/>
    <w:rsid w:val="00043531"/>
    <w:rsid w:val="001B5C91"/>
    <w:rsid w:val="002131DA"/>
    <w:rsid w:val="00267AE0"/>
    <w:rsid w:val="003D4451"/>
    <w:rsid w:val="00674ED3"/>
    <w:rsid w:val="006939A2"/>
    <w:rsid w:val="006D0B7C"/>
    <w:rsid w:val="008875DA"/>
    <w:rsid w:val="009369BA"/>
    <w:rsid w:val="00A35EDD"/>
    <w:rsid w:val="00AD494E"/>
    <w:rsid w:val="00C20A42"/>
    <w:rsid w:val="00CA3DD6"/>
    <w:rsid w:val="00CC4F1E"/>
    <w:rsid w:val="00E44114"/>
    <w:rsid w:val="00E8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EA64AF"/>
  <w15:chartTrackingRefBased/>
  <w15:docId w15:val="{CE82C1EC-95E3-4AB7-9553-73E92B002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5D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75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875D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qFormat/>
    <w:rsid w:val="008875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875D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8875D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875DA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0A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0A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0A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0A4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A4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B5C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enjjneb.github.io/dada2/bigdata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PEREZ, Ifremer Saint Vincent PDG-RBE-LEA</dc:creator>
  <cp:keywords/>
  <dc:description/>
  <cp:lastModifiedBy>Nolwenn Callac</cp:lastModifiedBy>
  <cp:revision>2</cp:revision>
  <dcterms:created xsi:type="dcterms:W3CDTF">2024-12-12T05:16:00Z</dcterms:created>
  <dcterms:modified xsi:type="dcterms:W3CDTF">2024-12-12T05:16:00Z</dcterms:modified>
</cp:coreProperties>
</file>