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20.png" ContentType="image/png"/>
  <Override PartName="/word/media/rId23.png" ContentType="image/png"/>
  <Override PartName="/word/media/rId26.png" ContentType="image/png"/>
  <Override PartName="/word/media/rId29.png" ContentType="image/png"/>
  <Override PartName="/word/media/rId56.png" ContentType="image/png"/>
  <Override PartName="/word/media/rId59.png" ContentType="image/png"/>
  <Override PartName="/word/media/rId62.png" ContentType="image/png"/>
  <Override PartName="/word/media/rId65.png" ContentType="image/png"/>
  <Override PartName="/word/media/rId68.png" ContentType="image/png"/>
  <Override PartName="/word/media/rId71.png" ContentType="image/png"/>
  <Override PartName="/word/media/rId74.png" ContentType="image/png"/>
  <Override PartName="/word/media/rId32.png" ContentType="image/png"/>
  <Override PartName="/word/media/rId35.png" ContentType="image/png"/>
  <Override PartName="/word/media/rId38.png" ContentType="image/png"/>
  <Override PartName="/word/media/rId41.png" ContentType="image/png"/>
  <Override PartName="/word/media/rId44.png" ContentType="image/png"/>
  <Override PartName="/word/media/rId47.png" ContentType="image/png"/>
  <Override PartName="/word/media/rId50.png" ContentType="image/png"/>
  <Override PartName="/word/media/rId53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77" w:name="appendix-b"/>
    <w:p>
      <w:pPr>
        <w:pStyle w:val="Heading1"/>
      </w:pPr>
      <w:r>
        <w:t xml:space="preserve">Appendix B</w:t>
      </w:r>
    </w:p>
    <w:p>
      <w:pPr>
        <w:pStyle w:val="CaptionedFigure"/>
      </w:pPr>
      <w:r>
        <w:drawing>
          <wp:inline>
            <wp:extent cx="5334000" cy="3556493"/>
            <wp:effectExtent b="0" l="0" r="0" t="0"/>
            <wp:docPr descr="Plot of the evolution of the score (i.e. sum of the DBCV value and the Trustworthiness) according to the different parameters measured (a. DBCV; b. Trustworthiness; c. Number of noisy points; d. Number of clusters). Each of the 241,100 dots represent the evaluation of a unique combination of hyperparameter values for UMAP (n_neighbors) and HDBSCAN (min_cluster_size). Blue dots represent the top 100th solution, while the yellow dot represents the best solution found according to our criteria. All other grey dots represent the other evaluated solutions" title="" id="21" name="Picture"/>
            <a:graphic>
              <a:graphicData uri="http://schemas.openxmlformats.org/drawingml/2006/picture">
                <pic:pic>
                  <pic:nvPicPr>
                    <pic:cNvPr descr="figures/supplementary/03-solutions-distributions.png" id="22" name="Picture"/>
                    <pic:cNvPicPr>
                      <a:picLocks noChangeArrowheads="1"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4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1: Plot of the evolution of the score (i.e. sum of the</w:t>
      </w:r>
      <w:r>
        <w:t xml:space="preserve"> </w:t>
      </w:r>
      <w:r>
        <w:rPr>
          <w:iCs/>
          <w:i/>
        </w:rPr>
        <w:t xml:space="preserve">DBCV</w:t>
      </w:r>
      <w:r>
        <w:t xml:space="preserve"> </w:t>
      </w:r>
      <w:r>
        <w:t xml:space="preserve">value and the Trustworthiness) according to the different parameters measured (a.</w:t>
      </w:r>
      <w:r>
        <w:t xml:space="preserve"> </w:t>
      </w:r>
      <w:r>
        <w:rPr>
          <w:iCs/>
          <w:i/>
        </w:rPr>
        <w:t xml:space="preserve">DBCV</w:t>
      </w:r>
      <w:r>
        <w:t xml:space="preserve">; b.</w:t>
      </w:r>
      <w:r>
        <w:t xml:space="preserve"> </w:t>
      </w:r>
      <w:r>
        <w:rPr>
          <w:iCs/>
          <w:i/>
        </w:rPr>
        <w:t xml:space="preserve">Trustworthiness</w:t>
      </w:r>
      <w:r>
        <w:t xml:space="preserve">; c. Number of noisy points; d. Number of clusters). Each of the 241,100 dots represent the evaluation of a unique combination of hyperparameter values for</w:t>
      </w:r>
      <w:r>
        <w:t xml:space="preserve"> </w:t>
      </w:r>
      <w:r>
        <w:rPr>
          <w:iCs/>
          <w:i/>
        </w:rPr>
        <w:t xml:space="preserve">UMAP</w:t>
      </w:r>
      <w:r>
        <w:t xml:space="preserve"> </w:t>
      </w:r>
      <w:r>
        <w:t xml:space="preserve">(</w:t>
      </w:r>
      <w:r>
        <w:rPr>
          <w:iCs/>
          <w:i/>
        </w:rPr>
        <w:t xml:space="preserve">n_neighbors</w:t>
      </w:r>
      <w:r>
        <w:t xml:space="preserve">) and</w:t>
      </w:r>
      <w:r>
        <w:t xml:space="preserve"> </w:t>
      </w:r>
      <w:r>
        <w:rPr>
          <w:iCs/>
          <w:i/>
        </w:rPr>
        <w:t xml:space="preserve">HDBSCAN</w:t>
      </w:r>
      <w:r>
        <w:t xml:space="preserve"> </w:t>
      </w:r>
      <w:r>
        <w:t xml:space="preserve">(min_cluster_size). Blue dots represent the top 100th solution, while the yellow dot represents the best solution found according to our criteria. All other grey dots represent the other evaluated solutions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noise at the global scale. Each point represents a transect." title="" id="24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-1.pn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2: Spatial distribution of the cluster</w:t>
      </w:r>
      <w:r>
        <w:t xml:space="preserve"> </w:t>
      </w:r>
      <w:r>
        <w:rPr>
          <w:iCs/>
          <w:i/>
        </w:rPr>
        <w:t xml:space="preserve">noise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foliose brown algae at the global scale. Each point represents a transect." title="" id="27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0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3: Spatial distribution of the cluster</w:t>
      </w:r>
      <w:r>
        <w:t xml:space="preserve"> </w:t>
      </w:r>
      <w:r>
        <w:rPr>
          <w:iCs/>
          <w:i/>
        </w:rPr>
        <w:t xml:space="preserve">foliose brown algae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filamentous algae at the global scale. Each point represents a transect." title="" id="30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1.pn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4: Spatial distribution of the cluster</w:t>
      </w:r>
      <w:r>
        <w:t xml:space="preserve"> </w:t>
      </w:r>
      <w:r>
        <w:rPr>
          <w:iCs/>
          <w:i/>
        </w:rPr>
        <w:t xml:space="preserve">filamentous algae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other Sessile invertebrates at the global scale. Each point represents a transect." title="" id="33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2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5: Spatial distribution of the cluster</w:t>
      </w:r>
      <w:r>
        <w:t xml:space="preserve"> </w:t>
      </w:r>
      <w:r>
        <w:rPr>
          <w:iCs/>
          <w:i/>
        </w:rPr>
        <w:t xml:space="preserve">other Sessile invertebrates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red algae at the global scale. Each point represents a transect." title="" id="36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3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6: Spatial distribution of the cluster</w:t>
      </w:r>
      <w:r>
        <w:t xml:space="preserve"> </w:t>
      </w:r>
      <w:r>
        <w:rPr>
          <w:iCs/>
          <w:i/>
        </w:rPr>
        <w:t xml:space="preserve">red algae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seagrass at the global scale. Each point represents a transect." title="" id="39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4.png" id="4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7: Spatial distribution of the cluster</w:t>
      </w:r>
      <w:r>
        <w:t xml:space="preserve"> </w:t>
      </w:r>
      <w:r>
        <w:rPr>
          <w:iCs/>
          <w:i/>
        </w:rPr>
        <w:t xml:space="preserve">seagrass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soft coral and gorgonians at the global scale. Each point represents a transect." title="" id="42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5.png" id="43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8: Spatial distribution of the cluster</w:t>
      </w:r>
      <w:r>
        <w:t xml:space="preserve"> </w:t>
      </w:r>
      <w:r>
        <w:rPr>
          <w:iCs/>
          <w:i/>
        </w:rPr>
        <w:t xml:space="preserve">soft coral and gorgonians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bushy fucoid-like algae at the global scale. Each point represents a transect." title="" id="45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6.png" id="46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9: Spatial distribution of the cluster</w:t>
      </w:r>
      <w:r>
        <w:t xml:space="preserve"> </w:t>
      </w:r>
      <w:r>
        <w:rPr>
          <w:iCs/>
          <w:i/>
        </w:rPr>
        <w:t xml:space="preserve">bushy fucoid-like algae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large canopy forming algae at the global scale. Each point represents a transect." title="" id="48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7.png" id="49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10: Spatial distribution of the cluster</w:t>
      </w:r>
      <w:r>
        <w:t xml:space="preserve"> </w:t>
      </w:r>
      <w:r>
        <w:rPr>
          <w:iCs/>
          <w:i/>
        </w:rPr>
        <w:t xml:space="preserve">large canopy forming algae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unconsolidated substrate at the global scale. Each point represents a transect." title="" id="51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8.png" id="52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11: Spatial distribution of the cluster</w:t>
      </w:r>
      <w:r>
        <w:t xml:space="preserve"> </w:t>
      </w:r>
      <w:r>
        <w:rPr>
          <w:iCs/>
          <w:i/>
        </w:rPr>
        <w:t xml:space="preserve">unconsolidated substrate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crustose coralline algae and turf at the global scale. Each point represents a transect." title="" id="54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9.png" id="55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12: Spatial distribution of the cluster</w:t>
      </w:r>
      <w:r>
        <w:t xml:space="preserve"> </w:t>
      </w:r>
      <w:r>
        <w:rPr>
          <w:iCs/>
          <w:i/>
        </w:rPr>
        <w:t xml:space="preserve">crustose coralline algae and turf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green calcified algae at the global scale. Each point represents a transect." title="" id="57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10.png" id="58" name="Picture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13: Spatial distribution of the cluster</w:t>
      </w:r>
      <w:r>
        <w:t xml:space="preserve"> </w:t>
      </w:r>
      <w:r>
        <w:rPr>
          <w:iCs/>
          <w:i/>
        </w:rPr>
        <w:t xml:space="preserve">green calcified algae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bare substrate at the global scale. Each point represents a transect." title="" id="60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11.png" id="61" name="Picture"/>
                    <pic:cNvPicPr>
                      <a:picLocks noChangeArrowheads="1"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14: Spatial distribution of the cluster</w:t>
      </w:r>
      <w:r>
        <w:t xml:space="preserve"> </w:t>
      </w:r>
      <w:r>
        <w:rPr>
          <w:iCs/>
          <w:i/>
        </w:rPr>
        <w:t xml:space="preserve">bare substrate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crustose coralline algae at the global scale. Each point represents a transect." title="" id="63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12.png" id="64" name="Picture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15: Spatial distribution of the cluster</w:t>
      </w:r>
      <w:r>
        <w:t xml:space="preserve"> </w:t>
      </w:r>
      <w:r>
        <w:rPr>
          <w:iCs/>
          <w:i/>
        </w:rPr>
        <w:t xml:space="preserve">crustose coralline algae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sand at the global scale. Each point represents a transect." title="" id="66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13.png" id="67" name="Picture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16: Spatial distribution of the cluster</w:t>
      </w:r>
      <w:r>
        <w:t xml:space="preserve"> </w:t>
      </w:r>
      <w:r>
        <w:rPr>
          <w:iCs/>
          <w:i/>
        </w:rPr>
        <w:t xml:space="preserve">sand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branching coral at the global scale. Each point represents a transect." title="" id="69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14.png" id="70" name="Picture"/>
                    <pic:cNvPicPr>
                      <a:picLocks noChangeArrowheads="1"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17: Spatial distribution of the cluster</w:t>
      </w:r>
      <w:r>
        <w:t xml:space="preserve"> </w:t>
      </w:r>
      <w:r>
        <w:rPr>
          <w:iCs/>
          <w:i/>
        </w:rPr>
        <w:t xml:space="preserve">branching coral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sand and turf algae at the global scale. Each point represents a transect." title="" id="72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15.png" id="73" name="Picture"/>
                    <pic:cNvPicPr>
                      <a:picLocks noChangeArrowheads="1"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18: Spatial distribution of the cluster</w:t>
      </w:r>
      <w:r>
        <w:t xml:space="preserve"> </w:t>
      </w:r>
      <w:r>
        <w:rPr>
          <w:iCs/>
          <w:i/>
        </w:rPr>
        <w:t xml:space="preserve">sand and turf algae</w:t>
      </w:r>
      <w:r>
        <w:t xml:space="preserve"> </w:t>
      </w:r>
      <w:r>
        <w:t xml:space="preserve">at the global scale. Each point represents a transect.</w:t>
      </w:r>
    </w:p>
    <w:p>
      <w:pPr>
        <w:pStyle w:val="CaptionedFigure"/>
      </w:pPr>
      <w:r>
        <w:drawing>
          <wp:inline>
            <wp:extent cx="5334000" cy="3556000"/>
            <wp:effectExtent b="0" l="0" r="0" t="0"/>
            <wp:docPr descr="Spatial distribution of the cluster turf algae at the global scale. Each point represents a transect." title="" id="75" name="Picture"/>
            <a:graphic>
              <a:graphicData uri="http://schemas.openxmlformats.org/drawingml/2006/picture">
                <pic:pic>
                  <pic:nvPicPr>
                    <pic:cNvPr descr="figures/supplementary/06-spatial-cluster_distribution_cluster_16.png" id="76" name="Picture"/>
                    <pic:cNvPicPr>
                      <a:picLocks noChangeArrowheads="1"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Figure 19: Spatial distribution of the cluster</w:t>
      </w:r>
      <w:r>
        <w:t xml:space="preserve"> </w:t>
      </w:r>
      <w:r>
        <w:rPr>
          <w:iCs/>
          <w:i/>
        </w:rPr>
        <w:t xml:space="preserve">turf algae</w:t>
      </w:r>
      <w:r>
        <w:t xml:space="preserve"> </w:t>
      </w:r>
      <w:r>
        <w:t xml:space="preserve">at the global scale. Each point represents a transect.</w:t>
      </w:r>
    </w:p>
    <w:bookmarkEnd w:id="77"/>
    <w:sectPr/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num w:numId="1000">
    <w:abstractNumId w:val="990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10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m:mathPr>
    <m:mathFont m:val="Cambria Math"/>
    <m:brkBin m:val="before"/>
    <m:brkBinSub m:val="--"/>
    <m:smallFrac m:val="0"/>
    <m:dispDef/>
    <m:lMargin m:val="0"/>
    <m:rMargin m:val="0"/>
    <m:wrapRight/>
    <m:intLim m:val="subSup"/>
    <m:naryLim m:val="undOvr"/>
  </m:mathPr>
  <w:themeFontLang w:val="en-US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276" w:defLockedState="0" w:defQFormat="0" w:defSemiHidden="0" w:defUIPriority="0" w:defUnhideWhenUsed="0"/>
  <w:style w:default="1" w:styleId="Normal" w:type="paragraph">
    <w:name w:val="Normal"/>
    <w:qFormat/>
  </w:style>
  <w:style w:styleId="BodyText" w:type="paragraph">
    <w:name w:val="Body Text"/>
    <w:basedOn w:val="Normal"/>
    <w:link w:val="BodyTextChar"/>
    <w:pPr>
      <w:spacing w:after="180" w:before="180"/>
    </w:pPr>
    <w:qFormat/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keepNext/>
      <w:keepLines/>
      <w:spacing w:after="240" w:before="240"/>
      <w:jc w:val="center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Title" w:type="paragraph">
    <w:name w:val="Abstract Title"/>
    <w:basedOn w:val="Normal"/>
    <w:next w:val="Abstract"/>
    <w:qFormat/>
    <w:pPr>
      <w:keepNext/>
      <w:keepLines/>
      <w:jc w:val="center"/>
      <w:spacing w:after="0" w:before="300"/>
    </w:pPr>
    <w:rPr>
      <w:sz w:val="20"/>
      <w:szCs w:val="20"/>
      <w:b/>
      <w:color w:val="345A8A"/>
      &gt;
    </w:r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100"/>
    </w:pPr>
    <w:rPr>
      <w:sz w:val="20"/>
      <w:szCs w:val="20"/>
    </w:rPr>
  </w:style>
  <w:style w:styleId="Bibliography" w:type="paragraph">
    <w:name w:val="Bibliography"/>
    <w:basedOn w:val="Normal"/>
    <w:next w:val="Bibliography"/>
    <w:qFormat/>
    <w:pPr/>
    <w:rPr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4"/>
      <w:szCs w:val="24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i/>
      <w:bCs/>
      <w:color w:themeColor="accent1" w:val="4F81BD"/>
      <w:sz w:val="24"/>
      <w:szCs w:val="24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Cs/>
      <w:color w:themeColor="accent1" w:val="4F81BD"/>
      <w:sz w:val="24"/>
      <w:szCs w:val="24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7" w:type="paragraph">
    <w:name w:val="Heading 7"/>
    <w:basedOn w:val="Normal"/>
    <w:next w:val="BodyText"/>
    <w:uiPriority w:val="9"/>
    <w:unhideWhenUsed/>
    <w:qFormat/>
    <w:pPr>
      <w:keepNext/>
      <w:keepLines/>
      <w:spacing w:after="0" w:before="200"/>
      <w:outlineLvl w:val="6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8" w:type="paragraph">
    <w:name w:val="Heading 8"/>
    <w:basedOn w:val="Normal"/>
    <w:next w:val="BodyText"/>
    <w:uiPriority w:val="9"/>
    <w:unhideWhenUsed/>
    <w:qFormat/>
    <w:pPr>
      <w:keepNext/>
      <w:keepLines/>
      <w:spacing w:after="0" w:before="200"/>
      <w:outlineLvl w:val="7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9" w:type="paragraph">
    <w:name w:val="Heading 9"/>
    <w:basedOn w:val="Normal"/>
    <w:next w:val="BodyText"/>
    <w:uiPriority w:val="9"/>
    <w:unhideWhenUsed/>
    <w:qFormat/>
    <w:pPr>
      <w:keepNext/>
      <w:keepLines/>
      <w:spacing w:after="0" w:before="200"/>
      <w:outlineLvl w:val="8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  <w:ind w:firstLine="0" w:left="480" w:right="480"/>
    </w:pPr>
  </w:style>
  <w:style w:styleId="FootnoteText" w:type="paragraph">
    <w:name w:val="Footnote Text"/>
    <w:basedOn w:val="Normal"/>
    <w:next w:val="FootnoteText"/>
    <w:uiPriority w:val="9"/>
    <w:unhideWhenUsed/>
    <w:qFormat/>
  </w:style>
  <w:style w:default="1" w:styleId="DefaultParagraphFont" w:type="character">
    <w:name w:val="Default Paragraph Font"/>
    <w:semiHidden/>
    <w:unhideWhenUsed/>
  </w:style>
  <w:style w:default="1" w:styleId="Table" w:type="table">
    <w:name w:val="Table"/>
    <w:basedOn w:val="TableNormal"/>
    <w:semiHidden/>
    <w:unhideWhenUsed/>
    <w:qFormat/>
    <w:tblPr>
      <w:tblInd w:type="dxa" w:w="0"/>
      <w:tblCellMar>
        <w:top w:type="dxa" w:w="0"/>
        <w:left w:type="dxa" w:w="108"/>
        <w:bottom w:type="dxa" w:w="0"/>
        <w:right w:type="dxa" w:w="108"/>
      </w:tblCellMar>
    </w:tblPr>
    <w:tblStylePr w:type="firstRow">
      <w:tblPr>
        <w:jc w:val="left"/>
        <w:tblInd w:type="dxa" w:w="0"/>
      </w:tblPr>
      <w:trPr>
        <w:jc w:val="left"/>
      </w:trPr>
      <w:tcPr>
        <w:vAlign w:val="bottom"/>
        <w:tcBorders>
          <w:bottom w:val="single"/>
        </w:tcBorders>
      </w:tcPr>
    </w:tblStylePr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BodyTextChar"/>
    <w:pPr>
      <w:spacing w:after="120" w:before="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CaptionedFigure" w:type="paragraph">
    <w:name w:val="Captioned Figure"/>
    <w:basedOn w:val="Figure"/>
    <w:pPr>
      <w:keepNext/>
    </w:pPr>
  </w:style>
  <w:style w:customStyle="1" w:styleId="BodyTextChar" w:type="character">
    <w:name w:val="Body Text Char"/>
    <w:basedOn w:val="DefaultParagraphFont"/>
    <w:link w:val="BodyText"/>
  </w:style>
  <w:style w:customStyle="1" w:styleId="VerbatimChar" w:type="character">
    <w:name w:val="Verbatim Char"/>
    <w:basedOn w:val="BodyTextChar"/>
    <w:rPr>
      <w:rFonts w:ascii="Consolas" w:hAnsi="Consolas"/>
      <w:sz w:val="22"/>
    </w:rPr>
  </w:style>
  <w:style w:customStyle="1" w:styleId="SectionNumber" w:type="character">
    <w:name w:val="Section Number"/>
    <w:basedOn w:val="BodyTextChar"/>
  </w:style>
  <w:style w:styleId="FootnoteReference" w:type="character">
    <w:name w:val="Footnote Reference"/>
    <w:basedOn w:val="BodyTextChar"/>
    <w:rPr>
      <w:vertAlign w:val="superscript"/>
    </w:rPr>
  </w:style>
  <w:style w:styleId="Hyperlink" w:type="character">
    <w:name w:val="Hyperlink"/>
    <w:basedOn w:val="BodyText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cstheme="majorBidi" w:eastAsiaTheme="majorEastAsia" w:hAnsiTheme="majorHAnsi"/>
      <w:b w:val="0"/>
      <w:bCs w:val="0"/>
      <w:color w:themeColor="accent1" w:themeShade="BF" w:val="365F91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>
      <w:color w:val="008000"/>
      <w:b/>
    </w:rPr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>
      <w:color w:val="008000"/>
    </w:rPr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20" Target="media/rId20.png" /><Relationship Type="http://schemas.openxmlformats.org/officeDocument/2006/relationships/image" Id="rId23" Target="media/rId23.png" /><Relationship Type="http://schemas.openxmlformats.org/officeDocument/2006/relationships/image" Id="rId26" Target="media/rId26.png" /><Relationship Type="http://schemas.openxmlformats.org/officeDocument/2006/relationships/image" Id="rId29" Target="media/rId29.png" /><Relationship Type="http://schemas.openxmlformats.org/officeDocument/2006/relationships/image" Id="rId56" Target="media/rId56.png" /><Relationship Type="http://schemas.openxmlformats.org/officeDocument/2006/relationships/image" Id="rId59" Target="media/rId59.png" /><Relationship Type="http://schemas.openxmlformats.org/officeDocument/2006/relationships/image" Id="rId62" Target="media/rId62.png" /><Relationship Type="http://schemas.openxmlformats.org/officeDocument/2006/relationships/image" Id="rId65" Target="media/rId65.png" /><Relationship Type="http://schemas.openxmlformats.org/officeDocument/2006/relationships/image" Id="rId68" Target="media/rId68.png" /><Relationship Type="http://schemas.openxmlformats.org/officeDocument/2006/relationships/image" Id="rId71" Target="media/rId71.png" /><Relationship Type="http://schemas.openxmlformats.org/officeDocument/2006/relationships/image" Id="rId74" Target="media/rId74.png" /><Relationship Type="http://schemas.openxmlformats.org/officeDocument/2006/relationships/image" Id="rId32" Target="media/rId32.png" /><Relationship Type="http://schemas.openxmlformats.org/officeDocument/2006/relationships/image" Id="rId35" Target="media/rId35.png" /><Relationship Type="http://schemas.openxmlformats.org/officeDocument/2006/relationships/image" Id="rId38" Target="media/rId38.png" /><Relationship Type="http://schemas.openxmlformats.org/officeDocument/2006/relationships/image" Id="rId41" Target="media/rId41.png" /><Relationship Type="http://schemas.openxmlformats.org/officeDocument/2006/relationships/image" Id="rId44" Target="media/rId44.png" /><Relationship Type="http://schemas.openxmlformats.org/officeDocument/2006/relationships/image" Id="rId47" Target="media/rId47.png" /><Relationship Type="http://schemas.openxmlformats.org/officeDocument/2006/relationships/image" Id="rId50" Target="media/rId50.png" /><Relationship Type="http://schemas.openxmlformats.org/officeDocument/2006/relationships/image" Id="rId53" Target="media/rId53.png" /></Relationships>
</file>

<file path=word/_rels/footnotes.xml.rels><?xml version="1.0" encoding="UTF-8"?><Relationships xmlns="http://schemas.openxmlformats.org/package/2006/relationships" 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2024-12-17T19:46:23Z</dcterms:created>
  <dcterms:modified xsi:type="dcterms:W3CDTF">2024-12-17T19:46:23Z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utoEqnLabels">
    <vt:lpwstr>False</vt:lpwstr>
  </property>
  <property fmtid="{D5CDD505-2E9C-101B-9397-08002B2CF9AE}" pid="3" name="autoSectionLabels">
    <vt:lpwstr>False</vt:lpwstr>
  </property>
  <property fmtid="{D5CDD505-2E9C-101B-9397-08002B2CF9AE}" pid="4" name="bibliography">
    <vt:lpwstr>bibliography.bib</vt:lpwstr>
  </property>
  <property fmtid="{D5CDD505-2E9C-101B-9397-08002B2CF9AE}" pid="5" name="ccsDelim">
    <vt:lpwstr>, </vt:lpwstr>
  </property>
  <property fmtid="{D5CDD505-2E9C-101B-9397-08002B2CF9AE}" pid="6" name="ccsLabelSep">
    <vt:lpwstr> — </vt:lpwstr>
  </property>
  <property fmtid="{D5CDD505-2E9C-101B-9397-08002B2CF9AE}" pid="7" name="ccsTemplate">
    <vt:lpwstr>iccsLabelSept</vt:lpwstr>
  </property>
  <property fmtid="{D5CDD505-2E9C-101B-9397-08002B2CF9AE}" pid="8" name="chapDelim">
    <vt:lpwstr>.</vt:lpwstr>
  </property>
  <property fmtid="{D5CDD505-2E9C-101B-9397-08002B2CF9AE}" pid="9" name="chapters">
    <vt:lpwstr>False</vt:lpwstr>
  </property>
  <property fmtid="{D5CDD505-2E9C-101B-9397-08002B2CF9AE}" pid="10" name="chaptersDepth">
    <vt:lpwstr>1</vt:lpwstr>
  </property>
  <property fmtid="{D5CDD505-2E9C-101B-9397-08002B2CF9AE}" pid="11" name="codeBlockCaptions">
    <vt:lpwstr>False</vt:lpwstr>
  </property>
  <property fmtid="{D5CDD505-2E9C-101B-9397-08002B2CF9AE}" pid="12" name="cref">
    <vt:lpwstr>False</vt:lpwstr>
  </property>
  <property fmtid="{D5CDD505-2E9C-101B-9397-08002B2CF9AE}" pid="13" name="crossrefYaml">
    <vt:lpwstr>../pandoc-crossref_supp.yml</vt:lpwstr>
  </property>
  <property fmtid="{D5CDD505-2E9C-101B-9397-08002B2CF9AE}" pid="14" name="csl">
    <vt:lpwstr>template/ecology-letters.cls</vt:lpwstr>
  </property>
  <property fmtid="{D5CDD505-2E9C-101B-9397-08002B2CF9AE}" pid="15" name="eqLabels">
    <vt:lpwstr>arabic</vt:lpwstr>
  </property>
  <property fmtid="{D5CDD505-2E9C-101B-9397-08002B2CF9AE}" pid="16" name="eqnBlockInlineMath">
    <vt:lpwstr>False</vt:lpwstr>
  </property>
  <property fmtid="{D5CDD505-2E9C-101B-9397-08002B2CF9AE}" pid="17" name="eqnBlockTemplate">
    <vt:lpwstr>ti</vt:lpwstr>
  </property>
  <property fmtid="{D5CDD505-2E9C-101B-9397-08002B2CF9AE}" pid="18" name="eqnIndexTemplate">
    <vt:lpwstr>(i)</vt:lpwstr>
  </property>
  <property fmtid="{D5CDD505-2E9C-101B-9397-08002B2CF9AE}" pid="19" name="eqnInlineTemplate">
    <vt:lpwstr>eequationNumberTeX{i}</vt:lpwstr>
  </property>
  <property fmtid="{D5CDD505-2E9C-101B-9397-08002B2CF9AE}" pid="20" name="eqnPrefix">
    <vt:lpwstr/>
  </property>
  <property fmtid="{D5CDD505-2E9C-101B-9397-08002B2CF9AE}" pid="21" name="eqnPrefixTemplate">
    <vt:lpwstr>p i</vt:lpwstr>
  </property>
  <property fmtid="{D5CDD505-2E9C-101B-9397-08002B2CF9AE}" pid="22" name="equationNumberTeX">
    <vt:lpwstr>\qquad</vt:lpwstr>
  </property>
  <property fmtid="{D5CDD505-2E9C-101B-9397-08002B2CF9AE}" pid="23" name="figLabels">
    <vt:lpwstr>arabic</vt:lpwstr>
  </property>
  <property fmtid="{D5CDD505-2E9C-101B-9397-08002B2CF9AE}" pid="24" name="figPrefix">
    <vt:lpwstr/>
  </property>
  <property fmtid="{D5CDD505-2E9C-101B-9397-08002B2CF9AE}" pid="25" name="figPrefixTemplate">
    <vt:lpwstr>p i</vt:lpwstr>
  </property>
  <property fmtid="{D5CDD505-2E9C-101B-9397-08002B2CF9AE}" pid="26" name="figureTemplate">
    <vt:lpwstr>figureTitle ititleDelim t</vt:lpwstr>
  </property>
  <property fmtid="{D5CDD505-2E9C-101B-9397-08002B2CF9AE}" pid="27" name="figureTitle">
    <vt:lpwstr>Figure</vt:lpwstr>
  </property>
  <property fmtid="{D5CDD505-2E9C-101B-9397-08002B2CF9AE}" pid="28" name="lastDelim">
    <vt:lpwstr>, </vt:lpwstr>
  </property>
  <property fmtid="{D5CDD505-2E9C-101B-9397-08002B2CF9AE}" pid="29" name="linkReferences">
    <vt:lpwstr>False</vt:lpwstr>
  </property>
  <property fmtid="{D5CDD505-2E9C-101B-9397-08002B2CF9AE}" pid="30" name="listItemTitleDelim">
    <vt:lpwstr>.</vt:lpwstr>
  </property>
  <property fmtid="{D5CDD505-2E9C-101B-9397-08002B2CF9AE}" pid="31" name="listingTemplate">
    <vt:lpwstr>listingTitle ititleDelim t</vt:lpwstr>
  </property>
  <property fmtid="{D5CDD505-2E9C-101B-9397-08002B2CF9AE}" pid="32" name="listingTitle">
    <vt:lpwstr>Listing</vt:lpwstr>
  </property>
  <property fmtid="{D5CDD505-2E9C-101B-9397-08002B2CF9AE}" pid="33" name="listings">
    <vt:lpwstr>False</vt:lpwstr>
  </property>
  <property fmtid="{D5CDD505-2E9C-101B-9397-08002B2CF9AE}" pid="34" name="lofItemTemplate">
    <vt:lpwstr>lofItemTitleilistItemTitleDelimt </vt:lpwstr>
  </property>
  <property fmtid="{D5CDD505-2E9C-101B-9397-08002B2CF9AE}" pid="35" name="lofItemTitle">
    <vt:lpwstr/>
  </property>
  <property fmtid="{D5CDD505-2E9C-101B-9397-08002B2CF9AE}" pid="36" name="lofTitle">
    <vt:lpwstr>List of Figures</vt:lpwstr>
  </property>
  <property fmtid="{D5CDD505-2E9C-101B-9397-08002B2CF9AE}" pid="37" name="lolItemTemplate">
    <vt:lpwstr>lolItemTitleilistItemTitleDelimt </vt:lpwstr>
  </property>
  <property fmtid="{D5CDD505-2E9C-101B-9397-08002B2CF9AE}" pid="38" name="lolItemTitle">
    <vt:lpwstr/>
  </property>
  <property fmtid="{D5CDD505-2E9C-101B-9397-08002B2CF9AE}" pid="39" name="lolTitle">
    <vt:lpwstr>List of Listings</vt:lpwstr>
  </property>
  <property fmtid="{D5CDD505-2E9C-101B-9397-08002B2CF9AE}" pid="40" name="lotItemTemplate">
    <vt:lpwstr>lotItemTitleilistItemTitleDelimt </vt:lpwstr>
  </property>
  <property fmtid="{D5CDD505-2E9C-101B-9397-08002B2CF9AE}" pid="41" name="lotItemTitle">
    <vt:lpwstr/>
  </property>
  <property fmtid="{D5CDD505-2E9C-101B-9397-08002B2CF9AE}" pid="42" name="lotTitle">
    <vt:lpwstr>List of Tables</vt:lpwstr>
  </property>
  <property fmtid="{D5CDD505-2E9C-101B-9397-08002B2CF9AE}" pid="43" name="lstLabels">
    <vt:lpwstr>arabic</vt:lpwstr>
  </property>
  <property fmtid="{D5CDD505-2E9C-101B-9397-08002B2CF9AE}" pid="44" name="lstPrefix">
    <vt:lpwstr/>
  </property>
  <property fmtid="{D5CDD505-2E9C-101B-9397-08002B2CF9AE}" pid="45" name="lstPrefixTemplate">
    <vt:lpwstr>p i</vt:lpwstr>
  </property>
  <property fmtid="{D5CDD505-2E9C-101B-9397-08002B2CF9AE}" pid="46" name="nameInLink">
    <vt:lpwstr>False</vt:lpwstr>
  </property>
  <property fmtid="{D5CDD505-2E9C-101B-9397-08002B2CF9AE}" pid="47" name="numberSections">
    <vt:lpwstr>False</vt:lpwstr>
  </property>
  <property fmtid="{D5CDD505-2E9C-101B-9397-08002B2CF9AE}" pid="48" name="pairDelim">
    <vt:lpwstr>, </vt:lpwstr>
  </property>
  <property fmtid="{D5CDD505-2E9C-101B-9397-08002B2CF9AE}" pid="49" name="rangeDelim">
    <vt:lpwstr>-</vt:lpwstr>
  </property>
  <property fmtid="{D5CDD505-2E9C-101B-9397-08002B2CF9AE}" pid="50" name="refDelim">
    <vt:lpwstr>, </vt:lpwstr>
  </property>
  <property fmtid="{D5CDD505-2E9C-101B-9397-08002B2CF9AE}" pid="51" name="refIndexTemplate">
    <vt:lpwstr>isuf</vt:lpwstr>
  </property>
  <property fmtid="{D5CDD505-2E9C-101B-9397-08002B2CF9AE}" pid="52" name="secHeaderDelim">
    <vt:lpwstr> </vt:lpwstr>
  </property>
  <property fmtid="{D5CDD505-2E9C-101B-9397-08002B2CF9AE}" pid="53" name="secHeaderTemplate">
    <vt:lpwstr>isecHeaderDelim[n]t</vt:lpwstr>
  </property>
  <property fmtid="{D5CDD505-2E9C-101B-9397-08002B2CF9AE}" pid="54" name="secLabels">
    <vt:lpwstr>arabic</vt:lpwstr>
  </property>
  <property fmtid="{D5CDD505-2E9C-101B-9397-08002B2CF9AE}" pid="55" name="secPrefix">
    <vt:lpwstr/>
  </property>
  <property fmtid="{D5CDD505-2E9C-101B-9397-08002B2CF9AE}" pid="56" name="secPrefixTemplate">
    <vt:lpwstr>p i</vt:lpwstr>
  </property>
  <property fmtid="{D5CDD505-2E9C-101B-9397-08002B2CF9AE}" pid="57" name="sectionsDepth">
    <vt:lpwstr>0</vt:lpwstr>
  </property>
  <property fmtid="{D5CDD505-2E9C-101B-9397-08002B2CF9AE}" pid="58" name="subfigGrid">
    <vt:lpwstr>False</vt:lpwstr>
  </property>
  <property fmtid="{D5CDD505-2E9C-101B-9397-08002B2CF9AE}" pid="59" name="subfigLabels">
    <vt:lpwstr>alpha a</vt:lpwstr>
  </property>
  <property fmtid="{D5CDD505-2E9C-101B-9397-08002B2CF9AE}" pid="60" name="subfigureChildTemplate">
    <vt:lpwstr>i</vt:lpwstr>
  </property>
  <property fmtid="{D5CDD505-2E9C-101B-9397-08002B2CF9AE}" pid="61" name="subfigureRefIndexTemplate">
    <vt:lpwstr>isuf (s)</vt:lpwstr>
  </property>
  <property fmtid="{D5CDD505-2E9C-101B-9397-08002B2CF9AE}" pid="62" name="subfigureTemplate">
    <vt:lpwstr>figureTitle ititleDelim t. ccs</vt:lpwstr>
  </property>
  <property fmtid="{D5CDD505-2E9C-101B-9397-08002B2CF9AE}" pid="63" name="tableEqns">
    <vt:lpwstr>False</vt:lpwstr>
  </property>
  <property fmtid="{D5CDD505-2E9C-101B-9397-08002B2CF9AE}" pid="64" name="tableTemplate">
    <vt:lpwstr>tableTitle ititleDelim t</vt:lpwstr>
  </property>
  <property fmtid="{D5CDD505-2E9C-101B-9397-08002B2CF9AE}" pid="65" name="tableTitle">
    <vt:lpwstr>Table</vt:lpwstr>
  </property>
  <property fmtid="{D5CDD505-2E9C-101B-9397-08002B2CF9AE}" pid="66" name="tblLabels">
    <vt:lpwstr>arabic</vt:lpwstr>
  </property>
  <property fmtid="{D5CDD505-2E9C-101B-9397-08002B2CF9AE}" pid="67" name="tblPrefix">
    <vt:lpwstr/>
  </property>
  <property fmtid="{D5CDD505-2E9C-101B-9397-08002B2CF9AE}" pid="68" name="tblPrefixTemplate">
    <vt:lpwstr>p i</vt:lpwstr>
  </property>
  <property fmtid="{D5CDD505-2E9C-101B-9397-08002B2CF9AE}" pid="69" name="titleDelim">
    <vt:lpwstr>:</vt:lpwstr>
  </property>
</Properties>
</file>